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93B6E">
      <w:pPr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rPr>
          <w:rFonts w:hint="eastAsia" w:ascii="宋体" w:hAnsi="方正公文黑体" w:eastAsia="方正公文黑体" w:cs="方正公文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方正公文黑体" w:eastAsia="方正公文黑体" w:cs="方正公文黑体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4</w:t>
      </w:r>
    </w:p>
    <w:p w14:paraId="5DBF8AC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方正公文小标宋" w:eastAsia="方正公文小标宋" w:cs="方正公文小标宋"/>
          <w:b/>
          <w:bCs/>
          <w:sz w:val="44"/>
          <w:szCs w:val="44"/>
          <w:lang w:val="en-US" w:eastAsia="zh-CN"/>
        </w:rPr>
      </w:pPr>
      <w:r>
        <w:rPr>
          <w:rFonts w:hint="eastAsia" w:hAnsi="方正公文小标宋" w:eastAsia="方正公文小标宋" w:cs="方正公文小标宋"/>
          <w:b/>
          <w:bCs/>
          <w:sz w:val="44"/>
          <w:szCs w:val="44"/>
          <w:lang w:val="en-US" w:eastAsia="zh-CN"/>
        </w:rPr>
        <w:t>赛道二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—</w:t>
      </w:r>
      <w:r>
        <w:rPr>
          <w:rFonts w:hint="eastAsia" w:ascii="宋体" w:hAnsi="方正公文小标宋" w:eastAsia="方正公文小标宋" w:cs="方正公文小标宋"/>
          <w:b/>
          <w:bCs/>
          <w:sz w:val="44"/>
          <w:szCs w:val="44"/>
          <w:lang w:val="en-US" w:eastAsia="zh-CN"/>
        </w:rPr>
        <w:t>设计任务书</w:t>
      </w:r>
    </w:p>
    <w:p w14:paraId="7470AE7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jc w:val="center"/>
        <w:textAlignment w:val="auto"/>
        <w:rPr>
          <w:rFonts w:hint="eastAsia" w:ascii="宋体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</w:pPr>
    </w:p>
    <w:p w14:paraId="540336A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宋体" w:hAnsi="宋体" w:eastAsia="方正公文黑体" w:cs="方正公文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方正公文黑体" w:cs="方正公文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宋体" w:hAnsi="宋体" w:eastAsia="方正公文黑体" w:cs="方正公文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地块基本信息</w:t>
      </w:r>
    </w:p>
    <w:p w14:paraId="2FEE548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区域位置</w:t>
      </w:r>
    </w:p>
    <w:p w14:paraId="7BAD09D2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宋体" w:hAnsi="宋体" w:eastAsia="方正公文黑体" w:cs="方正公文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拟定典型地块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位于</w:t>
      </w:r>
      <w:r>
        <w:rPr>
          <w:rFonts w:hint="eastAsia" w:ascii="宋体" w:hAnsi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雄安新区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启动区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23EA4FA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用地现状及周边情况</w:t>
      </w:r>
    </w:p>
    <w:p w14:paraId="11A2CD6B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场地地面无建筑物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构筑物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临时板房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围墙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废弃管线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建筑垃圾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深坑土坡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地块边界清晰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地形规整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整体地势平缓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无明显高差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沟壑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水塘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6A252A1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（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三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）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设计范围</w:t>
      </w:r>
    </w:p>
    <w:p w14:paraId="553EDCC2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参赛者可从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4</w:t>
      </w:r>
      <w:r>
        <w:rPr>
          <w:rFonts w:hint="eastAsia" w:ascii="宋体" w:hAnsi="方正公文仿宋" w:cs="方正公文仿宋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个地块中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eastAsia" w:ascii="宋体" w:hAnsi="方正公文仿宋" w:cs="方正公文仿宋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任选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2</w:t>
      </w:r>
      <w:r>
        <w:rPr>
          <w:rFonts w:hint="eastAsia" w:eastAsia="宋体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-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4</w:t>
      </w:r>
      <w:r>
        <w:rPr>
          <w:rFonts w:hint="eastAsia" w:ascii="宋体" w:hAnsi="方正公文仿宋" w:cs="方正公文仿宋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个地块开展方案设计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eastAsia" w:ascii="宋体" w:hAnsi="方正公文仿宋" w:cs="方正公文仿宋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不建议选择对角形式地块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219461B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方正公文黑体" w:eastAsia="方正公文黑体" w:cs="方正公文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地块规划要求</w:t>
      </w:r>
    </w:p>
    <w:p w14:paraId="241D96C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建设要求</w:t>
      </w:r>
    </w:p>
    <w:p w14:paraId="143498C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该地块开发强度为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1.8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＜容积率≤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2.5。</w:t>
      </w:r>
    </w:p>
    <w:p w14:paraId="23C8959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建筑高度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25</w:t>
      </w:r>
      <w:r>
        <w:rPr>
          <w:rFonts w:hint="eastAsia" w:ascii="宋体" w:hAnsi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＜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H</w:t>
      </w:r>
      <w:r>
        <w:rPr>
          <w:rFonts w:hint="eastAsia" w:ascii="宋体" w:hAnsi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≤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45，</w:t>
      </w:r>
      <w:r>
        <w:rPr>
          <w:rFonts w:hint="eastAsia" w:ascii="宋体" w:hAnsi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住宅屋顶宜采用坡屋顶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7C3E2F9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地块管理要求</w:t>
      </w:r>
    </w:p>
    <w:p w14:paraId="298070AF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textAlignment w:val="auto"/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 w:bidi="ar"/>
        </w:rPr>
        <w:t>1.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可兼容商业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、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办公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、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公寓建筑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；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可附设公共管理与服务设施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、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公用设施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、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交通运输设施以及</w:t>
      </w:r>
      <w:r>
        <w:rPr>
          <w:rFonts w:hint="eastAsia" w:hAnsi="方正公文仿宋" w:cs="Times New Roman"/>
          <w:b w:val="0"/>
          <w:bCs w:val="0"/>
          <w:sz w:val="32"/>
          <w:szCs w:val="32"/>
          <w:lang w:eastAsia="zh-CN" w:bidi="ar"/>
        </w:rPr>
        <w:t>其他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配套辅助设施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。</w:t>
      </w:r>
    </w:p>
    <w:p w14:paraId="0CE4A096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left="0" w:leftChars="0" w:firstLine="680" w:firstLineChars="200"/>
        <w:textAlignment w:val="auto"/>
        <w:rPr>
          <w:rFonts w:hint="default" w:ascii="宋体" w:hAnsi="方正公文仿宋" w:eastAsia="方正公文仿宋" w:cs="Times New Roman"/>
          <w:b w:val="0"/>
          <w:bCs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 w:bidi="ar"/>
        </w:rPr>
        <w:t>2.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退让次干路道路红线不少于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10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米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，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退让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</w:rPr>
        <w:t>I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</w:rPr>
        <w:t>级支路道路红线不少于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5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</w:rPr>
        <w:t>米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，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建筑控制线退让公共绿地边界线的距离宜大于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3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米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。</w:t>
      </w:r>
      <w:r>
        <w:rPr>
          <w:rFonts w:hint="eastAsia" w:ascii="宋体" w:hAnsi="方正公文仿宋" w:cs="Times New Roman"/>
          <w:b w:val="0"/>
          <w:bCs w:val="0"/>
          <w:sz w:val="32"/>
          <w:szCs w:val="32"/>
          <w:lang w:val="en-US" w:eastAsia="zh-CN" w:bidi="ar"/>
        </w:rPr>
        <w:t>相邻地块的建筑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cs="Times New Roman"/>
          <w:b w:val="0"/>
          <w:bCs w:val="0"/>
          <w:sz w:val="32"/>
          <w:szCs w:val="32"/>
          <w:lang w:val="en-US" w:eastAsia="zh-CN" w:bidi="ar"/>
        </w:rPr>
        <w:t>原则上应各自按照不少于间距要求的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方正公文仿宋" w:cs="Times New Roman"/>
          <w:b w:val="0"/>
          <w:bCs w:val="0"/>
          <w:sz w:val="32"/>
          <w:szCs w:val="32"/>
          <w:lang w:val="en-US" w:eastAsia="zh-CN" w:bidi="ar"/>
        </w:rPr>
        <w:t>/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方正公文仿宋" w:cs="Times New Roman"/>
          <w:b w:val="0"/>
          <w:bCs w:val="0"/>
          <w:sz w:val="32"/>
          <w:szCs w:val="32"/>
          <w:lang w:val="en-US" w:eastAsia="zh-CN" w:bidi="ar"/>
        </w:rPr>
        <w:t>退让地块边界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 w:bidi="ar"/>
        </w:rPr>
        <w:t>。</w:t>
      </w:r>
    </w:p>
    <w:p w14:paraId="3C5F22E3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textAlignment w:val="auto"/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 w:bidi="ar"/>
        </w:rPr>
        <w:t>3.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宜采用通透性围墙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（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栏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）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形式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，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原则上不设实体围墙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。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围墙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（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栏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）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宜退让</w:t>
      </w:r>
      <w:r>
        <w:rPr>
          <w:rFonts w:hint="eastAsia" w:ascii="宋体" w:hAnsi="方正公文仿宋" w:cs="Times New Roman"/>
          <w:b w:val="0"/>
          <w:bCs w:val="0"/>
          <w:sz w:val="32"/>
          <w:szCs w:val="32"/>
          <w:lang w:val="en-US" w:eastAsia="zh-CN" w:bidi="ar"/>
        </w:rPr>
        <w:t>南侧支干路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道路红线不少于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10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米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，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退让其他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次干路道路红线不小于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5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米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，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退让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bidi="ar"/>
        </w:rPr>
        <w:t>I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级支路道路红线不小于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2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米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。</w:t>
      </w:r>
    </w:p>
    <w:p w14:paraId="1DA862B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textAlignment w:val="auto"/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 w:bidi="ar"/>
        </w:rPr>
        <w:t>4.</w:t>
      </w:r>
      <w:r>
        <w:rPr>
          <w:rFonts w:hint="eastAsia" w:ascii="宋体" w:hAnsi="方正公文仿宋" w:cs="Times New Roman"/>
          <w:b w:val="0"/>
          <w:bCs w:val="0"/>
          <w:sz w:val="32"/>
          <w:szCs w:val="32"/>
          <w:lang w:val="en-US" w:eastAsia="zh-CN" w:bidi="ar"/>
        </w:rPr>
        <w:t>建筑风貌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</w:rPr>
        <w:t>应与</w:t>
      </w:r>
      <w:r>
        <w:rPr>
          <w:rFonts w:hint="eastAsia" w:ascii="宋体" w:hAnsi="方正公文仿宋" w:cs="Times New Roman"/>
          <w:b w:val="0"/>
          <w:bCs w:val="0"/>
          <w:sz w:val="32"/>
          <w:szCs w:val="32"/>
          <w:lang w:val="en-US" w:eastAsia="zh-CN"/>
        </w:rPr>
        <w:t>雄安新区住宅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</w:rPr>
        <w:t>风貌相协调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，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</w:rPr>
        <w:t>突出中西合璧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、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</w:rPr>
        <w:t>以中为主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、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</w:rPr>
        <w:t>古今交融的建筑风格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。</w:t>
      </w:r>
    </w:p>
    <w:p w14:paraId="69EC9357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textAlignment w:val="auto"/>
        <w:rPr>
          <w:rFonts w:ascii="宋体" w:hAnsi="方正公文仿宋" w:eastAsia="方正公文仿宋" w:cs="Times New Roman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5.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</w:rPr>
        <w:t>充分利用退线空间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，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</w:rPr>
        <w:t>形成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</w:rPr>
        <w:t>街角游园和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</w:rPr>
        <w:t>小微庭园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。</w:t>
      </w:r>
    </w:p>
    <w:p w14:paraId="4B39D6DF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left="0" w:leftChars="0" w:firstLine="680" w:firstLineChars="200"/>
        <w:textAlignment w:val="auto"/>
        <w:rPr>
          <w:rFonts w:hint="eastAsia" w:ascii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</w:rPr>
        <w:t>项目</w:t>
      </w:r>
      <w:r>
        <w:rPr>
          <w:rFonts w:ascii="宋体" w:hAnsi="方正公文仿宋" w:eastAsia="方正公文仿宋" w:cs="Times New Roman"/>
          <w:b w:val="0"/>
          <w:bCs w:val="0"/>
          <w:sz w:val="32"/>
          <w:szCs w:val="32"/>
        </w:rPr>
        <w:t>范围内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bidi="ar"/>
        </w:rPr>
        <w:t>Ⅰ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</w:rPr>
        <w:t>级支路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，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</w:rPr>
        <w:t>以交通功能为主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；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bidi="ar"/>
        </w:rPr>
        <w:t>Ⅱ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</w:rPr>
        <w:t>级支路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，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</w:rPr>
        <w:t>以慢行为主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宋体" w:hAnsi="方正公文仿宋" w:cs="Times New Roman"/>
          <w:b w:val="0"/>
          <w:bCs w:val="0"/>
          <w:sz w:val="32"/>
          <w:szCs w:val="32"/>
          <w:lang w:val="en-US" w:eastAsia="zh-CN" w:bidi="ar"/>
        </w:rPr>
        <w:t>设计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地块</w:t>
      </w:r>
      <w:r>
        <w:rPr>
          <w:rFonts w:hint="eastAsia" w:ascii="宋体" w:hAnsi="方正公文仿宋" w:cs="Times New Roman"/>
          <w:b w:val="0"/>
          <w:bCs w:val="0"/>
          <w:sz w:val="32"/>
          <w:szCs w:val="32"/>
          <w:lang w:val="en-US" w:eastAsia="zh-CN" w:bidi="ar"/>
        </w:rPr>
        <w:t>西侧</w:t>
      </w:r>
      <w:r>
        <w:rPr>
          <w:rFonts w:hint="eastAsia" w:ascii="宋体" w:hAnsi="方正公文仿宋" w:eastAsia="方正公文仿宋" w:cs="Times New Roman"/>
          <w:b w:val="0"/>
          <w:bCs w:val="0"/>
          <w:sz w:val="32"/>
          <w:szCs w:val="32"/>
          <w:lang w:bidi="ar"/>
        </w:rPr>
        <w:t>有</w:t>
      </w:r>
      <w:r>
        <w:rPr>
          <w:rFonts w:hint="eastAsia" w:ascii="宋体" w:hAnsi="方正公文仿宋" w:cs="Times New Roman"/>
          <w:b w:val="0"/>
          <w:bCs w:val="0"/>
          <w:sz w:val="32"/>
          <w:szCs w:val="32"/>
          <w:lang w:val="en-US" w:eastAsia="zh-CN" w:bidi="ar"/>
        </w:rPr>
        <w:t>退让绿化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bidi="ar"/>
        </w:rPr>
        <w:t>，</w:t>
      </w:r>
      <w:r>
        <w:rPr>
          <w:rFonts w:hint="eastAsia" w:ascii="宋体" w:hAnsi="方正公文仿宋" w:cs="Times New Roman"/>
          <w:b w:val="0"/>
          <w:bCs w:val="0"/>
          <w:sz w:val="32"/>
          <w:szCs w:val="32"/>
          <w:lang w:val="en-US" w:eastAsia="zh-CN" w:bidi="ar"/>
        </w:rPr>
        <w:t>南侧道路和西侧道路中次干道为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bidi="ar"/>
        </w:rPr>
        <w:t>公交走廊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bidi="ar"/>
        </w:rPr>
        <w:t>。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bidi="ar"/>
        </w:rPr>
        <w:t>人行出入口应结合公交站点和绿道学径位置设置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bidi="ar"/>
        </w:rPr>
        <w:t>。</w:t>
      </w:r>
    </w:p>
    <w:p w14:paraId="0D98E1AA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7</w:t>
      </w:r>
      <w:r>
        <w:rPr>
          <w:rFonts w:hint="eastAsia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.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次干路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（28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米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不允许居住区开口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次干路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（32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米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开口原则上为右进右出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；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支路可开全转向出入口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开口距离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根据开口所在道路上下游相交路的等级确定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以开口所在的道路交叉口停止线开始计算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距干路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50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米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距支路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30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米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人行口</w:t>
      </w:r>
      <w:r>
        <w:rPr>
          <w:rFonts w:hint="eastAsia" w:ascii="宋体" w:hAnsi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宜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靠近公交站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宋体" w:hAnsi="方正公文仿宋" w:eastAsia="方正公文仿宋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地铁站设置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55CEC25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leftChars="0" w:firstLine="680" w:firstLineChars="200"/>
        <w:jc w:val="left"/>
        <w:textAlignment w:val="auto"/>
        <w:rPr>
          <w:rFonts w:hint="default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用地红线图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详见图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1）</w:t>
      </w:r>
    </w:p>
    <w:p w14:paraId="5FE463A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jc w:val="left"/>
        <w:textAlignment w:val="auto"/>
        <w:rPr>
          <w:rFonts w:hint="eastAsia" w:ascii="宋体" w:hAnsi="方正公文黑体" w:eastAsia="方正公文黑体" w:cs="方正公文黑体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宋体"/>
          <w:b w:val="0"/>
          <w:bCs w:val="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445770</wp:posOffset>
            </wp:positionV>
            <wp:extent cx="5610225" cy="4135120"/>
            <wp:effectExtent l="0" t="0" r="9525" b="17780"/>
            <wp:wrapSquare wrapText="bothSides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13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9A0CB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0" w:firstLineChars="0"/>
        <w:jc w:val="center"/>
        <w:textAlignment w:val="auto"/>
        <w:rPr>
          <w:rFonts w:hint="eastAsia" w:ascii="宋体" w:hAnsi="方正公文黑体" w:eastAsia="方正公文黑体" w:cs="方正公文黑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图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1</w:t>
      </w:r>
    </w:p>
    <w:p w14:paraId="3D4248E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宋体" w:hAnsi="方正公文黑体" w:eastAsia="方正公文黑体" w:cs="方正公文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宋体" w:hAnsi="方正公文黑体" w:eastAsia="方正公文黑体" w:cs="方正公文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地块建设条件</w:t>
      </w:r>
    </w:p>
    <w:p w14:paraId="3D68926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leftChars="0" w:firstLine="680" w:firstLineChars="200"/>
        <w:jc w:val="left"/>
        <w:textAlignment w:val="auto"/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项目定位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包含推荐面积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</w:t>
      </w:r>
    </w:p>
    <w:p w14:paraId="791170D9">
      <w:pPr>
        <w:pStyle w:val="3"/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ind w:firstLine="680" w:firstLineChars="200"/>
        <w:jc w:val="left"/>
        <w:rPr>
          <w:rFonts w:hint="default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项目定位满足疏解职工多层次安居需求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方正公文仿宋"/>
          <w:color w:val="000000"/>
          <w:kern w:val="0"/>
          <w:sz w:val="32"/>
          <w:szCs w:val="32"/>
          <w:lang w:bidi="ar"/>
        </w:rPr>
        <w:t>在满足家庭基本居住功能的基础上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更加注重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“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居住空间舒适度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”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户型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推荐面积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120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㎡</w:t>
      </w:r>
      <w:r>
        <w:rPr>
          <w:rFonts w:hint="eastAsia" w:cs="宋体"/>
          <w:b w:val="0"/>
          <w:bCs w:val="0"/>
          <w:sz w:val="32"/>
          <w:szCs w:val="32"/>
          <w:lang w:val="en-US" w:eastAsia="zh-CN"/>
        </w:rPr>
        <w:t>-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240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㎡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以三居</w:t>
      </w:r>
      <w:r>
        <w:rPr>
          <w:rFonts w:hint="eastAsia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四居为主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0A30887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leftChars="0" w:firstLine="680" w:firstLineChars="200"/>
        <w:jc w:val="left"/>
        <w:textAlignment w:val="auto"/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需求调研情况</w:t>
      </w:r>
    </w:p>
    <w:p w14:paraId="017C481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textAlignment w:val="auto"/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在户型设计上重点关注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南向面宽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客厅宽度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阳台功能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私梯入户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餐厨一体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等方面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72F22D6F">
      <w:pPr>
        <w:keepNext w:val="0"/>
        <w:keepLines w:val="0"/>
        <w:widowControl w:val="0"/>
        <w:kinsoku/>
        <w:wordWrap w:val="0"/>
        <w:overflowPunct/>
        <w:topLinePunct/>
        <w:autoSpaceDE/>
        <w:autoSpaceDN/>
        <w:bidi w:val="0"/>
        <w:spacing w:line="606" w:lineRule="exact"/>
        <w:ind w:firstLine="680" w:firstLineChars="200"/>
        <w:rPr>
          <w:rFonts w:hint="default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空间布局关注通风采光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南北通透或拥有多面采光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户型设计要采用动静分区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卫生间干湿分离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要有晾晒空间功能的阳台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满足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观景、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养花等功能需求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卧室要有良好的采光与视野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拥有飘窗或阳台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隔音效果好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预留充足的收纳空间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有条件的做步入式衣帽间或大型定制衣柜空间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要实现智能家居控制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至少包括智能门锁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全屋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Wi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-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2"/>
          <w:szCs w:val="32"/>
          <w:lang w:val="en-US" w:eastAsia="zh-CN"/>
        </w:rPr>
        <w:t>Fi</w:t>
      </w:r>
      <w:r>
        <w:rPr>
          <w:rFonts w:hint="eastAsia" w:ascii="宋体" w:hAnsi="方正公文仿宋" w:eastAsia="方正公文仿宋" w:cs="方正公文仿宋"/>
          <w:b w:val="0"/>
          <w:bCs w:val="0"/>
          <w:sz w:val="32"/>
          <w:szCs w:val="32"/>
          <w:lang w:val="en-US" w:eastAsia="zh-CN"/>
        </w:rPr>
        <w:t>覆盖以及智能安防系统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。</w:t>
      </w:r>
    </w:p>
    <w:p w14:paraId="56CFDCE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leftChars="0" w:firstLine="680" w:firstLineChars="200"/>
        <w:jc w:val="left"/>
        <w:textAlignment w:val="auto"/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可实施性</w:t>
      </w:r>
    </w:p>
    <w:p w14:paraId="6C125C95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鼓励参赛人基于现有规划设计条件进行创新性设计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实现设计引领生活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创新成就未来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同时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参赛人应考虑项目的落地实施性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以便创作出优秀的竞赛成果供开发建设单位选用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充分展现设计价值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落</w:t>
      </w:r>
      <w:r>
        <w:rPr>
          <w:rFonts w:hint="eastAsia" w:hAnsi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地</w:t>
      </w:r>
      <w:bookmarkStart w:id="0" w:name="_GoBack"/>
      <w:bookmarkEnd w:id="0"/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大赛成果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0BFE236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leftChars="0" w:firstLine="680" w:firstLineChars="200"/>
        <w:jc w:val="left"/>
        <w:textAlignment w:val="auto"/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四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方正公文楷体" w:hAnsi="方正公文楷体" w:eastAsia="方正公文楷体" w:cs="方正公文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创新设计</w:t>
      </w:r>
    </w:p>
    <w:p w14:paraId="671C4C2E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在现有住区问题研究基础上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通过设计探索解决问题的策略和方法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；</w:t>
      </w:r>
    </w:p>
    <w:p w14:paraId="3F6A82CB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充分考虑居住人群的需求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促进社区与城市的开放与融合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构建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“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住宅</w:t>
      </w:r>
      <w:r>
        <w:rPr>
          <w:rFonts w:hint="eastAsia" w:eastAsia="宋体" w:cs="宋体"/>
          <w:b w:val="0"/>
          <w:bCs w:val="0"/>
          <w:sz w:val="32"/>
          <w:szCs w:val="32"/>
          <w:lang w:val="en-US" w:eastAsia="zh-CN"/>
        </w:rPr>
        <w:t>—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住区</w:t>
      </w:r>
      <w:r>
        <w:rPr>
          <w:rFonts w:hint="eastAsia" w:eastAsia="宋体" w:cs="宋体"/>
          <w:b w:val="0"/>
          <w:bCs w:val="0"/>
          <w:sz w:val="32"/>
          <w:szCs w:val="32"/>
          <w:lang w:val="en-US" w:eastAsia="zh-CN"/>
        </w:rPr>
        <w:t>—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城区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”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的良好关系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；</w:t>
      </w:r>
    </w:p>
    <w:p w14:paraId="302EA61E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3.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积极构建触发公共交往的开放空间系统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；</w:t>
      </w:r>
    </w:p>
    <w:p w14:paraId="3E50D70A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4.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引领塑造积极向上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绿色健康的生活方式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；</w:t>
      </w:r>
    </w:p>
    <w:p w14:paraId="3DF98F59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5.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发掘居住空间弹性发展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动态调整的可能性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；</w:t>
      </w:r>
    </w:p>
    <w:p w14:paraId="3CA7F5D5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6.</w:t>
      </w:r>
      <w:r>
        <w:rPr>
          <w:rFonts w:hint="eastAsia" w:ascii="宋体" w:hAnsi="方正公文仿宋" w:eastAsia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探索住宅及住区设计中绿色低碳技术的创新运用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；</w:t>
      </w:r>
    </w:p>
    <w:p w14:paraId="22B01094"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7.</w:t>
      </w:r>
      <w:r>
        <w:rPr>
          <w:rFonts w:hint="eastAsia" w:ascii="宋体" w:hAnsi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其他可参考已出台的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《</w:t>
      </w:r>
      <w:r>
        <w:rPr>
          <w:rFonts w:hint="eastAsia" w:ascii="宋体" w:hAnsi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雄安新区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“</w:t>
      </w:r>
      <w:r>
        <w:rPr>
          <w:rFonts w:hint="eastAsia" w:ascii="宋体" w:hAnsi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好房子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”</w:t>
      </w:r>
      <w:r>
        <w:rPr>
          <w:rFonts w:hint="eastAsia" w:ascii="宋体" w:hAnsi="方正公文仿宋" w:cs="方正公文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建设指南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》。</w:t>
      </w:r>
    </w:p>
    <w:p w14:paraId="0D80558E"/>
    <w:sectPr>
      <w:footerReference r:id="rId3" w:type="default"/>
      <w:pgSz w:w="11906" w:h="16838"/>
      <w:pgMar w:top="2098" w:right="1474" w:bottom="1984" w:left="1587" w:header="851" w:footer="1531" w:gutter="0"/>
      <w:pgNumType w:fmt="decimal" w:start="1"/>
      <w:cols w:space="0" w:num="1"/>
      <w:rtlGutter w:val="0"/>
      <w:docGrid w:type="linesAndChars" w:linePitch="607" w:charSpace="41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仿宋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公文楷体">
    <w:altName w:val="楷体_GB2312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200F7">
    <w:pPr>
      <w:pStyle w:val="5"/>
      <w:rPr>
        <w:rFonts w:ascii="宋体" w:eastAsia="方正公文黑体"/>
        <w:b w:val="0"/>
        <w:bCs w:val="0"/>
        <w:kern w:val="0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2206F5">
                          <w:pPr>
                            <w:pStyle w:val="5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2206F5">
                    <w:pPr>
                      <w:pStyle w:val="5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C91D26">
                          <w:pPr>
                            <w:pStyle w:val="5"/>
                            <w:rPr>
                              <w:rFonts w:ascii="宋体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C91D26">
                    <w:pPr>
                      <w:pStyle w:val="5"/>
                      <w:rPr>
                        <w:rFonts w:ascii="宋体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宋体"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09A3FD">
                          <w:pPr>
                            <w:pStyle w:val="5"/>
                            <w:rPr>
                              <w:rFonts w:ascii="宋体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09A3FD">
                    <w:pPr>
                      <w:pStyle w:val="5"/>
                      <w:rPr>
                        <w:rFonts w:ascii="宋体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宋体"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68675CF">
                          <w:pPr>
                            <w:pStyle w:val="5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ilnPo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0NG6+lB1&#10;DzCHloWt3lke00SpvF0dA6RNikeBOlXQqXjAJKae9VsTR/3Pc4p6/K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GKWc+j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8675CF">
                    <w:pPr>
                      <w:pStyle w:val="5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8C61EB"/>
    <w:rsid w:val="03D1333D"/>
    <w:rsid w:val="07164A3A"/>
    <w:rsid w:val="088C61EB"/>
    <w:rsid w:val="098F153E"/>
    <w:rsid w:val="3D7405F3"/>
    <w:rsid w:val="55124B31"/>
    <w:rsid w:val="57E36310"/>
    <w:rsid w:val="5D213B63"/>
    <w:rsid w:val="7189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公文仿宋" w:cs="宋体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宋体" w:cs="方正公文仿宋"/>
      <w:kern w:val="0"/>
      <w:szCs w:val="32"/>
    </w:rPr>
  </w:style>
  <w:style w:type="paragraph" w:styleId="3">
    <w:name w:val="Plain Text"/>
    <w:basedOn w:val="1"/>
    <w:next w:val="4"/>
    <w:unhideWhenUsed/>
    <w:qFormat/>
    <w:uiPriority w:val="99"/>
    <w:rPr>
      <w:rFonts w:ascii="宋体" w:hAnsi="Courier New" w:eastAsia="宋体" w:cs="Courier New"/>
      <w:szCs w:val="21"/>
    </w:rPr>
  </w:style>
  <w:style w:type="paragraph" w:styleId="4">
    <w:name w:val="index 9"/>
    <w:basedOn w:val="1"/>
    <w:next w:val="1"/>
    <w:qFormat/>
    <w:uiPriority w:val="99"/>
    <w:pPr>
      <w:spacing w:line="240" w:lineRule="atLeast"/>
      <w:ind w:left="3360"/>
    </w:pPr>
    <w:rPr>
      <w:rFonts w:ascii="宋体" w:hAnsi="Calibri" w:eastAsia="方正公文仿宋" w:cs="等线"/>
      <w:sz w:val="32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2026-09-04T08:01:00Z</dcterms:created>
  <dc:creator>Miamia</dc:creator>
  <cp:lastModifiedBy>Miamia</cp:lastModifiedBy>
  <dcterms:modified xsi:type="dcterms:W3CDTF">2026-09-04T08:42:07Z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0AE8DACE3E5444D6B3D35FE718D1E5F1_11</vt:lpwstr>
  </property>
  <property fmtid="{D5CDD505-2E9C-101B-9397-08002B2CF9AE}" pid="4" name="KSOTemplateDocerSaveRecord">
    <vt:lpwstr>eyJoZGlkIjoiNjhkODA0M2I1NzVkNGEyYTBkZmJlOWFiMzE1MWRhZjYiLCJ1c2VySWQiOiI0MjA5MDEyMTYifQ==</vt:lpwstr>
  </property>
</Properties>
</file>