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F40DC">
      <w:pPr>
        <w:tabs>
          <w:tab w:val="left" w:pos="1037"/>
        </w:tabs>
        <w:bidi w:val="0"/>
        <w:jc w:val="left"/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  <w:t>附件1</w:t>
      </w:r>
    </w:p>
    <w:p w14:paraId="5B727C07">
      <w:pPr>
        <w:pStyle w:val="2"/>
        <w:jc w:val="center"/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  <w:lang w:val="en-US" w:eastAsia="zh-CN"/>
        </w:rPr>
        <w:t>比选评审标准</w:t>
      </w:r>
    </w:p>
    <w:tbl>
      <w:tblPr>
        <w:tblStyle w:val="4"/>
        <w:tblW w:w="12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4"/>
        <w:gridCol w:w="780"/>
        <w:gridCol w:w="755"/>
        <w:gridCol w:w="1710"/>
        <w:gridCol w:w="8740"/>
      </w:tblGrid>
      <w:tr w14:paraId="5B89C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6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DF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宋体" w:cs="宋体"/>
                <w:sz w:val="24"/>
                <w:szCs w:val="24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7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EC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宋体" w:cs="宋体"/>
                <w:sz w:val="24"/>
                <w:szCs w:val="24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4"/>
                <w:szCs w:val="24"/>
                <w:lang w:val="en-US" w:eastAsia="zh-CN"/>
              </w:rPr>
              <w:t>评审项目</w:t>
            </w:r>
          </w:p>
        </w:tc>
        <w:tc>
          <w:tcPr>
            <w:tcW w:w="246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55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宋体" w:cs="宋体"/>
                <w:sz w:val="24"/>
                <w:szCs w:val="24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4"/>
                <w:szCs w:val="24"/>
                <w:lang w:val="en-US" w:eastAsia="zh-CN"/>
              </w:rPr>
              <w:t>分数</w:t>
            </w:r>
          </w:p>
        </w:tc>
        <w:tc>
          <w:tcPr>
            <w:tcW w:w="87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1F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宋体" w:cs="宋体"/>
                <w:sz w:val="24"/>
                <w:szCs w:val="24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4"/>
                <w:szCs w:val="24"/>
                <w:lang w:val="en-US" w:eastAsia="zh-CN"/>
              </w:rPr>
              <w:t>评审要素</w:t>
            </w:r>
          </w:p>
        </w:tc>
      </w:tr>
      <w:tr w14:paraId="6D8D2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5" w:hRule="atLeast"/>
          <w:jc w:val="center"/>
        </w:trPr>
        <w:tc>
          <w:tcPr>
            <w:tcW w:w="6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5D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方正公文仿宋" w:cs="方正公文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6B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宋体" w:cs="宋体"/>
                <w:sz w:val="24"/>
                <w:szCs w:val="24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4"/>
                <w:szCs w:val="24"/>
                <w:lang w:val="en-US" w:eastAsia="zh-CN"/>
              </w:rPr>
              <w:t>报价</w:t>
            </w:r>
          </w:p>
        </w:tc>
        <w:tc>
          <w:tcPr>
            <w:tcW w:w="246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AA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方正公文仿宋" w:cs="方正公文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方正公文仿宋" w:hAnsi="方正公文仿宋" w:eastAsia="方正公文仿宋" w:cs="方正公文仿宋"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87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02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公文仿宋" w:hAnsi="方正公文仿宋" w:eastAsia="宋体" w:cs="宋体"/>
                <w:sz w:val="24"/>
                <w:szCs w:val="24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满足比选文件要求且报价最低的为评标基准价</w:t>
            </w:r>
            <w:r>
              <w:rPr>
                <w:rFonts w:hint="eastAsia" w:ascii="方正公文仿宋" w:hAnsi="方正公文仿宋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其价格分为满分</w:t>
            </w:r>
            <w:r>
              <w:rPr>
                <w:rFonts w:hint="eastAsia" w:ascii="方正公文仿宋" w:hAnsi="方正公文仿宋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方正公文仿宋" w:cs="方正公文仿宋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分</w:t>
            </w:r>
            <w:r>
              <w:rPr>
                <w:rFonts w:hint="eastAsia" w:ascii="方正公文仿宋" w:hAnsi="方正公文仿宋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）。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其他参选人的价格统一按照下列公式计算</w:t>
            </w:r>
            <w:r>
              <w:rPr>
                <w:rFonts w:hint="eastAsia" w:ascii="方正公文仿宋" w:hAnsi="方正公文仿宋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报价得分</w:t>
            </w:r>
            <w:r>
              <w:rPr>
                <w:rFonts w:hint="eastAsia" w:ascii="方正公文仿宋" w:hAnsi="方正公文仿宋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＝（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评标基准价</w:t>
            </w:r>
            <w:r>
              <w:rPr>
                <w:rFonts w:hint="eastAsia" w:ascii="方正公文仿宋" w:hAnsi="方正公文仿宋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／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  <w:r>
              <w:rPr>
                <w:rFonts w:hint="eastAsia" w:ascii="方正公文仿宋" w:hAnsi="方正公文仿宋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）×（</w:t>
            </w:r>
            <w:r>
              <w:rPr>
                <w:rFonts w:hint="eastAsia" w:ascii="宋体" w:hAnsi="宋体" w:eastAsia="方正公文仿宋" w:cs="方正公文仿宋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分</w:t>
            </w:r>
            <w:r>
              <w:rPr>
                <w:rFonts w:hint="eastAsia" w:ascii="方正公文仿宋" w:hAnsi="方正公文仿宋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）。（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注</w:t>
            </w:r>
            <w:r>
              <w:rPr>
                <w:rFonts w:hint="eastAsia" w:ascii="方正公文仿宋" w:hAnsi="方正公文仿宋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计算结果四舍五入保留两位小数</w:t>
            </w:r>
            <w:r>
              <w:rPr>
                <w:rFonts w:hint="eastAsia" w:ascii="方正公文仿宋" w:hAnsi="方正公文仿宋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报价超过最高限价的为无效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161616"/>
                <w:kern w:val="0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  <w:t>标</w:t>
            </w:r>
            <w:r>
              <w:rPr>
                <w:rFonts w:hint="eastAsia" w:ascii="方正公文仿宋" w:hAnsi="方正公文仿宋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。）</w:t>
            </w:r>
          </w:p>
        </w:tc>
      </w:tr>
      <w:tr w14:paraId="58A32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5" w:hRule="atLeast"/>
          <w:jc w:val="center"/>
        </w:trPr>
        <w:tc>
          <w:tcPr>
            <w:tcW w:w="614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3E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方正公文仿宋" w:cs="方正公文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80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B4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4"/>
                <w:szCs w:val="24"/>
                <w:lang w:val="en-US" w:eastAsia="zh-CN"/>
              </w:rPr>
              <w:t>综合实力</w:t>
            </w:r>
          </w:p>
        </w:tc>
        <w:tc>
          <w:tcPr>
            <w:tcW w:w="755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93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方正公文仿宋" w:cs="方正公文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方正公文仿宋" w:hAnsi="方正公文仿宋" w:eastAsia="方正公文仿宋" w:cs="方正公文仿宋"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17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81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4"/>
                <w:szCs w:val="24"/>
                <w:lang w:val="en-US" w:eastAsia="zh-CN"/>
              </w:rPr>
              <w:t>类似项目业绩</w:t>
            </w:r>
            <w:r>
              <w:rPr>
                <w:rFonts w:hint="eastAsia" w:ascii="方正公文仿宋" w:hAnsi="方正公文仿宋" w:eastAsia="宋体" w:cs="宋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方正公文仿宋" w:cs="方正公文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公文仿宋" w:hAnsi="方正公文仿宋" w:eastAsia="方正公文仿宋" w:cs="方正公文仿宋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方正公文仿宋" w:hAnsi="方正公文仿宋" w:eastAsia="宋体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87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8D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公文仿宋" w:hAnsi="方正公文仿宋" w:eastAsia="宋体" w:cs="宋体"/>
                <w:sz w:val="24"/>
                <w:szCs w:val="24"/>
              </w:rPr>
            </w:pP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参选人近</w:t>
            </w:r>
            <w:r>
              <w:rPr>
                <w:rFonts w:hint="eastAsia" w:ascii="宋体" w:hAnsi="宋体" w:eastAsia="方正公文仿宋" w:cs="方正公文仿宋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方正公文仿宋" w:hAnsi="方正公文仿宋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方正公文仿宋" w:cs="方正公文仿宋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方正公文仿宋" w:cs="方正公文仿宋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月至今</w:t>
            </w:r>
            <w:r>
              <w:rPr>
                <w:rFonts w:hint="eastAsia" w:ascii="方正公文仿宋" w:hAnsi="方正公文仿宋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承担过以下业绩</w:t>
            </w:r>
            <w:r>
              <w:rPr>
                <w:rFonts w:hint="eastAsia" w:ascii="方正公文仿宋" w:hAnsi="方正公文仿宋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：① 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承担过住建领域专项审计/内控/绩效评价等项目的</w:t>
            </w:r>
            <w:r>
              <w:rPr>
                <w:rFonts w:hint="eastAsia" w:ascii="方正公文仿宋" w:hAnsi="方正公文仿宋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每项得</w:t>
            </w:r>
            <w:r>
              <w:rPr>
                <w:rFonts w:hint="eastAsia" w:ascii="宋体" w:hAnsi="宋体" w:eastAsia="方正公文仿宋" w:cs="方正公文仿宋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分</w:t>
            </w:r>
            <w:r>
              <w:rPr>
                <w:rFonts w:hint="eastAsia" w:ascii="方正公文仿宋" w:hAnsi="方正公文仿宋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；② 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承担过住宅专项维修资金专项审计项目的</w:t>
            </w:r>
            <w:r>
              <w:rPr>
                <w:rFonts w:hint="eastAsia" w:ascii="方正公文仿宋" w:hAnsi="方正公文仿宋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每项得</w:t>
            </w:r>
            <w:r>
              <w:rPr>
                <w:rFonts w:hint="eastAsia" w:ascii="宋体" w:hAnsi="宋体" w:eastAsia="方正公文仿宋" w:cs="方正公文仿宋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分</w:t>
            </w:r>
            <w:r>
              <w:rPr>
                <w:rFonts w:hint="eastAsia" w:ascii="方正公文仿宋" w:hAnsi="方正公文仿宋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。（</w:t>
            </w:r>
            <w:r>
              <w:rPr>
                <w:rFonts w:hint="eastAsia" w:ascii="方正公文仿宋" w:hAnsi="方正公文仿宋" w:eastAsia="方正公文仿宋" w:cs="方正公文仿宋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需提供合同关键页复印件</w:t>
            </w:r>
            <w:r>
              <w:rPr>
                <w:rFonts w:hint="eastAsia" w:ascii="方正公文仿宋" w:hAnsi="方正公文仿宋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本项满分</w:t>
            </w:r>
            <w:r>
              <w:rPr>
                <w:rFonts w:hint="eastAsia" w:ascii="宋体" w:hAnsi="宋体" w:eastAsia="方正公文仿宋" w:cs="方正公文仿宋"/>
                <w:b w:val="0"/>
                <w:bCs w:val="0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分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  <w:r>
              <w:rPr>
                <w:rFonts w:hint="eastAsia" w:ascii="方正公文仿宋" w:hAnsi="方正公文仿宋" w:eastAsia="宋体" w:cs="宋体"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 w14:paraId="53AC5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95" w:hRule="atLeast"/>
          <w:jc w:val="center"/>
        </w:trPr>
        <w:tc>
          <w:tcPr>
            <w:tcW w:w="614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99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宋体" w:cs="宋体"/>
              </w:rPr>
            </w:pPr>
          </w:p>
        </w:tc>
        <w:tc>
          <w:tcPr>
            <w:tcW w:w="780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F9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宋体" w:cs="宋体"/>
              </w:rPr>
            </w:pPr>
          </w:p>
        </w:tc>
        <w:tc>
          <w:tcPr>
            <w:tcW w:w="755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04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宋体" w:cs="宋体"/>
                <w:b w:val="0"/>
                <w:bCs w:val="0"/>
              </w:rPr>
            </w:pPr>
          </w:p>
        </w:tc>
        <w:tc>
          <w:tcPr>
            <w:tcW w:w="17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15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项目团队配置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87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C2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项目负责人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）：①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具有高级会计师或高级审计师职称得</w:t>
            </w:r>
            <w:r>
              <w:rPr>
                <w:rFonts w:hint="eastAsia" w:ascii="宋体" w:hAnsi="宋体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；② 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近</w:t>
            </w:r>
            <w:r>
              <w:rPr>
                <w:rFonts w:hint="eastAsia" w:ascii="宋体" w:hAnsi="宋体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年担任过住建领域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含公积金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维修资金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其他专项资金等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审计项目负责人业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绩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每项得</w:t>
            </w:r>
            <w:r>
              <w:rPr>
                <w:rFonts w:hint="eastAsia" w:ascii="宋体" w:hAnsi="宋体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最高</w:t>
            </w:r>
            <w:r>
              <w:rPr>
                <w:rFonts w:hint="eastAsia" w:ascii="宋体" w:hAnsi="宋体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  <w:p w14:paraId="12A14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项目团队成员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） 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配备至少</w:t>
            </w:r>
            <w:r>
              <w:rPr>
                <w:rFonts w:hint="eastAsia" w:ascii="宋体" w:hAnsi="宋体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名具备</w:t>
            </w:r>
            <w:r>
              <w:rPr>
                <w:rFonts w:hint="eastAsia" w:ascii="宋体" w:hAnsi="宋体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CPA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中级会计师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中级审计师资格的核心成员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每有一人得</w:t>
            </w:r>
            <w:r>
              <w:rPr>
                <w:rFonts w:hint="eastAsia" w:ascii="宋体" w:hAnsi="宋体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最高</w:t>
            </w:r>
            <w:r>
              <w:rPr>
                <w:rFonts w:hint="eastAsia" w:ascii="宋体" w:hAnsi="宋体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</w:tc>
      </w:tr>
      <w:tr w14:paraId="5E7D3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5" w:hRule="atLeast"/>
          <w:jc w:val="center"/>
        </w:trPr>
        <w:tc>
          <w:tcPr>
            <w:tcW w:w="614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2A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公文仿宋" w:cs="方正公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公文仿宋" w:cs="方正公文仿宋"/>
                <w:sz w:val="24"/>
                <w:szCs w:val="24"/>
                <w:lang w:val="en-US" w:eastAsia="zh-CN"/>
              </w:rPr>
              <w:t>3</w:t>
            </w:r>
          </w:p>
          <w:p w14:paraId="1E8BB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90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4"/>
                <w:szCs w:val="24"/>
                <w:lang w:val="en-US" w:eastAsia="zh-CN"/>
              </w:rPr>
              <w:t>服务方案</w:t>
            </w:r>
          </w:p>
          <w:p w14:paraId="5E8F4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5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CC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分</w:t>
            </w:r>
          </w:p>
          <w:p w14:paraId="48D8B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1F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对项目需求的理解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87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87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）： 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深刻理解雄安新区住房管理中心的职能定位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对维修资金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预售资金、公积金等核心业务的风险点把握精准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对项目背景和政策依据理解透彻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  <w:p w14:paraId="202B4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良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）： 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对项目需求有较好的理解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能基本识别主要业务风险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  <w:p w14:paraId="78B8E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一般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）： 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对项目需求理解一般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仅做泛泛描述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  <w:p w14:paraId="6607E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差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）： 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理解偏差较大或照搬模板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</w:tc>
      </w:tr>
      <w:tr w14:paraId="02D65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0" w:hRule="atLeast"/>
          <w:jc w:val="center"/>
        </w:trPr>
        <w:tc>
          <w:tcPr>
            <w:tcW w:w="614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53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DC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755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EC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93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</w:rPr>
              <w:t>实施方案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方正公文仿宋" w:cs="方正公文仿宋"/>
                <w:b w:val="0"/>
                <w:bCs w:val="0"/>
                <w:sz w:val="24"/>
                <w:szCs w:val="24"/>
              </w:rPr>
              <w:t>25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shd w:val="clear" w:color="auto" w:fill="FFFFFF"/>
              </w:rPr>
              <w:t>分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</w:rPr>
              <w:t>）</w:t>
            </w:r>
          </w:p>
        </w:tc>
        <w:tc>
          <w:tcPr>
            <w:tcW w:w="87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07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方正公文仿宋" w:cs="方正公文仿宋"/>
                <w:b w:val="0"/>
                <w:bCs w:val="0"/>
                <w:sz w:val="24"/>
                <w:szCs w:val="24"/>
              </w:rPr>
              <w:t>1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</w:rPr>
              <w:t>）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</w:rPr>
              <w:t>审计思路与方法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方正公文仿宋" w:cs="方正公文仿宋"/>
                <w:b w:val="0"/>
                <w:bCs w:val="0"/>
                <w:sz w:val="24"/>
                <w:szCs w:val="24"/>
              </w:rPr>
              <w:t>8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</w:rPr>
              <w:t>分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</w:rPr>
              <w:t>）：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</w:rPr>
              <w:t>思路清晰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</w:rPr>
              <w:t>，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</w:rPr>
              <w:t>能结合大数据分析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</w:rPr>
              <w:t>、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</w:rPr>
              <w:t>穿行测试等现代审计手段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</w:rPr>
              <w:t>，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</w:rPr>
              <w:t>针对性强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</w:rPr>
              <w:t>。（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</w:rPr>
              <w:t>优</w:t>
            </w:r>
            <w:r>
              <w:rPr>
                <w:rFonts w:hint="eastAsia" w:ascii="宋体" w:hAnsi="宋体" w:eastAsia="方正公文仿宋" w:cs="方正公文仿宋"/>
                <w:b w:val="0"/>
                <w:bCs w:val="0"/>
                <w:sz w:val="24"/>
                <w:szCs w:val="24"/>
              </w:rPr>
              <w:t>8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</w:rPr>
              <w:t>分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</w:rPr>
              <w:t>，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</w:rPr>
              <w:t>良</w:t>
            </w:r>
            <w:r>
              <w:rPr>
                <w:rFonts w:hint="eastAsia" w:ascii="宋体" w:hAnsi="宋体" w:eastAsia="方正公文仿宋" w:cs="方正公文仿宋"/>
                <w:b w:val="0"/>
                <w:bCs w:val="0"/>
                <w:sz w:val="24"/>
                <w:szCs w:val="24"/>
              </w:rPr>
              <w:t>6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</w:rPr>
              <w:t>分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</w:rPr>
              <w:t>，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</w:rPr>
              <w:t>一般</w:t>
            </w:r>
            <w:r>
              <w:rPr>
                <w:rFonts w:hint="eastAsia" w:ascii="宋体" w:hAnsi="宋体" w:eastAsia="方正公文仿宋" w:cs="方正公文仿宋"/>
                <w:b w:val="0"/>
                <w:bCs w:val="0"/>
                <w:sz w:val="24"/>
                <w:szCs w:val="24"/>
              </w:rPr>
              <w:t>4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</w:rPr>
              <w:t>分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eastAsia="zh-CN"/>
              </w:rPr>
              <w:t>，差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</w:rPr>
              <w:t>）</w:t>
            </w:r>
          </w:p>
          <w:p w14:paraId="09E8F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方正公文仿宋" w:cs="方正公文仿宋"/>
                <w:b w:val="0"/>
                <w:bCs w:val="0"/>
                <w:sz w:val="24"/>
                <w:szCs w:val="24"/>
              </w:rPr>
              <w:t>2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</w:rPr>
              <w:t>）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</w:rPr>
              <w:t>重点难点分析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方正公文仿宋" w:cs="方正公文仿宋"/>
                <w:b w:val="0"/>
                <w:bCs w:val="0"/>
                <w:sz w:val="24"/>
                <w:szCs w:val="24"/>
              </w:rPr>
              <w:t>8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</w:rPr>
              <w:t>分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</w:rPr>
              <w:t>）：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对维修资金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公积金等核心业务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</w:rPr>
              <w:t>合规性等难点有深入剖析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</w:rPr>
              <w:t>，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</w:rPr>
              <w:t>并有切实可行的解决方案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</w:rPr>
              <w:t>。（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</w:rPr>
              <w:t>优</w:t>
            </w:r>
            <w:r>
              <w:rPr>
                <w:rFonts w:hint="eastAsia" w:ascii="宋体" w:hAnsi="宋体" w:eastAsia="方正公文仿宋" w:cs="方正公文仿宋"/>
                <w:b w:val="0"/>
                <w:bCs w:val="0"/>
                <w:sz w:val="24"/>
                <w:szCs w:val="24"/>
              </w:rPr>
              <w:t>8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</w:rPr>
              <w:t>分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</w:rPr>
              <w:t>，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</w:rPr>
              <w:t>良</w:t>
            </w:r>
            <w:r>
              <w:rPr>
                <w:rFonts w:hint="eastAsia" w:ascii="宋体" w:hAnsi="宋体" w:eastAsia="方正公文仿宋" w:cs="方正公文仿宋"/>
                <w:b w:val="0"/>
                <w:bCs w:val="0"/>
                <w:sz w:val="24"/>
                <w:szCs w:val="24"/>
              </w:rPr>
              <w:t>6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</w:rPr>
              <w:t>分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</w:rPr>
              <w:t>，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</w:rPr>
              <w:t>一般</w:t>
            </w:r>
            <w:r>
              <w:rPr>
                <w:rFonts w:hint="eastAsia" w:ascii="宋体" w:hAnsi="宋体" w:eastAsia="方正公文仿宋" w:cs="方正公文仿宋"/>
                <w:b w:val="0"/>
                <w:bCs w:val="0"/>
                <w:sz w:val="24"/>
                <w:szCs w:val="24"/>
              </w:rPr>
              <w:t>4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</w:rPr>
              <w:t>分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eastAsia="zh-CN"/>
              </w:rPr>
              <w:t>，差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</w:rPr>
              <w:t>）</w:t>
            </w:r>
          </w:p>
          <w:p w14:paraId="7BC9E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方正公文仿宋" w:cs="方正公文仿宋"/>
                <w:b w:val="0"/>
                <w:bCs w:val="0"/>
                <w:sz w:val="24"/>
                <w:szCs w:val="24"/>
              </w:rPr>
              <w:t>3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</w:rPr>
              <w:t>）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</w:rPr>
              <w:t>工作流程与进度安排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方正公文仿宋" w:cs="方正公文仿宋"/>
                <w:b w:val="0"/>
                <w:bCs w:val="0"/>
                <w:sz w:val="24"/>
                <w:szCs w:val="24"/>
              </w:rPr>
              <w:t>5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</w:rPr>
              <w:t>分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</w:rPr>
              <w:t>）：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</w:rPr>
              <w:t>各阶段任务划分明确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</w:rPr>
              <w:t>，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</w:rPr>
              <w:t>时间节点合理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</w:rPr>
              <w:t>，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</w:rPr>
              <w:t>响应及时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</w:rPr>
              <w:t>。（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</w:rPr>
              <w:t>优</w:t>
            </w:r>
            <w:r>
              <w:rPr>
                <w:rFonts w:hint="eastAsia" w:ascii="宋体" w:hAnsi="宋体" w:eastAsia="方正公文仿宋" w:cs="方正公文仿宋"/>
                <w:b w:val="0"/>
                <w:bCs w:val="0"/>
                <w:sz w:val="24"/>
                <w:szCs w:val="24"/>
              </w:rPr>
              <w:t>5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</w:rPr>
              <w:t>分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</w:rPr>
              <w:t>，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</w:rPr>
              <w:t>良</w:t>
            </w:r>
            <w:r>
              <w:rPr>
                <w:rFonts w:hint="eastAsia" w:ascii="宋体" w:hAnsi="宋体" w:eastAsia="方正公文仿宋" w:cs="方正公文仿宋"/>
                <w:b w:val="0"/>
                <w:bCs w:val="0"/>
                <w:sz w:val="24"/>
                <w:szCs w:val="24"/>
              </w:rPr>
              <w:t>4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</w:rPr>
              <w:t>分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</w:rPr>
              <w:t>，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</w:rPr>
              <w:t>一般</w:t>
            </w:r>
            <w:r>
              <w:rPr>
                <w:rFonts w:hint="eastAsia" w:ascii="宋体" w:hAnsi="宋体" w:eastAsia="方正公文仿宋" w:cs="方正公文仿宋"/>
                <w:b w:val="0"/>
                <w:bCs w:val="0"/>
                <w:sz w:val="24"/>
                <w:szCs w:val="24"/>
              </w:rPr>
              <w:t>3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</w:rPr>
              <w:t>分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eastAsia="zh-CN"/>
              </w:rPr>
              <w:t>，差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0分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</w:rPr>
              <w:t>）</w:t>
            </w:r>
          </w:p>
          <w:p w14:paraId="12B50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方正公文仿宋" w:cs="方正公文仿宋"/>
                <w:b w:val="0"/>
                <w:bCs w:val="0"/>
                <w:sz w:val="24"/>
                <w:szCs w:val="24"/>
              </w:rPr>
              <w:t>4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</w:rPr>
              <w:t>）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</w:rPr>
              <w:t>质量控制措施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方正公文仿宋" w:cs="方正公文仿宋"/>
                <w:b w:val="0"/>
                <w:bCs w:val="0"/>
                <w:sz w:val="24"/>
                <w:szCs w:val="24"/>
              </w:rPr>
              <w:t>4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</w:rPr>
              <w:t>分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</w:rPr>
              <w:t>）：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</w:rPr>
              <w:t>内部复核制度健全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</w:rPr>
              <w:t>，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</w:rPr>
              <w:t>差错追溯机制完善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</w:rPr>
              <w:t>。（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</w:rPr>
              <w:t>优</w:t>
            </w:r>
            <w:r>
              <w:rPr>
                <w:rFonts w:hint="eastAsia" w:ascii="宋体" w:hAnsi="宋体" w:eastAsia="方正公文仿宋" w:cs="方正公文仿宋"/>
                <w:b w:val="0"/>
                <w:bCs w:val="0"/>
                <w:sz w:val="24"/>
                <w:szCs w:val="24"/>
              </w:rPr>
              <w:t>4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</w:rPr>
              <w:t>分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</w:rPr>
              <w:t>，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</w:rPr>
              <w:t>良</w:t>
            </w:r>
            <w:r>
              <w:rPr>
                <w:rFonts w:hint="eastAsia" w:ascii="宋体" w:hAnsi="宋体" w:eastAsia="方正公文仿宋" w:cs="方正公文仿宋"/>
                <w:b w:val="0"/>
                <w:bCs w:val="0"/>
                <w:sz w:val="24"/>
                <w:szCs w:val="24"/>
              </w:rPr>
              <w:t>3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</w:rPr>
              <w:t>分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</w:rPr>
              <w:t>，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</w:rPr>
              <w:t>一般</w:t>
            </w:r>
            <w:r>
              <w:rPr>
                <w:rFonts w:hint="eastAsia" w:ascii="宋体" w:hAnsi="宋体" w:eastAsia="方正公文仿宋" w:cs="方正公文仿宋"/>
                <w:b w:val="0"/>
                <w:bCs w:val="0"/>
                <w:sz w:val="24"/>
                <w:szCs w:val="24"/>
              </w:rPr>
              <w:t>2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</w:rPr>
              <w:t>分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eastAsia="zh-CN"/>
              </w:rPr>
              <w:t>，差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</w:rPr>
              <w:t>）</w:t>
            </w:r>
          </w:p>
        </w:tc>
      </w:tr>
      <w:tr w14:paraId="05778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95" w:hRule="atLeast"/>
          <w:jc w:val="center"/>
        </w:trPr>
        <w:tc>
          <w:tcPr>
            <w:tcW w:w="614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89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0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78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5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A6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B9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咨询服务与成果交付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分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87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01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整改建议与管理优化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）：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不仅指出问题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还能提供具有可操作性的管理建议书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能协助优化专项管理事项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。（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一般</w:t>
            </w:r>
            <w:r>
              <w:rPr>
                <w:rFonts w:hint="eastAsia" w:ascii="宋体" w:hAnsi="宋体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分，差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）</w:t>
            </w:r>
          </w:p>
          <w:p w14:paraId="7C73B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档案管理与保密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）：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承诺工作底稿规范归档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且有严格的保密措施（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分）和承诺函（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分）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</w:tc>
      </w:tr>
      <w:tr w14:paraId="5E550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5" w:hRule="atLeast"/>
          <w:jc w:val="center"/>
        </w:trPr>
        <w:tc>
          <w:tcPr>
            <w:tcW w:w="614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3E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80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D2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4"/>
                <w:szCs w:val="24"/>
                <w:lang w:val="en-US" w:eastAsia="zh-CN"/>
              </w:rPr>
              <w:t>服务方案</w:t>
            </w:r>
          </w:p>
        </w:tc>
        <w:tc>
          <w:tcPr>
            <w:tcW w:w="755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7C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17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2C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应急响应及服务承诺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87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8FF02">
            <w:pPr>
              <w:keepNext w:val="0"/>
              <w:keepLines w:val="0"/>
              <w:pageBreakBefore w:val="0"/>
              <w:widowControl/>
              <w:tabs>
                <w:tab w:val="left" w:pos="10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" w:eastAsia="zh-CN"/>
              </w:rPr>
              <w:t>针对上级突击检查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" w:eastAsia="zh-CN"/>
              </w:rPr>
              <w:t>、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" w:eastAsia="zh-CN"/>
              </w:rPr>
              <w:t>专项核查等紧急任务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" w:eastAsia="zh-CN"/>
              </w:rPr>
              <w:t>，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" w:eastAsia="zh-CN"/>
              </w:rPr>
              <w:t>有明确的应急响应机制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" w:eastAsia="zh-CN"/>
              </w:rPr>
              <w:t>（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" w:eastAsia="zh-CN"/>
              </w:rPr>
              <w:t>如</w:t>
            </w:r>
            <w:r>
              <w:rPr>
                <w:rFonts w:hint="eastAsia" w:ascii="宋体" w:hAnsi="宋体" w:eastAsia="方正公文仿宋" w:cs="方正公文仿宋"/>
                <w:b w:val="0"/>
                <w:bCs w:val="0"/>
                <w:sz w:val="24"/>
                <w:szCs w:val="24"/>
                <w:lang w:val="en" w:eastAsia="zh-CN"/>
              </w:rPr>
              <w:t>2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" w:eastAsia="zh-CN"/>
              </w:rPr>
              <w:t>小时内响应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" w:eastAsia="zh-CN"/>
              </w:rPr>
              <w:t>、</w:t>
            </w:r>
            <w:r>
              <w:rPr>
                <w:rFonts w:hint="eastAsia" w:ascii="宋体" w:hAnsi="宋体" w:eastAsia="方正公文仿宋" w:cs="方正公文仿宋"/>
                <w:b w:val="0"/>
                <w:bCs w:val="0"/>
                <w:sz w:val="24"/>
                <w:szCs w:val="24"/>
                <w:lang w:val="en" w:eastAsia="zh-CN"/>
              </w:rPr>
              <w:t>24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" w:eastAsia="zh-CN"/>
              </w:rPr>
              <w:t>小时内到场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" w:eastAsia="zh-CN"/>
              </w:rPr>
              <w:t>）。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" w:eastAsia="zh-CN"/>
              </w:rPr>
              <w:t>承诺随叫随到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" w:eastAsia="zh-CN"/>
              </w:rPr>
              <w:t>、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" w:eastAsia="zh-CN"/>
              </w:rPr>
              <w:t>专人负责的得</w:t>
            </w:r>
            <w:r>
              <w:rPr>
                <w:rFonts w:hint="eastAsia" w:ascii="宋体" w:hAnsi="宋体" w:eastAsia="方正公文仿宋" w:cs="方正公文仿宋"/>
                <w:b w:val="0"/>
                <w:bCs w:val="0"/>
                <w:sz w:val="24"/>
                <w:szCs w:val="24"/>
                <w:lang w:val="en" w:eastAsia="zh-CN"/>
              </w:rPr>
              <w:t>5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" w:eastAsia="zh-CN"/>
              </w:rPr>
              <w:t>分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" w:eastAsia="zh-CN"/>
              </w:rPr>
              <w:t>；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" w:eastAsia="zh-CN"/>
              </w:rPr>
              <w:t>承诺较模糊的酌情扣</w:t>
            </w:r>
            <w:r>
              <w:rPr>
                <w:rFonts w:hint="eastAsia" w:ascii="宋体" w:hAnsi="宋体" w:eastAsia="方正公文仿宋" w:cs="方正公文仿宋"/>
                <w:b w:val="0"/>
                <w:bCs w:val="0"/>
                <w:sz w:val="24"/>
                <w:szCs w:val="24"/>
                <w:lang w:val="en" w:eastAsia="zh-CN"/>
              </w:rPr>
              <w:t>2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" w:eastAsia="zh-CN"/>
              </w:rPr>
              <w:t>-</w:t>
            </w:r>
            <w:r>
              <w:rPr>
                <w:rFonts w:hint="eastAsia" w:ascii="宋体" w:hAnsi="宋体" w:eastAsia="方正公文仿宋" w:cs="方正公文仿宋"/>
                <w:b w:val="0"/>
                <w:bCs w:val="0"/>
                <w:sz w:val="24"/>
                <w:szCs w:val="24"/>
                <w:lang w:val="en" w:eastAsia="zh-CN"/>
              </w:rPr>
              <w:t>3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" w:eastAsia="zh-CN"/>
              </w:rPr>
              <w:t>分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" w:eastAsia="zh-CN"/>
              </w:rPr>
              <w:t>；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" w:eastAsia="zh-CN"/>
              </w:rPr>
              <w:t>未提及的不得分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" w:eastAsia="zh-CN"/>
              </w:rPr>
              <w:t>。</w:t>
            </w:r>
          </w:p>
        </w:tc>
      </w:tr>
      <w:tr w14:paraId="2EF7E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5" w:hRule="atLeast"/>
          <w:jc w:val="center"/>
        </w:trPr>
        <w:tc>
          <w:tcPr>
            <w:tcW w:w="614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83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公文仿宋" w:hAnsi="方正公文仿宋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80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06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55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71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1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22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安全管理方案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87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D8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数据安全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（</w:t>
            </w:r>
            <w:r>
              <w:rPr>
                <w:rFonts w:hint="eastAsia" w:ascii="宋体" w:hAnsi="宋体" w:eastAsia="方正公文仿宋" w:cs="方正公文仿宋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分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）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针对接触敏感财务数据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有具体的防泄密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防丢失技术措施和管理规定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  <w:p w14:paraId="40EA9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人员稳定性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）：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承诺核心人员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项目经理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全程参与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未经采购人同意不得随意更换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并提供人员锁定承诺函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</w:tc>
      </w:tr>
      <w:tr w14:paraId="42387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0" w:hRule="atLeast"/>
          <w:jc w:val="center"/>
        </w:trPr>
        <w:tc>
          <w:tcPr>
            <w:tcW w:w="6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C4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公文仿宋" w:cs="方正公文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A1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4"/>
                <w:szCs w:val="24"/>
                <w:lang w:val="en-US" w:eastAsia="zh-CN"/>
              </w:rPr>
              <w:t>比选申请文件的规范性</w:t>
            </w:r>
          </w:p>
        </w:tc>
        <w:tc>
          <w:tcPr>
            <w:tcW w:w="246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84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分</w:t>
            </w:r>
          </w:p>
        </w:tc>
        <w:tc>
          <w:tcPr>
            <w:tcW w:w="87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60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公文仿宋" w:hAnsi="方正公文仿宋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比选申请文件制作规范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没有细微偏差情形的得</w:t>
            </w:r>
            <w:r>
              <w:rPr>
                <w:rFonts w:hint="eastAsia" w:ascii="宋体" w:hAnsi="宋体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有一项细微偏差扣</w:t>
            </w:r>
            <w:r>
              <w:rPr>
                <w:rFonts w:hint="eastAsia" w:ascii="宋体" w:hAnsi="宋体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直至该项分值扣完为止</w:t>
            </w:r>
            <w:r>
              <w:rPr>
                <w:rFonts w:hint="eastAsia" w:ascii="方正公文仿宋" w:hAnsi="方正公文仿宋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</w:tc>
      </w:tr>
      <w:tr w14:paraId="55498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0" w:hRule="atLeast"/>
          <w:jc w:val="center"/>
        </w:trPr>
        <w:tc>
          <w:tcPr>
            <w:tcW w:w="139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A5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公文仿宋" w:cs="方正公文仿宋"/>
                <w:sz w:val="24"/>
                <w:szCs w:val="24"/>
                <w:lang w:val="en-US" w:eastAsia="zh-CN"/>
              </w:rPr>
              <w:t>总分</w:t>
            </w:r>
          </w:p>
        </w:tc>
        <w:tc>
          <w:tcPr>
            <w:tcW w:w="11205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43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公文仿宋" w:hAnsi="方正公文仿宋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方正公文仿宋" w:cs="方正公文仿宋"/>
                <w:b w:val="0"/>
                <w:bCs w:val="0"/>
                <w:sz w:val="24"/>
                <w:szCs w:val="24"/>
                <w:lang w:val="en-US" w:eastAsia="zh-CN"/>
              </w:rPr>
              <w:t>100分</w:t>
            </w:r>
          </w:p>
        </w:tc>
      </w:tr>
    </w:tbl>
    <w:p w14:paraId="187AABE0">
      <w:pPr>
        <w:pStyle w:val="2"/>
        <w:rPr>
          <w:rFonts w:hint="eastAsia"/>
          <w:lang w:val="en-US" w:eastAsia="zh-CN"/>
        </w:rPr>
      </w:pPr>
    </w:p>
    <w:p w14:paraId="142AE4C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仿宋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SOF7892C2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11A506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93627"/>
    <w:rsid w:val="61D9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basedOn w:val="1"/>
    <w:next w:val="1"/>
    <w:qFormat/>
    <w:uiPriority w:val="0"/>
    <w:rPr>
      <w:rFonts w:ascii="宋体" w:hAnsi="Courier New" w:eastAsia="宋体"/>
      <w:sz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2026-07-17T01:51:00Z</dcterms:created>
  <dc:creator>monky</dc:creator>
  <cp:lastModifiedBy>monky</cp:lastModifiedBy>
  <dcterms:modified xsi:type="dcterms:W3CDTF">2026-07-17T01:52:37Z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E9217B1E55D441628F15626A16E25A45_11</vt:lpwstr>
  </property>
  <property fmtid="{D5CDD505-2E9C-101B-9397-08002B2CF9AE}" pid="4" name="KSOTemplateDocerSaveRecord">
    <vt:lpwstr>eyJoZGlkIjoiMTdkNTU2MjdmNmU1NjcyN2MxNmU2MDkzOWU0ZDQyODgiLCJ1c2VySWQiOiIyNjY3MTU5MTUifQ==</vt:lpwstr>
  </property>
</Properties>
</file>