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4</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5</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8</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9</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11</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12</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13</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13</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15</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15</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15</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20</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21</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37</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37</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38</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39</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679.20</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r>
              <w:t xml:space="preserve">679.20</w:t>
            </w: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679.20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679.20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679.20</w:t>
            </w:r>
          </w:p>
        </w:tc>
        <w:tc>
          <w:tcPr>
            <w:tcW w:w="4535" w:type="dxa"/>
            <w:vAlign w:val="center"/>
          </w:tcPr>
          <w:p>
            <w:pPr>
              <w:pStyle w:val="单元格样式6"/>
            </w:pPr>
            <w:r>
              <w:t xml:space="preserve">支出总计</w:t>
            </w:r>
          </w:p>
        </w:tc>
        <w:tc>
          <w:tcPr>
            <w:tcW w:w="2126" w:type="dxa"/>
            <w:vAlign w:val="center"/>
          </w:tcPr>
          <w:p>
            <w:pPr>
              <w:pStyle w:val="单元格样式7"/>
            </w:pPr>
            <w:r>
              <w:t xml:space="preserve">679.20</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679.20</w:t>
            </w:r>
          </w:p>
        </w:tc>
        <w:tc>
          <w:tcPr>
            <w:tcW w:w="1134" w:type="dxa"/>
            <w:vAlign w:val="center"/>
          </w:tcPr>
          <w:p>
            <w:pPr>
              <w:pStyle w:val="单元格样式7"/>
            </w:pPr>
            <w:r>
              <w:t xml:space="preserve">679.20</w:t>
            </w:r>
          </w:p>
        </w:tc>
        <w:tc>
          <w:tcPr>
            <w:tcW w:w="1134" w:type="dxa"/>
            <w:vAlign w:val="center"/>
          </w:tcPr>
          <w:p>
            <w:pPr>
              <w:pStyle w:val="单元格样式7"/>
            </w:pPr>
            <w:r>
              <w:t xml:space="preserve">679.20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212</w:t>
            </w:r>
          </w:p>
        </w:tc>
        <w:tc>
          <w:tcPr>
            <w:tcW w:w="1559" w:type="dxa"/>
            <w:vAlign w:val="center"/>
          </w:tcPr>
          <w:p>
            <w:pPr>
              <w:pStyle w:val="单元格样式2"/>
            </w:pPr>
            <w:r>
              <w:t xml:space="preserve">城乡社区支出</w:t>
            </w:r>
          </w:p>
        </w:tc>
        <w:tc>
          <w:tcPr>
            <w:tcW w:w="1134" w:type="dxa"/>
            <w:vAlign w:val="center"/>
          </w:tcPr>
          <w:p>
            <w:pPr>
              <w:pStyle w:val="单元格样式4"/>
            </w:pPr>
            <w:r>
              <w:t xml:space="preserve">679.20</w:t>
            </w:r>
          </w:p>
        </w:tc>
        <w:tc>
          <w:tcPr>
            <w:tcW w:w="1134" w:type="dxa"/>
            <w:vAlign w:val="center"/>
          </w:tcPr>
          <w:p>
            <w:pPr>
              <w:pStyle w:val="单元格样式4"/>
            </w:pPr>
            <w:r>
              <w:t xml:space="preserve">679.20</w:t>
            </w:r>
          </w:p>
        </w:tc>
        <w:tc>
          <w:tcPr>
            <w:tcW w:w="1134" w:type="dxa"/>
            <w:vAlign w:val="center"/>
          </w:tcPr>
          <w:p>
            <w:pPr>
              <w:pStyle w:val="单元格样式4"/>
            </w:pPr>
            <w:r>
              <w:t xml:space="preserve">679.20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21201</w:t>
            </w:r>
          </w:p>
        </w:tc>
        <w:tc>
          <w:tcPr>
            <w:tcW w:w="1559" w:type="dxa"/>
            <w:vAlign w:val="center"/>
          </w:tcPr>
          <w:p>
            <w:pPr>
              <w:pStyle w:val="单元格样式2"/>
            </w:pPr>
            <w:r>
              <w:t xml:space="preserve">城乡社区管理事务</w:t>
            </w:r>
          </w:p>
        </w:tc>
        <w:tc>
          <w:tcPr>
            <w:tcW w:w="1134" w:type="dxa"/>
            <w:vAlign w:val="center"/>
          </w:tcPr>
          <w:p>
            <w:pPr>
              <w:pStyle w:val="单元格样式4"/>
            </w:pPr>
            <w:r>
              <w:t xml:space="preserve">679.20</w:t>
            </w:r>
          </w:p>
        </w:tc>
        <w:tc>
          <w:tcPr>
            <w:tcW w:w="1134" w:type="dxa"/>
            <w:vAlign w:val="center"/>
          </w:tcPr>
          <w:p>
            <w:pPr>
              <w:pStyle w:val="单元格样式4"/>
            </w:pPr>
            <w:r>
              <w:t xml:space="preserve">679.20</w:t>
            </w:r>
          </w:p>
        </w:tc>
        <w:tc>
          <w:tcPr>
            <w:tcW w:w="1134" w:type="dxa"/>
            <w:vAlign w:val="center"/>
          </w:tcPr>
          <w:p>
            <w:pPr>
              <w:pStyle w:val="单元格样式4"/>
            </w:pPr>
            <w:r>
              <w:t xml:space="preserve">679.20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2120106</w:t>
            </w:r>
          </w:p>
        </w:tc>
        <w:tc>
          <w:tcPr>
            <w:tcW w:w="1559" w:type="dxa"/>
            <w:vAlign w:val="center"/>
          </w:tcPr>
          <w:p>
            <w:pPr>
              <w:pStyle w:val="单元格样式2"/>
            </w:pPr>
            <w:r>
              <w:t xml:space="preserve">工程建设管理</w:t>
            </w:r>
          </w:p>
        </w:tc>
        <w:tc>
          <w:tcPr>
            <w:tcW w:w="1134" w:type="dxa"/>
            <w:vAlign w:val="center"/>
          </w:tcPr>
          <w:p>
            <w:pPr>
              <w:pStyle w:val="单元格样式4"/>
            </w:pPr>
            <w:r>
              <w:t xml:space="preserve">287.20</w:t>
            </w:r>
          </w:p>
        </w:tc>
        <w:tc>
          <w:tcPr>
            <w:tcW w:w="1134" w:type="dxa"/>
            <w:vAlign w:val="center"/>
          </w:tcPr>
          <w:p>
            <w:pPr>
              <w:pStyle w:val="单元格样式4"/>
            </w:pPr>
            <w:r>
              <w:t xml:space="preserve">287.20</w:t>
            </w:r>
          </w:p>
        </w:tc>
        <w:tc>
          <w:tcPr>
            <w:tcW w:w="1134" w:type="dxa"/>
            <w:vAlign w:val="center"/>
          </w:tcPr>
          <w:p>
            <w:pPr>
              <w:pStyle w:val="单元格样式4"/>
            </w:pPr>
            <w:r>
              <w:t xml:space="preserve">287.20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2120199</w:t>
            </w:r>
          </w:p>
        </w:tc>
        <w:tc>
          <w:tcPr>
            <w:tcW w:w="1559" w:type="dxa"/>
            <w:vAlign w:val="center"/>
          </w:tcPr>
          <w:p>
            <w:pPr>
              <w:pStyle w:val="单元格样式2"/>
            </w:pPr>
            <w:r>
              <w:t xml:space="preserve">其他城乡社区管理事务支出</w:t>
            </w:r>
          </w:p>
        </w:tc>
        <w:tc>
          <w:tcPr>
            <w:tcW w:w="1134" w:type="dxa"/>
            <w:vAlign w:val="center"/>
          </w:tcPr>
          <w:p>
            <w:pPr>
              <w:pStyle w:val="单元格样式4"/>
            </w:pPr>
            <w:r>
              <w:t xml:space="preserve">392.00</w:t>
            </w:r>
          </w:p>
        </w:tc>
        <w:tc>
          <w:tcPr>
            <w:tcW w:w="1134" w:type="dxa"/>
            <w:vAlign w:val="center"/>
          </w:tcPr>
          <w:p>
            <w:pPr>
              <w:pStyle w:val="单元格样式4"/>
            </w:pPr>
            <w:r>
              <w:t xml:space="preserve">392.00</w:t>
            </w:r>
          </w:p>
        </w:tc>
        <w:tc>
          <w:tcPr>
            <w:tcW w:w="1134" w:type="dxa"/>
            <w:vAlign w:val="center"/>
          </w:tcPr>
          <w:p>
            <w:pPr>
              <w:pStyle w:val="单元格样式4"/>
            </w:pPr>
            <w:r>
              <w:t xml:space="preserve">392.00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679.20</w:t>
            </w:r>
          </w:p>
        </w:tc>
        <w:tc>
          <w:tcPr>
            <w:tcW w:w="1361" w:type="dxa"/>
            <w:vAlign w:val="center"/>
          </w:tcPr>
          <w:p>
            <w:pPr>
              <w:pStyle w:val="单元格样式7"/>
            </w:pPr>
          </w:p>
        </w:tc>
        <w:tc>
          <w:tcPr>
            <w:tcW w:w="1361" w:type="dxa"/>
            <w:vAlign w:val="center"/>
          </w:tcPr>
          <w:p>
            <w:pPr>
              <w:pStyle w:val="单元格样式7"/>
            </w:pPr>
            <w:r>
              <w:t xml:space="preserve">679.20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1361" w:type="dxa"/>
            <w:vAlign w:val="center"/>
          </w:tcPr>
          <w:p>
            <w:pPr>
              <w:pStyle w:val="单元格样式4"/>
            </w:pPr>
            <w:r>
              <w:t xml:space="preserve">679.20</w:t>
            </w:r>
          </w:p>
        </w:tc>
        <w:tc>
          <w:tcPr>
            <w:tcW w:w="1361" w:type="dxa"/>
            <w:vAlign w:val="center"/>
          </w:tcPr>
          <w:p>
            <w:pPr>
              <w:pStyle w:val="单元格样式4"/>
            </w:pPr>
          </w:p>
        </w:tc>
        <w:tc>
          <w:tcPr>
            <w:tcW w:w="1361" w:type="dxa"/>
            <w:vAlign w:val="center"/>
          </w:tcPr>
          <w:p>
            <w:pPr>
              <w:pStyle w:val="单元格样式4"/>
            </w:pPr>
            <w:r>
              <w:t xml:space="preserve">679.20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21201</w:t>
            </w:r>
          </w:p>
        </w:tc>
        <w:tc>
          <w:tcPr>
            <w:tcW w:w="4535" w:type="dxa"/>
            <w:vAlign w:val="center"/>
          </w:tcPr>
          <w:p>
            <w:pPr>
              <w:pStyle w:val="单元格样式2"/>
            </w:pPr>
            <w:r>
              <w:t xml:space="preserve">城乡社区管理事务</w:t>
            </w:r>
          </w:p>
        </w:tc>
        <w:tc>
          <w:tcPr>
            <w:tcW w:w="1361" w:type="dxa"/>
            <w:vAlign w:val="center"/>
          </w:tcPr>
          <w:p>
            <w:pPr>
              <w:pStyle w:val="单元格样式4"/>
            </w:pPr>
            <w:r>
              <w:t xml:space="preserve">679.20</w:t>
            </w:r>
          </w:p>
        </w:tc>
        <w:tc>
          <w:tcPr>
            <w:tcW w:w="1361" w:type="dxa"/>
            <w:vAlign w:val="center"/>
          </w:tcPr>
          <w:p>
            <w:pPr>
              <w:pStyle w:val="单元格样式4"/>
            </w:pPr>
          </w:p>
        </w:tc>
        <w:tc>
          <w:tcPr>
            <w:tcW w:w="1361" w:type="dxa"/>
            <w:vAlign w:val="center"/>
          </w:tcPr>
          <w:p>
            <w:pPr>
              <w:pStyle w:val="单元格样式4"/>
            </w:pPr>
            <w:r>
              <w:t xml:space="preserve">679.20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2120106</w:t>
            </w:r>
          </w:p>
        </w:tc>
        <w:tc>
          <w:tcPr>
            <w:tcW w:w="4535" w:type="dxa"/>
            <w:vAlign w:val="center"/>
          </w:tcPr>
          <w:p>
            <w:pPr>
              <w:pStyle w:val="单元格样式2"/>
            </w:pPr>
            <w:r>
              <w:t xml:space="preserve">工程建设管理</w:t>
            </w:r>
          </w:p>
        </w:tc>
        <w:tc>
          <w:tcPr>
            <w:tcW w:w="1361" w:type="dxa"/>
            <w:vAlign w:val="center"/>
          </w:tcPr>
          <w:p>
            <w:pPr>
              <w:pStyle w:val="单元格样式4"/>
            </w:pPr>
            <w:r>
              <w:t xml:space="preserve">287.20</w:t>
            </w:r>
          </w:p>
        </w:tc>
        <w:tc>
          <w:tcPr>
            <w:tcW w:w="1361" w:type="dxa"/>
            <w:vAlign w:val="center"/>
          </w:tcPr>
          <w:p>
            <w:pPr>
              <w:pStyle w:val="单元格样式4"/>
            </w:pPr>
          </w:p>
        </w:tc>
        <w:tc>
          <w:tcPr>
            <w:tcW w:w="1361" w:type="dxa"/>
            <w:vAlign w:val="center"/>
          </w:tcPr>
          <w:p>
            <w:pPr>
              <w:pStyle w:val="单元格样式4"/>
            </w:pPr>
            <w:r>
              <w:t xml:space="preserve">287.20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2120199</w:t>
            </w:r>
          </w:p>
        </w:tc>
        <w:tc>
          <w:tcPr>
            <w:tcW w:w="4535" w:type="dxa"/>
            <w:vAlign w:val="center"/>
          </w:tcPr>
          <w:p>
            <w:pPr>
              <w:pStyle w:val="单元格样式2"/>
            </w:pPr>
            <w:r>
              <w:t xml:space="preserve">其他城乡社区管理事务支出</w:t>
            </w:r>
          </w:p>
        </w:tc>
        <w:tc>
          <w:tcPr>
            <w:tcW w:w="1361" w:type="dxa"/>
            <w:vAlign w:val="center"/>
          </w:tcPr>
          <w:p>
            <w:pPr>
              <w:pStyle w:val="单元格样式4"/>
            </w:pPr>
            <w:r>
              <w:t xml:space="preserve">392.00</w:t>
            </w:r>
          </w:p>
        </w:tc>
        <w:tc>
          <w:tcPr>
            <w:tcW w:w="1361" w:type="dxa"/>
            <w:vAlign w:val="center"/>
          </w:tcPr>
          <w:p>
            <w:pPr>
              <w:pStyle w:val="单元格样式4"/>
            </w:pPr>
          </w:p>
        </w:tc>
        <w:tc>
          <w:tcPr>
            <w:tcW w:w="1361" w:type="dxa"/>
            <w:vAlign w:val="center"/>
          </w:tcPr>
          <w:p>
            <w:pPr>
              <w:pStyle w:val="单元格样式4"/>
            </w:pPr>
            <w:r>
              <w:t xml:space="preserve">392.00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679.20</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r>
              <w:t xml:space="preserve">679.20</w:t>
            </w:r>
          </w:p>
        </w:tc>
        <w:tc>
          <w:tcPr>
            <w:tcW w:w="1474" w:type="dxa"/>
            <w:vAlign w:val="center"/>
          </w:tcPr>
          <w:p>
            <w:pPr>
              <w:pStyle w:val="单元格样式4"/>
            </w:pPr>
            <w:r>
              <w:t xml:space="preserve">679.20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679.20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679.20</w:t>
            </w:r>
          </w:p>
        </w:tc>
        <w:tc>
          <w:tcPr>
            <w:tcW w:w="1474" w:type="dxa"/>
            <w:vAlign w:val="center"/>
          </w:tcPr>
          <w:p>
            <w:pPr>
              <w:pStyle w:val="单元格样式7"/>
            </w:pPr>
            <w:r>
              <w:t xml:space="preserve">679.20</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679.20</w:t>
            </w:r>
          </w:p>
        </w:tc>
        <w:tc>
          <w:tcPr>
            <w:tcW w:w="3402" w:type="dxa"/>
            <w:vAlign w:val="center"/>
          </w:tcPr>
          <w:p>
            <w:pPr>
              <w:pStyle w:val="单元格样式6"/>
            </w:pPr>
            <w:r>
              <w:t xml:space="preserve">支出总计</w:t>
            </w:r>
          </w:p>
        </w:tc>
        <w:tc>
          <w:tcPr>
            <w:tcW w:w="1474" w:type="dxa"/>
            <w:vAlign w:val="center"/>
          </w:tcPr>
          <w:p>
            <w:pPr>
              <w:pStyle w:val="单元格样式7"/>
            </w:pPr>
            <w:r>
              <w:t xml:space="preserve">679.20</w:t>
            </w:r>
          </w:p>
        </w:tc>
        <w:tc>
          <w:tcPr>
            <w:tcW w:w="1474" w:type="dxa"/>
            <w:vAlign w:val="center"/>
          </w:tcPr>
          <w:p>
            <w:pPr>
              <w:pStyle w:val="单元格样式7"/>
            </w:pPr>
            <w:r>
              <w:t xml:space="preserve">679.20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679.20</w:t>
            </w:r>
          </w:p>
        </w:tc>
        <w:tc>
          <w:tcPr>
            <w:tcW w:w="2551" w:type="dxa"/>
            <w:vAlign w:val="center"/>
          </w:tcPr>
          <w:p>
            <w:pPr>
              <w:pStyle w:val="单元格样式7"/>
            </w:pPr>
          </w:p>
        </w:tc>
        <w:tc>
          <w:tcPr>
            <w:tcW w:w="2551" w:type="dxa"/>
            <w:vAlign w:val="center"/>
          </w:tcPr>
          <w:p>
            <w:pPr>
              <w:pStyle w:val="单元格样式7"/>
            </w:pPr>
            <w:r>
              <w:t xml:space="preserve">679.20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679.20</w:t>
            </w:r>
          </w:p>
        </w:tc>
        <w:tc>
          <w:tcPr>
            <w:tcW w:w="2551" w:type="dxa"/>
            <w:vAlign w:val="center"/>
          </w:tcPr>
          <w:p>
            <w:pPr>
              <w:pStyle w:val="单元格样式4"/>
            </w:pPr>
          </w:p>
        </w:tc>
        <w:tc>
          <w:tcPr>
            <w:tcW w:w="2551" w:type="dxa"/>
            <w:vAlign w:val="center"/>
          </w:tcPr>
          <w:p>
            <w:pPr>
              <w:pStyle w:val="单元格样式4"/>
            </w:pPr>
            <w:r>
              <w:t xml:space="preserve">679.20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21201</w:t>
            </w:r>
          </w:p>
        </w:tc>
        <w:tc>
          <w:tcPr>
            <w:tcW w:w="4535" w:type="dxa"/>
            <w:vAlign w:val="center"/>
          </w:tcPr>
          <w:p>
            <w:pPr>
              <w:pStyle w:val="单元格样式2"/>
            </w:pPr>
            <w:r>
              <w:t xml:space="preserve">城乡社区管理事务</w:t>
            </w:r>
          </w:p>
        </w:tc>
        <w:tc>
          <w:tcPr>
            <w:tcW w:w="2551" w:type="dxa"/>
            <w:vAlign w:val="center"/>
          </w:tcPr>
          <w:p>
            <w:pPr>
              <w:pStyle w:val="单元格样式4"/>
            </w:pPr>
            <w:r>
              <w:t xml:space="preserve">679.20</w:t>
            </w:r>
          </w:p>
        </w:tc>
        <w:tc>
          <w:tcPr>
            <w:tcW w:w="2551" w:type="dxa"/>
            <w:vAlign w:val="center"/>
          </w:tcPr>
          <w:p>
            <w:pPr>
              <w:pStyle w:val="单元格样式4"/>
            </w:pPr>
          </w:p>
        </w:tc>
        <w:tc>
          <w:tcPr>
            <w:tcW w:w="2551" w:type="dxa"/>
            <w:vAlign w:val="center"/>
          </w:tcPr>
          <w:p>
            <w:pPr>
              <w:pStyle w:val="单元格样式4"/>
            </w:pPr>
            <w:r>
              <w:t xml:space="preserve">679.20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2120106</w:t>
            </w:r>
          </w:p>
        </w:tc>
        <w:tc>
          <w:tcPr>
            <w:tcW w:w="4535" w:type="dxa"/>
            <w:vAlign w:val="center"/>
          </w:tcPr>
          <w:p>
            <w:pPr>
              <w:pStyle w:val="单元格样式2"/>
            </w:pPr>
            <w:r>
              <w:t xml:space="preserve">工程建设管理</w:t>
            </w:r>
          </w:p>
        </w:tc>
        <w:tc>
          <w:tcPr>
            <w:tcW w:w="2551" w:type="dxa"/>
            <w:vAlign w:val="center"/>
          </w:tcPr>
          <w:p>
            <w:pPr>
              <w:pStyle w:val="单元格样式4"/>
            </w:pPr>
            <w:r>
              <w:t xml:space="preserve">287.20</w:t>
            </w:r>
          </w:p>
        </w:tc>
        <w:tc>
          <w:tcPr>
            <w:tcW w:w="2551" w:type="dxa"/>
            <w:vAlign w:val="center"/>
          </w:tcPr>
          <w:p>
            <w:pPr>
              <w:pStyle w:val="单元格样式4"/>
            </w:pPr>
          </w:p>
        </w:tc>
        <w:tc>
          <w:tcPr>
            <w:tcW w:w="2551" w:type="dxa"/>
            <w:vAlign w:val="center"/>
          </w:tcPr>
          <w:p>
            <w:pPr>
              <w:pStyle w:val="单元格样式4"/>
            </w:pPr>
            <w:r>
              <w:t xml:space="preserve">287.20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2120199</w:t>
            </w:r>
          </w:p>
        </w:tc>
        <w:tc>
          <w:tcPr>
            <w:tcW w:w="4535" w:type="dxa"/>
            <w:vAlign w:val="center"/>
          </w:tcPr>
          <w:p>
            <w:pPr>
              <w:pStyle w:val="单元格样式2"/>
            </w:pPr>
            <w:r>
              <w:t xml:space="preserve">其他城乡社区管理事务支出</w:t>
            </w:r>
          </w:p>
        </w:tc>
        <w:tc>
          <w:tcPr>
            <w:tcW w:w="2551" w:type="dxa"/>
            <w:vAlign w:val="center"/>
          </w:tcPr>
          <w:p>
            <w:pPr>
              <w:pStyle w:val="单元格样式4"/>
            </w:pPr>
            <w:r>
              <w:t xml:space="preserve">392.00</w:t>
            </w:r>
          </w:p>
        </w:tc>
        <w:tc>
          <w:tcPr>
            <w:tcW w:w="2551" w:type="dxa"/>
            <w:vAlign w:val="center"/>
          </w:tcPr>
          <w:p>
            <w:pPr>
              <w:pStyle w:val="单元格样式4"/>
            </w:pPr>
          </w:p>
        </w:tc>
        <w:tc>
          <w:tcPr>
            <w:tcW w:w="2551" w:type="dxa"/>
            <w:vAlign w:val="center"/>
          </w:tcPr>
          <w:p>
            <w:pPr>
              <w:pStyle w:val="单元格样式4"/>
            </w:pPr>
            <w:r>
              <w:t xml:space="preserve">392.00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注：无一般公共预算财政拨款基本支出预算，空表列示。</w:t>
      </w: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43.00</w:t>
            </w:r>
          </w:p>
        </w:tc>
        <w:tc>
          <w:tcPr>
            <w:tcW w:w="2381" w:type="dxa"/>
            <w:vAlign w:val="center"/>
          </w:tcPr>
          <w:p>
            <w:pPr>
              <w:pStyle w:val="单元格样式7"/>
            </w:pPr>
            <w:r>
              <w:t xml:space="preserve">43.00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43.00</w:t>
            </w:r>
          </w:p>
        </w:tc>
        <w:tc>
          <w:tcPr>
            <w:tcW w:w="2381" w:type="dxa"/>
            <w:vAlign w:val="center"/>
          </w:tcPr>
          <w:p>
            <w:pPr>
              <w:pStyle w:val="单元格样式4"/>
            </w:pPr>
            <w:r>
              <w:t xml:space="preserve">43.00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41.00</w:t>
            </w:r>
          </w:p>
        </w:tc>
        <w:tc>
          <w:tcPr>
            <w:tcW w:w="2381" w:type="dxa"/>
            <w:vAlign w:val="center"/>
          </w:tcPr>
          <w:p>
            <w:pPr>
              <w:pStyle w:val="单元格样式4"/>
            </w:pPr>
            <w:r>
              <w:t xml:space="preserve">41.00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41.00</w:t>
            </w:r>
          </w:p>
        </w:tc>
        <w:tc>
          <w:tcPr>
            <w:tcW w:w="2381" w:type="dxa"/>
            <w:vAlign w:val="center"/>
          </w:tcPr>
          <w:p>
            <w:pPr>
              <w:pStyle w:val="单元格样式4"/>
            </w:pPr>
            <w:r>
              <w:t xml:space="preserve">41.00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2.00</w:t>
            </w:r>
          </w:p>
        </w:tc>
        <w:tc>
          <w:tcPr>
            <w:tcW w:w="2381" w:type="dxa"/>
            <w:vAlign w:val="center"/>
          </w:tcPr>
          <w:p>
            <w:pPr>
              <w:pStyle w:val="单元格样式4"/>
            </w:pPr>
            <w:r>
              <w:t xml:space="preserve">2.00</w:t>
            </w: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河北雄安新区建设指挥部2026年部门预算信息公开情况说明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河北雄安新区建设指挥部2026年部门预算信息公开情况说明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按照《中华人民共和国预算法》、《地方预决算公开操作规程》和《关于进一步推进预算公开工作的实施意见》规定，现将河北雄安新区建设指挥部2026年部门预算公开如下：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河北雄安新区建设指挥部职责：按照新区党工委、管委会安排部署，领导建设指挥部办公室和各片区指挥部做好服务、协调、调度、督查项目建设有关工作，解决重点项目建设中存在的突出矛盾和重大问题，研究提出阶段性工作计划和年度工作任务，研究决定支持重点项目建设的重要政策措施，审定重点项目考核奖惩等事宜。具体如下：</w:t>
      </w:r>
    </w:p>
    <w:p>
      <w:pPr>
        <w:pStyle w:val="插入文本样式-插入预算公开部门职责文件"/>
      </w:pPr>
      <w:r>
        <w:t xml:space="preserve">1.重大项目统筹协调。在新区党工委、管委会领导下，统一领导指挥新区工程建设，统筹推进重大工程项目，研究审议重大事项，协调解决重大问题。2.督导协调推进工程进度。负责督导检查相关单位工作落实情况，参与重大工程建设计划制定，协调推动重大建设项目施工进度、施工管理、项目验收等全过程工作，组织相关部门开展安全文明施工联合检查，督促项目单位加强质量安全工作。3.组织片区开发建设。负责制定片区建设实施方案，按照项目清单确定建设时序，组织实施片区开发和项目建设。</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河北雄安新区建设指挥部</w:t>
            </w:r>
          </w:p>
        </w:tc>
        <w:tc>
          <w:tcPr>
            <w:tcW w:w="1843" w:type="dxa"/>
            <w:vAlign w:val="center"/>
          </w:tcPr>
          <w:p>
            <w:pPr>
              <w:pStyle w:val="单元格样式3"/>
            </w:pPr>
            <w:r>
              <w:t xml:space="preserve">行政</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财政拨款</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按照预算管理有关规定，目前部门预算的编制实行综合预算管理，即全部收入和支出都反映在预算中。河北雄安新区建设指挥部机关及所属事业单位的收支包含在部门预算中。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679.20万元，其中：一般公共预算收入679.20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河北雄安新区建设指挥部年度部门预算中支出预算的总体情况。2026年支出预算679.20万元，其中基本支出0.00万元，包括人员经费0.00万元和日常公用经费0.00万元；项目支出679.20万元，主要为指挥部管理综合事务项目120万元，采购财务服务项目15万元，采购法律服务项目13万元，采购工程管理技术服务项目170万元，采购工程政策咨询服务项目48万元，采购建设工程专家咨询服务项目26万元，雄安新区建设项目设计协同统筹服务项目237.2万元，起步区第一组团北片开发建设推进实施技术支撑服务项目50万元，以上共计679.20万元；预计下年使用的单位资金结余0.00万元。委托业务费共计安排564.20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679.20万元，较2025年预算减少214.80万元，其中：基本支出增加0.00万元，主要为本部门预算安排中未安排基本支出，较上年无变动。项目支出减少214.80万元，主要为指挥部管理综合事务项目减少41万元，采购建设工程专家咨询服务项目减少24万元，雄安新区建设项目设计协同统筹服务项目减少82.8万元，其余项目支出减少均为相关项目尾款或当年执行完毕并完成支付，故2026年未安排预算。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2026年，我部门财政拨款“三公”经费预算安排43.00万元，其中因公出国（境）费0.00万元；公务用车购置及运维费41.00万元（其中：公务用车购置费为0.00万元，公务用车运维费41.00万元)；公务接待费2.00万元。与2025年相比增加41.00万元，增减变化的主要原因是按照最新相关规定，长期公务用车租赁费用核算经济分类由其他交通费用变更为公务用车购置及运维费（公务用车运维费）。我部门下设一办五片区，根据往年用车情况以及租赁价格测算年度公务用车租赁费用为41万元，较上年减少6万元。</w:t>
      </w: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2026年，新区建设指挥部将紧紧围绕“形成新格局”这一核心目标，锚定“十五五”开好局、起好步的重要目标任务，全力推动重点片区实现更多格局性新变化。</w:t>
      </w:r>
    </w:p>
    <w:p>
      <w:pPr>
        <w:pStyle w:val="插入文本样式-插入总体目标文件"/>
      </w:pPr>
      <w:r>
        <w:t xml:space="preserve">1、着力推动打造高质量项目建设新格局。按照“未开工项目抓前期、开工项目抓进度、在建项目抓竣工”的工作思路，推动谋划储备项目及早落地开工，推动在建项目形成更多实物工作量。</w:t>
      </w:r>
    </w:p>
    <w:p>
      <w:pPr>
        <w:pStyle w:val="插入文本样式-插入总体目标文件"/>
      </w:pPr>
      <w:r>
        <w:t xml:space="preserve">2、着力推动打造现代化城市形象新格局。一是着力保障规划实施。二是加快功能片区建设成势。三是推进城市品质精细化提升。</w:t>
      </w:r>
    </w:p>
    <w:p>
      <w:pPr>
        <w:pStyle w:val="插入文本样式-插入总体目标文件"/>
      </w:pPr>
      <w:r>
        <w:t xml:space="preserve">3、着力推动打造高品质城市功能新格局。一是全力保障疏解项目落地。二是全力支撑服务疏解。三是加速产业载体扩容提质。</w:t>
      </w:r>
    </w:p>
    <w:p>
      <w:pPr>
        <w:pStyle w:val="插入文本样式-插入总体目标文件"/>
      </w:pPr>
      <w:r>
        <w:t xml:space="preserve">4、着力推动打造雄安服务品牌新格局。一是健全全周期服务机制。二是强化关键要素精准保障。三是深化数字化管理赋能。</w:t>
      </w:r>
    </w:p>
    <w:p>
      <w:pPr>
        <w:pStyle w:val="插入文本样式-插入总体目标文件"/>
      </w:pPr>
      <w:r>
        <w:t xml:space="preserve">5、着力推动打造韧性安全城市新格局。一是强化质量安全督导。二是抓实防汛备汛工作。三是加强施工现场管理。</w:t>
      </w:r>
    </w:p>
    <w:p>
      <w:pPr>
        <w:pStyle w:val="插入文本样式-插入总体目标文件"/>
      </w:pPr>
      <w:r>
        <w:t xml:space="preserve">6、着力推动打造高质量党建引领新格局。一是持续推进政治建设。二是推动党建与业务深度融合。三是持续加强干部队伍建设。</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1、着力推动打造高质量项目建设新格局。按照“未开工项目抓前期、开工项目抓进度、在建项目抓竣工”的工作思路，推动谋划储备项目及早落地开工，推动在建项目形成更多实物工作量。锚定“2027年启动区基本建成、首批四所疏解高校2026年底有学生”核心任务，根据城市功能谋划基础设施、公服设施、商服设施等项目，加快储备一批结构性、支撑性、时序性强的项目，推动功能设施向重点片区集中投放、优先落地。加快推动昝岗片区三个市场化项目和产业载体项目建设，着力推进阜外医院、广安门医院及其周边配套开工。推进容东片区疏解项目和市场化项目建设取得标志性进展，确保北大人民医院雄安院区项目年内主体结构全部封顶。全力推动大河片区安置房二期项目按期完成竣工验收并具备交付条件。督促起步区一组团北部片区排涝、临时道路等项目按预定节点开工，确保水、电、气、路、讯等项目保障片区开发需求，根据疏解高校进展适时启动配套项目建设。推动容西片区工人文化宫、剩余绿化、集中商业等项目按计划推进。推进雄东片区B单元安置房（二期）及相关配套设施项目的前期手续，高效协调推进N6、N7桥、综合文体中心、商业中心、B单元配套公园等重点项目建设。</w:t>
      </w:r>
    </w:p>
    <w:p>
      <w:pPr>
        <w:pStyle w:val="插入文本样式-插入职责分类绩效目标文件"/>
      </w:pPr>
      <w:r>
        <w:t xml:space="preserve">2、着力推动打造现代化城市形象新格局。一是着力保障规划实施。依托启动（起步）区“49片区+14点位”布局，建立小区域项目统筹管理模式，推动重点区段率先亮相、关键节点率先成景。加强雄东片区城市风貌管控，在实践中探索完善“好房子”标准。二是加快功能片区建设成势。集中资源推进启动区总部区、金融岛、第五组团北片大学城等核心功能区建设，推动诚通、农发等央企总部全面建成入驻，协和医院建成开诊，一批优质教育资源开门办学。昝岗片区将聚焦雄安站以西区域，推动产业载体和商业配套加快集聚。三是推进城市品质精细化提升。深化“四好”建设，督促应用设计施工标准化成果，会同行业主管部门形成系统性的街道空间及城市家具作业指导手册，推动打造更多精品工程、标杆工程。</w:t>
      </w:r>
    </w:p>
    <w:p>
      <w:pPr>
        <w:pStyle w:val="插入文本样式-插入职责分类绩效目标文件"/>
      </w:pPr>
      <w:r>
        <w:t xml:space="preserve">3、着力推动打造高品质城市功能新格局。一是全力保障疏解项目落地。推动中矿、农发、中煤等首批及市场化疏解项目全面建成投用。同时，紧盯五所疏解高校需求，做好全流程服务保障，推动城市配套与高校疏解同步落地。二是全力支撑服务疏解。围绕产业需求，完善生产性、生活性服务配套。启动区构建成熟完备的疏解服务体系，优化服务手册，缩短报审周期。昝岗片区优化项目服务机制，做好重点产业项目包联服务。三是加速产业载体扩容提质。聚焦打造昝岗片区完整科技产业载体链条，并联推进三个市场化综合产业载体项目，计划新增开工20万平米、竣备29万平米，推动产业承载能力形成突破性增长。</w:t>
      </w:r>
    </w:p>
    <w:p>
      <w:pPr>
        <w:pStyle w:val="插入文本样式-插入职责分类绩效目标文件"/>
      </w:pPr>
      <w:r>
        <w:t xml:space="preserve">4、着力推动打造雄安服务品牌新格局。一是健全全周期服务机制。进一步健全“建设指挥部+行业主管部门+专业公司+疏解单位”联动协同机制，拓展联合党委、三级包联等工作形态，切实提高疏解承接和建设服务运作效能。二是强化关键要素精准保障。强化土方精细化调配，按照“运距最短、时序匹配”原则实现精准平衡。统筹做好启动（起步）区道路、管线等基础设施建设时序，支撑地块项目投运。围绕大河片区项目行政许可审批、参建企业信用评价、数字化园区建设、保密联防联控等七个方面，系统构建军地协同监管体系，将大河片区打造成为体制灵活、机制高效、管理规范的军民深度融合示范区。三是深化数字化管理赋能。持续深化雄东BIM管理系统应用和AI技术探索。推动启动区智慧交通、无人驾驶等53个创新场景落地，提升城市智慧化水平。</w:t>
      </w:r>
    </w:p>
    <w:p>
      <w:pPr>
        <w:pStyle w:val="插入文本样式-插入职责分类绩效目标文件"/>
      </w:pPr>
      <w:r>
        <w:t xml:space="preserve">5、着力推动打造韧性安全城市新格局。一是强化质量安全督导。持续开展常态化督导检查，防范重大风险隐患排查整治，坚决防范重特大安全事故发生。严格把控材料、工艺、细节，将“雄安质量”标准要求贯穿项目规划、建设全过程。二是抓实防汛备汛工作。持续推进各片区泵站建设，理顺水系。健全指挥体系，加强防汛备汛和应急演练。全面落实防汛应急响应机制和值班值守制度，确保安全度汛。三是加强施工现场管理。做好各片区项目市政保障、交通组织及环境整治。紧盯扬尘治理等管控重点和薄弱环节，细化管控措施和管理标准，形成“项目自管、企业主管、行业监管、指挥部督管”的综合管理机制。</w:t>
      </w:r>
    </w:p>
    <w:p>
      <w:pPr>
        <w:pStyle w:val="插入文本样式-插入职责分类绩效目标文件"/>
      </w:pPr>
      <w:r>
        <w:t xml:space="preserve">6、着力推动打造高质量党建引领新格局。一是持续推进政治建设。严格执行“第一议题”制度，深入学习贯彻党的理论和路线方针政策，巩固拓展中央八项规定精神学习教育成果，与领导班子和干部队伍建设结合起来，一体推进不敢腐、不能腐、不想腐，切实把学习教育激发的动力转化为推动高质量建设的工作实绩。二是推动党建与业务深度融合。深化“建设先锋·匠心筑城”党建品牌，充分发挥大河片区、启动区政企联合临时党委和疏解高校医院指挥部联合党委作用，凝聚组织力量，推动项目建设各项急难险重工作取得更好成效。更好发挥流动党员党支部的作用，在项目一线打造“党员示范岗”“党员先锋队”，打造“红色工地”和示范工程。持续开展“纪律作风进工地”等活动，营造风清气正氛围。三是持续加强干部队伍建设。落实“每周例会、每月晾晒、年度考核”机制，激发干事创业的强大活力。加强专业培训和实践锻炼，提升干部队伍统筹协调、攻坚克难和改革创新能力，着力培养打造一批符合新区建设发展要求的高素质专业化干部队伍。</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1、提供资金支持。本年度安排专项资金保障各个项目的正常运行，着重保障与新区经济社会发展密切相关的领域。做好项目谋划和资金测算工作，确保资金支出的科学性、合理性，提高资金使用效率，有效提升资金支持力度。</w:t>
      </w:r>
    </w:p>
    <w:p>
      <w:pPr>
        <w:pStyle w:val="插入文本样式-插入实现年度发展规划目标的保障措施文件"/>
      </w:pPr>
      <w:r>
        <w:t xml:space="preserve">2、重大项目保障。充分发挥部门应急协调保障职能，统筹推进重大项目建设进度，每周统计汇总项目建设进展情况，定期汇总梳理项目建设过程中遇到的困难，并召开重点项目调度会和专题协调会，解决建设过程中的痛点难点问题。</w:t>
      </w:r>
    </w:p>
    <w:p>
      <w:pPr>
        <w:pStyle w:val="插入文本样式-插入实现年度发展规划目标的保障措施文件"/>
      </w:pPr>
      <w:r>
        <w:t xml:space="preserve">3、落实主体责任。一线服务督导持续深化。印发实施《关于进一步深化新区项目建设“周周看、家家到”工作的通知》，常态化开展“周周看、家家到”活动，实现问题“发现、整改、处置、复核”全流程闭环管理。</w:t>
      </w:r>
    </w:p>
    <w:p>
      <w:pPr>
        <w:pStyle w:val="插入文本样式-插入实现年度发展规划目标的保障措施文件"/>
      </w:pPr>
      <w:r>
        <w:t xml:space="preserve">4、优化协调机制。切实履行“服务、协调、调度、督查”核心职能，坚持并优化“指挥部+片区管委会+雄安集团专业公司”的项目协调指挥机制和领导包联挂钩制度，积极探索建立联合党委、三级项目包联等工作机制。</w:t>
      </w:r>
    </w:p>
    <w:p>
      <w:pPr>
        <w:pStyle w:val="插入文本样式-插入实现年度发展规划目标的保障措施文件"/>
        <w:sectPr>
          <w:type w:val="nextPage"/>
          <w:pgSz w:w="16840" w:h="11900" w:orient="landscape"/>
          <w:pgMar w:top="1361" w:right="1020" w:bottom="1361" w:left="1020" w:header="720" w:footer="720" w:gutter="0"/>
        </w:sectPr>
      </w:pPr>
      <w:r>
        <w:t xml:space="preserve">5、强化队伍建设。进一步加强指挥部人才队伍建设，优化队伍结构，增强人员稳定性和专业性。开展“建设先锋·匠心筑城”党建品牌创建，形成目标明确、路径清晰的党建工作“施工图”。完善“新区流动党员党总支+建设单位流动党员党支部+项目党小组”三级组织架构和工作职责，抓实流动党员“三找”活动，实现“‘码’上归队”，保障流动党员管理情况清、底数明。落实“每周例会、每月晾晒、年度考核”机制，激发干事创业的强大活力。加强专业培训和实践锻炼，提升干部队伍统筹协调、攻坚克难和改革创新能力，着力培养打造一批符合新区建设发展要求的高素质专业化干部队伍。</w:t>
      </w: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1、指挥部管理综合事务绩效目标表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13660026P005728100137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指挥部管理综合事务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主要用于采购日常办公用品、组织培训、差旅费和租赁公务用车等日常经费。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40%</w:t>
            </w:r>
          </w:p>
        </w:tc>
        <w:tc>
          <w:tcPr>
            <w:tcW w:w="2551" w:type="dxa"/>
            <w:vAlign w:val="center"/>
          </w:tcPr>
          <w:p>
            <w:pPr>
              <w:pStyle w:val="单元格样式3"/>
            </w:pPr>
            <w:r>
              <w:t xml:space="preserve">70%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1.按照培训计划开展培训工作。</w:t>
            </w:r>
          </w:p>
          <w:p>
            <w:pPr>
              <w:pStyle w:val="单元格样式2"/>
            </w:pPr>
            <w:r>
              <w:t xml:space="preserve">2.按期完成预算支出进度。</w:t>
            </w:r>
          </w:p>
          <w:p>
            <w:pPr>
              <w:pStyle w:val="单元格样式2"/>
            </w:pPr>
            <w:r>
              <w:t xml:space="preserve">3.保障各项工作正常、有序、高效运转。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 培训出勤率</w:t>
            </w:r>
          </w:p>
        </w:tc>
        <w:tc>
          <w:tcPr>
            <w:tcW w:w="5386" w:type="dxa"/>
            <w:vAlign w:val="center"/>
          </w:tcPr>
          <w:p>
            <w:pPr>
              <w:pStyle w:val="单元格样式2"/>
            </w:pPr>
            <w:r>
              <w:t xml:space="preserve">反映参加培训人员出勤培训情况</w:t>
            </w:r>
          </w:p>
        </w:tc>
        <w:tc>
          <w:tcPr>
            <w:tcW w:w="2268" w:type="dxa"/>
            <w:vAlign w:val="center"/>
          </w:tcPr>
          <w:p>
            <w:pPr>
              <w:pStyle w:val="单元格样式2"/>
            </w:pPr>
            <w:r>
              <w:t xml:space="preserve">≥95%</w:t>
            </w:r>
          </w:p>
        </w:tc>
        <w:tc>
          <w:tcPr>
            <w:tcW w:w="1276" w:type="dxa"/>
            <w:vAlign w:val="center"/>
          </w:tcPr>
          <w:p>
            <w:pPr>
              <w:pStyle w:val="单元格样式2"/>
            </w:pPr>
            <w:r>
              <w:t xml:space="preserve">实际参加培训人数/计划培训总人数*100%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 培训讲师资质情况</w:t>
            </w:r>
          </w:p>
        </w:tc>
        <w:tc>
          <w:tcPr>
            <w:tcW w:w="5386" w:type="dxa"/>
            <w:vAlign w:val="center"/>
          </w:tcPr>
          <w:p>
            <w:pPr>
              <w:pStyle w:val="单元格样式2"/>
            </w:pPr>
            <w:r>
              <w:t xml:space="preserve">反映有符合培训内容职称或资质的培训讲师情况</w:t>
            </w:r>
          </w:p>
        </w:tc>
        <w:tc>
          <w:tcPr>
            <w:tcW w:w="2268" w:type="dxa"/>
            <w:vAlign w:val="center"/>
          </w:tcPr>
          <w:p>
            <w:pPr>
              <w:pStyle w:val="单元格样式2"/>
            </w:pPr>
            <w:r>
              <w:t xml:space="preserve">根据工作计划考评</w:t>
            </w:r>
          </w:p>
        </w:tc>
        <w:tc>
          <w:tcPr>
            <w:tcW w:w="1276" w:type="dxa"/>
            <w:vAlign w:val="center"/>
          </w:tcPr>
          <w:p>
            <w:pPr>
              <w:pStyle w:val="单元格样式2"/>
            </w:pPr>
            <w:r>
              <w:t xml:space="preserve">符合培训内容职称或资质的培训讲师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 经费支出时效性</w:t>
            </w:r>
          </w:p>
        </w:tc>
        <w:tc>
          <w:tcPr>
            <w:tcW w:w="5386" w:type="dxa"/>
            <w:vAlign w:val="center"/>
          </w:tcPr>
          <w:p>
            <w:pPr>
              <w:pStyle w:val="单元格样式2"/>
            </w:pPr>
            <w:r>
              <w:t xml:space="preserve">反映项目经费支出的及时程度和效率情况</w:t>
            </w:r>
          </w:p>
        </w:tc>
        <w:tc>
          <w:tcPr>
            <w:tcW w:w="2268" w:type="dxa"/>
            <w:vAlign w:val="center"/>
          </w:tcPr>
          <w:p>
            <w:pPr>
              <w:pStyle w:val="单元格样式2"/>
            </w:pPr>
            <w:r>
              <w:t xml:space="preserve">≤15天</w:t>
            </w:r>
          </w:p>
        </w:tc>
        <w:tc>
          <w:tcPr>
            <w:tcW w:w="1276" w:type="dxa"/>
            <w:vAlign w:val="center"/>
          </w:tcPr>
          <w:p>
            <w:pPr>
              <w:pStyle w:val="单元格样式2"/>
            </w:pPr>
            <w:r>
              <w:t xml:space="preserve">项目经费支出的实际时间-计划支出的规定时间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 预算项目总成本</w:t>
            </w:r>
          </w:p>
        </w:tc>
        <w:tc>
          <w:tcPr>
            <w:tcW w:w="5386" w:type="dxa"/>
            <w:vAlign w:val="center"/>
          </w:tcPr>
          <w:p>
            <w:pPr>
              <w:pStyle w:val="单元格样式2"/>
            </w:pPr>
            <w:r>
              <w:t xml:space="preserve">反映预算项目总体支出情况</w:t>
            </w:r>
          </w:p>
        </w:tc>
        <w:tc>
          <w:tcPr>
            <w:tcW w:w="2268" w:type="dxa"/>
            <w:vAlign w:val="center"/>
          </w:tcPr>
          <w:p>
            <w:pPr>
              <w:pStyle w:val="单元格样式2"/>
            </w:pPr>
            <w:r>
              <w:t xml:space="preserve">≤120万元</w:t>
            </w:r>
          </w:p>
        </w:tc>
        <w:tc>
          <w:tcPr>
            <w:tcW w:w="1276" w:type="dxa"/>
            <w:vAlign w:val="center"/>
          </w:tcPr>
          <w:p>
            <w:pPr>
              <w:pStyle w:val="单元格样式2"/>
            </w:pPr>
            <w:r>
              <w:t xml:space="preserve">预算项目总支出</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 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 保障单位日常后勤工作</w:t>
            </w:r>
          </w:p>
        </w:tc>
        <w:tc>
          <w:tcPr>
            <w:tcW w:w="5386" w:type="dxa"/>
            <w:vAlign w:val="center"/>
          </w:tcPr>
          <w:p>
            <w:pPr>
              <w:pStyle w:val="单元格样式2"/>
            </w:pPr>
            <w:r>
              <w:t xml:space="preserve">反映单位工作保障情况</w:t>
            </w:r>
          </w:p>
        </w:tc>
        <w:tc>
          <w:tcPr>
            <w:tcW w:w="2268" w:type="dxa"/>
            <w:vAlign w:val="center"/>
          </w:tcPr>
          <w:p>
            <w:pPr>
              <w:pStyle w:val="单元格样式2"/>
            </w:pPr>
            <w:r>
              <w:t xml:space="preserve">受用单位工作保障项</w:t>
            </w:r>
          </w:p>
        </w:tc>
        <w:tc>
          <w:tcPr>
            <w:tcW w:w="1276" w:type="dxa"/>
            <w:vAlign w:val="center"/>
          </w:tcPr>
          <w:p>
            <w:pPr>
              <w:pStyle w:val="单元格样式2"/>
            </w:pPr>
            <w:r>
              <w:t xml:space="preserve">受用单位工作保障项覆盖情况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 被服务单位满意率</w:t>
            </w:r>
          </w:p>
        </w:tc>
        <w:tc>
          <w:tcPr>
            <w:tcW w:w="5386" w:type="dxa"/>
            <w:vAlign w:val="center"/>
          </w:tcPr>
          <w:p>
            <w:pPr>
              <w:pStyle w:val="单元格样式2"/>
            </w:pPr>
            <w:r>
              <w:t xml:space="preserve">反映被服务单位及员工的满意程度</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2、采购财务服务绩效目标表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13660026P00572410042G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采购财务服务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经费主要用于委托一家专业的单位办理，由其根据服务内容要求为建设指挥部提供财务服务，期限为一年。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40%</w:t>
            </w:r>
          </w:p>
        </w:tc>
        <w:tc>
          <w:tcPr>
            <w:tcW w:w="2835" w:type="dxa"/>
            <w:vAlign w:val="center"/>
          </w:tcPr>
          <w:p>
            <w:pPr>
              <w:pStyle w:val="单元格样式3"/>
            </w:pPr>
            <w:r>
              <w:t xml:space="preserve">40%</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1.为建设指挥部提供财务服务，保障建设指挥部财务工作正常运转。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 完成工作项数</w:t>
            </w:r>
          </w:p>
        </w:tc>
        <w:tc>
          <w:tcPr>
            <w:tcW w:w="5386" w:type="dxa"/>
            <w:vAlign w:val="center"/>
          </w:tcPr>
          <w:p>
            <w:pPr>
              <w:pStyle w:val="单元格样式2"/>
            </w:pPr>
            <w:r>
              <w:t xml:space="preserve">完成政府预算编制、政府采购流程指导、报账审核及支付等财务管理工作</w:t>
            </w:r>
          </w:p>
        </w:tc>
        <w:tc>
          <w:tcPr>
            <w:tcW w:w="2268" w:type="dxa"/>
            <w:vAlign w:val="center"/>
          </w:tcPr>
          <w:p>
            <w:pPr>
              <w:pStyle w:val="单元格样式2"/>
            </w:pPr>
            <w:r>
              <w:t xml:space="preserve">≥3项</w:t>
            </w:r>
          </w:p>
        </w:tc>
        <w:tc>
          <w:tcPr>
            <w:tcW w:w="1276" w:type="dxa"/>
            <w:vAlign w:val="center"/>
          </w:tcPr>
          <w:p>
            <w:pPr>
              <w:pStyle w:val="单元格样式2"/>
            </w:pPr>
            <w:r>
              <w:t xml:space="preserve">完成财务管理工作项数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财务工作成果</w:t>
            </w:r>
          </w:p>
        </w:tc>
        <w:tc>
          <w:tcPr>
            <w:tcW w:w="5386" w:type="dxa"/>
            <w:vAlign w:val="center"/>
          </w:tcPr>
          <w:p>
            <w:pPr>
              <w:pStyle w:val="单元格样式2"/>
            </w:pPr>
            <w:r>
              <w:t xml:space="preserve">按照要求提供财务工作成果文件情况</w:t>
            </w:r>
          </w:p>
        </w:tc>
        <w:tc>
          <w:tcPr>
            <w:tcW w:w="2268" w:type="dxa"/>
            <w:vAlign w:val="center"/>
          </w:tcPr>
          <w:p>
            <w:pPr>
              <w:pStyle w:val="单元格样式2"/>
            </w:pPr>
            <w:r>
              <w:t xml:space="preserve">财务成果质量</w:t>
            </w:r>
          </w:p>
        </w:tc>
        <w:tc>
          <w:tcPr>
            <w:tcW w:w="1276" w:type="dxa"/>
            <w:vAlign w:val="center"/>
          </w:tcPr>
          <w:p>
            <w:pPr>
              <w:pStyle w:val="单元格样式2"/>
            </w:pPr>
            <w:r>
              <w:t xml:space="preserve">提交成果文件的质量情况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 财务成果的及时性</w:t>
            </w:r>
          </w:p>
        </w:tc>
        <w:tc>
          <w:tcPr>
            <w:tcW w:w="5386" w:type="dxa"/>
            <w:vAlign w:val="center"/>
          </w:tcPr>
          <w:p>
            <w:pPr>
              <w:pStyle w:val="单元格样式2"/>
            </w:pPr>
            <w:r>
              <w:t xml:space="preserve">是否按照要求及时提供财务成果文件</w:t>
            </w:r>
          </w:p>
        </w:tc>
        <w:tc>
          <w:tcPr>
            <w:tcW w:w="2268" w:type="dxa"/>
            <w:vAlign w:val="center"/>
          </w:tcPr>
          <w:p>
            <w:pPr>
              <w:pStyle w:val="单元格样式2"/>
            </w:pPr>
            <w:r>
              <w:t xml:space="preserve">按照工作时间要求</w:t>
            </w:r>
          </w:p>
        </w:tc>
        <w:tc>
          <w:tcPr>
            <w:tcW w:w="1276" w:type="dxa"/>
            <w:vAlign w:val="center"/>
          </w:tcPr>
          <w:p>
            <w:pPr>
              <w:pStyle w:val="单元格样式2"/>
            </w:pPr>
            <w:r>
              <w:t xml:space="preserve">相关成果文件要求时间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人均、日均成本</w:t>
            </w:r>
          </w:p>
        </w:tc>
        <w:tc>
          <w:tcPr>
            <w:tcW w:w="5386" w:type="dxa"/>
            <w:vAlign w:val="center"/>
          </w:tcPr>
          <w:p>
            <w:pPr>
              <w:pStyle w:val="单元格样式2"/>
            </w:pPr>
            <w:r>
              <w:t xml:space="preserve">反映每人每日成本情况（不超过中级职称劳务费标准）</w:t>
            </w:r>
          </w:p>
        </w:tc>
        <w:tc>
          <w:tcPr>
            <w:tcW w:w="2268" w:type="dxa"/>
            <w:vAlign w:val="center"/>
          </w:tcPr>
          <w:p>
            <w:pPr>
              <w:pStyle w:val="单元格样式2"/>
            </w:pPr>
            <w:r>
              <w:t xml:space="preserve">≤500元/天·人</w:t>
            </w:r>
          </w:p>
        </w:tc>
        <w:tc>
          <w:tcPr>
            <w:tcW w:w="1276" w:type="dxa"/>
            <w:vAlign w:val="center"/>
          </w:tcPr>
          <w:p>
            <w:pPr>
              <w:pStyle w:val="单元格样式2"/>
            </w:pPr>
            <w:r>
              <w:t xml:space="preserve">项目总成本/项目完成天数/项目参与日均人数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&gt;99%</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保障财务工作</w:t>
            </w:r>
          </w:p>
        </w:tc>
        <w:tc>
          <w:tcPr>
            <w:tcW w:w="5386" w:type="dxa"/>
            <w:vAlign w:val="center"/>
          </w:tcPr>
          <w:p>
            <w:pPr>
              <w:pStyle w:val="单元格样式2"/>
            </w:pPr>
            <w:r>
              <w:t xml:space="preserve">保障财务工作的正常运转</w:t>
            </w:r>
          </w:p>
        </w:tc>
        <w:tc>
          <w:tcPr>
            <w:tcW w:w="2268" w:type="dxa"/>
            <w:vAlign w:val="center"/>
          </w:tcPr>
          <w:p>
            <w:pPr>
              <w:pStyle w:val="单元格样式2"/>
            </w:pPr>
            <w:r>
              <w:t xml:space="preserve">财务管理工作电子版文件</w:t>
            </w:r>
          </w:p>
        </w:tc>
        <w:tc>
          <w:tcPr>
            <w:tcW w:w="1276" w:type="dxa"/>
            <w:vAlign w:val="center"/>
          </w:tcPr>
          <w:p>
            <w:pPr>
              <w:pStyle w:val="单元格样式2"/>
            </w:pPr>
            <w:r>
              <w:t xml:space="preserve">财务工作流程、台账及档案等</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 被服务单位满意率</w:t>
            </w:r>
          </w:p>
        </w:tc>
        <w:tc>
          <w:tcPr>
            <w:tcW w:w="5386" w:type="dxa"/>
            <w:vAlign w:val="center"/>
          </w:tcPr>
          <w:p>
            <w:pPr>
              <w:pStyle w:val="单元格样式2"/>
            </w:pPr>
            <w:r>
              <w:t xml:space="preserve">被服务单位满意率</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3、采购法律服务绩效目标表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13660026P005724100434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采购法律服务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经费主要用于建设指挥部采购法律服务。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1.委托一家专业的律师事务所作为法律顾问单位，提供合同审查、修改，法律咨询，合规、风险评估论证、现场培训等服务。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审核合同数量　</w:t>
            </w:r>
          </w:p>
        </w:tc>
        <w:tc>
          <w:tcPr>
            <w:tcW w:w="5386" w:type="dxa"/>
            <w:vAlign w:val="center"/>
          </w:tcPr>
          <w:p>
            <w:pPr>
              <w:pStyle w:val="单元格样式2"/>
            </w:pPr>
            <w:r>
              <w:t xml:space="preserve">反映全年审核合同工作情况　</w:t>
            </w:r>
          </w:p>
        </w:tc>
        <w:tc>
          <w:tcPr>
            <w:tcW w:w="2268" w:type="dxa"/>
            <w:vAlign w:val="center"/>
          </w:tcPr>
          <w:p>
            <w:pPr>
              <w:pStyle w:val="单元格样式2"/>
            </w:pPr>
            <w:r>
              <w:t xml:space="preserve">根据合同签署情况考评</w:t>
            </w:r>
          </w:p>
        </w:tc>
        <w:tc>
          <w:tcPr>
            <w:tcW w:w="1276" w:type="dxa"/>
            <w:vAlign w:val="center"/>
          </w:tcPr>
          <w:p>
            <w:pPr>
              <w:pStyle w:val="单元格样式2"/>
            </w:pPr>
            <w:r>
              <w:t xml:space="preserve">全年拟签署合同数量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开展培训场次　</w:t>
            </w:r>
          </w:p>
        </w:tc>
        <w:tc>
          <w:tcPr>
            <w:tcW w:w="5386" w:type="dxa"/>
            <w:vAlign w:val="center"/>
          </w:tcPr>
          <w:p>
            <w:pPr>
              <w:pStyle w:val="单元格样式2"/>
            </w:pPr>
            <w:r>
              <w:t xml:space="preserve">开展培训场次　</w:t>
            </w:r>
          </w:p>
        </w:tc>
        <w:tc>
          <w:tcPr>
            <w:tcW w:w="2268" w:type="dxa"/>
            <w:vAlign w:val="center"/>
          </w:tcPr>
          <w:p>
            <w:pPr>
              <w:pStyle w:val="单元格样式2"/>
            </w:pPr>
            <w:r>
              <w:t xml:space="preserve">根据培训次数考评</w:t>
            </w:r>
          </w:p>
        </w:tc>
        <w:tc>
          <w:tcPr>
            <w:tcW w:w="1276" w:type="dxa"/>
            <w:vAlign w:val="center"/>
          </w:tcPr>
          <w:p>
            <w:pPr>
              <w:pStyle w:val="单元格样式2"/>
            </w:pPr>
            <w:r>
              <w:t xml:space="preserve">合同以及工作计划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成果合格率　</w:t>
            </w:r>
          </w:p>
        </w:tc>
        <w:tc>
          <w:tcPr>
            <w:tcW w:w="5386" w:type="dxa"/>
            <w:vAlign w:val="center"/>
          </w:tcPr>
          <w:p>
            <w:pPr>
              <w:pStyle w:val="单元格样式2"/>
            </w:pPr>
            <w:r>
              <w:t xml:space="preserve">项目服务合格率　</w:t>
            </w:r>
          </w:p>
        </w:tc>
        <w:tc>
          <w:tcPr>
            <w:tcW w:w="2268" w:type="dxa"/>
            <w:vAlign w:val="center"/>
          </w:tcPr>
          <w:p>
            <w:pPr>
              <w:pStyle w:val="单元格样式2"/>
            </w:pPr>
            <w:r>
              <w:t xml:space="preserve">100%</w:t>
            </w:r>
          </w:p>
        </w:tc>
        <w:tc>
          <w:tcPr>
            <w:tcW w:w="1276" w:type="dxa"/>
            <w:vAlign w:val="center"/>
          </w:tcPr>
          <w:p>
            <w:pPr>
              <w:pStyle w:val="单元格样式2"/>
            </w:pPr>
            <w:r>
              <w:t xml:space="preserve">合格法务工作数量/交办工作数量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服务提供的时效性　</w:t>
            </w:r>
          </w:p>
        </w:tc>
        <w:tc>
          <w:tcPr>
            <w:tcW w:w="5386" w:type="dxa"/>
            <w:vAlign w:val="center"/>
          </w:tcPr>
          <w:p>
            <w:pPr>
              <w:pStyle w:val="单元格样式2"/>
            </w:pPr>
            <w:r>
              <w:t xml:space="preserve">法律服务提供的及时程度和效率情况</w:t>
            </w:r>
          </w:p>
        </w:tc>
        <w:tc>
          <w:tcPr>
            <w:tcW w:w="2268" w:type="dxa"/>
            <w:vAlign w:val="center"/>
          </w:tcPr>
          <w:p>
            <w:pPr>
              <w:pStyle w:val="单元格样式2"/>
            </w:pPr>
            <w:r>
              <w:t xml:space="preserve">≤5天</w:t>
            </w:r>
          </w:p>
        </w:tc>
        <w:tc>
          <w:tcPr>
            <w:tcW w:w="1276" w:type="dxa"/>
            <w:vAlign w:val="center"/>
          </w:tcPr>
          <w:p>
            <w:pPr>
              <w:pStyle w:val="单元格样式2"/>
            </w:pPr>
            <w:r>
              <w:t xml:space="preserve">反馈法审意见日期-提请法审日期</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服务成本　</w:t>
            </w:r>
          </w:p>
        </w:tc>
        <w:tc>
          <w:tcPr>
            <w:tcW w:w="5386" w:type="dxa"/>
            <w:vAlign w:val="center"/>
          </w:tcPr>
          <w:p>
            <w:pPr>
              <w:pStyle w:val="单元格样式2"/>
            </w:pPr>
            <w:r>
              <w:t xml:space="preserve">反映单位聘请法律顾问咨询方面的支出</w:t>
            </w:r>
          </w:p>
        </w:tc>
        <w:tc>
          <w:tcPr>
            <w:tcW w:w="2268" w:type="dxa"/>
            <w:vAlign w:val="center"/>
          </w:tcPr>
          <w:p>
            <w:pPr>
              <w:pStyle w:val="单元格样式2"/>
            </w:pPr>
            <w:r>
              <w:t xml:space="preserve">≤500元/小时·人</w:t>
            </w:r>
          </w:p>
        </w:tc>
        <w:tc>
          <w:tcPr>
            <w:tcW w:w="1276" w:type="dxa"/>
            <w:vAlign w:val="center"/>
          </w:tcPr>
          <w:p>
            <w:pPr>
              <w:pStyle w:val="单元格样式2"/>
            </w:pPr>
            <w:r>
              <w:t xml:space="preserve">项目总成本/聘请人数/服务年均小时数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保障法务工作　</w:t>
            </w:r>
          </w:p>
        </w:tc>
        <w:tc>
          <w:tcPr>
            <w:tcW w:w="5386" w:type="dxa"/>
            <w:vAlign w:val="center"/>
          </w:tcPr>
          <w:p>
            <w:pPr>
              <w:pStyle w:val="单元格样式2"/>
            </w:pPr>
            <w:r>
              <w:t xml:space="preserve">保障指挥部合法合规地开展工作　</w:t>
            </w:r>
          </w:p>
        </w:tc>
        <w:tc>
          <w:tcPr>
            <w:tcW w:w="2268" w:type="dxa"/>
            <w:vAlign w:val="center"/>
          </w:tcPr>
          <w:p>
            <w:pPr>
              <w:pStyle w:val="单元格样式2"/>
            </w:pPr>
            <w:r>
              <w:t xml:space="preserve">法务咨询成果文件</w:t>
            </w:r>
          </w:p>
        </w:tc>
        <w:tc>
          <w:tcPr>
            <w:tcW w:w="1276" w:type="dxa"/>
            <w:vAlign w:val="center"/>
          </w:tcPr>
          <w:p>
            <w:pPr>
              <w:pStyle w:val="单元格样式2"/>
            </w:pPr>
            <w:r>
              <w:t xml:space="preserve">法务审核、培训记录等</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被服务单位满意率</w:t>
            </w:r>
          </w:p>
        </w:tc>
        <w:tc>
          <w:tcPr>
            <w:tcW w:w="5386" w:type="dxa"/>
            <w:vAlign w:val="center"/>
          </w:tcPr>
          <w:p>
            <w:pPr>
              <w:pStyle w:val="单元格样式2"/>
            </w:pPr>
            <w:r>
              <w:t xml:space="preserve">被服务单位满意率　</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4、采购工程管理技术服务绩效目标表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13660026P00572410044P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采购工程管理技术服务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170.00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170.00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经费主要用于建设指挥部采购工程管理技术服务。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70%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1.委托一家专业单位办理，由其根据服务内容要求为建设指挥部提供工程管理技术服务，期限为一年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完成项目数　</w:t>
            </w:r>
          </w:p>
        </w:tc>
        <w:tc>
          <w:tcPr>
            <w:tcW w:w="5386" w:type="dxa"/>
            <w:vAlign w:val="center"/>
          </w:tcPr>
          <w:p>
            <w:pPr>
              <w:pStyle w:val="单元格样式2"/>
            </w:pPr>
            <w:r>
              <w:t xml:space="preserve">服务具体项目数量</w:t>
            </w:r>
          </w:p>
        </w:tc>
        <w:tc>
          <w:tcPr>
            <w:tcW w:w="2268" w:type="dxa"/>
            <w:vAlign w:val="center"/>
          </w:tcPr>
          <w:p>
            <w:pPr>
              <w:pStyle w:val="单元格样式2"/>
            </w:pPr>
            <w:r>
              <w:t xml:space="preserve">根据服务项目数量考评</w:t>
            </w:r>
          </w:p>
        </w:tc>
        <w:tc>
          <w:tcPr>
            <w:tcW w:w="1276" w:type="dxa"/>
            <w:vAlign w:val="center"/>
          </w:tcPr>
          <w:p>
            <w:pPr>
              <w:pStyle w:val="单元格样式2"/>
            </w:pPr>
            <w:r>
              <w:t xml:space="preserve">全年服务项目数量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成果合格率　</w:t>
            </w:r>
          </w:p>
        </w:tc>
        <w:tc>
          <w:tcPr>
            <w:tcW w:w="5386" w:type="dxa"/>
            <w:vAlign w:val="center"/>
          </w:tcPr>
          <w:p>
            <w:pPr>
              <w:pStyle w:val="单元格样式2"/>
            </w:pPr>
            <w:r>
              <w:t xml:space="preserve">项目服务合格率　</w:t>
            </w:r>
          </w:p>
        </w:tc>
        <w:tc>
          <w:tcPr>
            <w:tcW w:w="2268" w:type="dxa"/>
            <w:vAlign w:val="center"/>
          </w:tcPr>
          <w:p>
            <w:pPr>
              <w:pStyle w:val="单元格样式2"/>
            </w:pPr>
            <w:r>
              <w:t xml:space="preserve">100%</w:t>
            </w:r>
          </w:p>
        </w:tc>
        <w:tc>
          <w:tcPr>
            <w:tcW w:w="1276" w:type="dxa"/>
            <w:vAlign w:val="center"/>
          </w:tcPr>
          <w:p>
            <w:pPr>
              <w:pStyle w:val="单元格样式2"/>
            </w:pPr>
            <w:r>
              <w:t xml:space="preserve">合格工作项数/交办工作项数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服务时效性</w:t>
            </w:r>
          </w:p>
        </w:tc>
        <w:tc>
          <w:tcPr>
            <w:tcW w:w="5386" w:type="dxa"/>
            <w:vAlign w:val="center"/>
          </w:tcPr>
          <w:p>
            <w:pPr>
              <w:pStyle w:val="单元格样式2"/>
            </w:pPr>
            <w:r>
              <w:t xml:space="preserve">服务提供的时效性</w:t>
            </w:r>
          </w:p>
        </w:tc>
        <w:tc>
          <w:tcPr>
            <w:tcW w:w="2268" w:type="dxa"/>
            <w:vAlign w:val="center"/>
          </w:tcPr>
          <w:p>
            <w:pPr>
              <w:pStyle w:val="单元格样式2"/>
            </w:pPr>
            <w:r>
              <w:t xml:space="preserve">根据工作要求时间</w:t>
            </w:r>
          </w:p>
        </w:tc>
        <w:tc>
          <w:tcPr>
            <w:tcW w:w="1276" w:type="dxa"/>
            <w:vAlign w:val="center"/>
          </w:tcPr>
          <w:p>
            <w:pPr>
              <w:pStyle w:val="单元格样式2"/>
            </w:pPr>
            <w:r>
              <w:t xml:space="preserve">重点把握项目既定时间节点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采购成本　</w:t>
            </w:r>
          </w:p>
        </w:tc>
        <w:tc>
          <w:tcPr>
            <w:tcW w:w="5386" w:type="dxa"/>
            <w:vAlign w:val="center"/>
          </w:tcPr>
          <w:p>
            <w:pPr>
              <w:pStyle w:val="单元格样式2"/>
            </w:pPr>
            <w:r>
              <w:t xml:space="preserve">反映单个项目预算支出情况</w:t>
            </w:r>
          </w:p>
        </w:tc>
        <w:tc>
          <w:tcPr>
            <w:tcW w:w="2268" w:type="dxa"/>
            <w:vAlign w:val="center"/>
          </w:tcPr>
          <w:p>
            <w:pPr>
              <w:pStyle w:val="单元格样式2"/>
            </w:pPr>
            <w:r>
              <w:t xml:space="preserve">≤0.85万元/项目</w:t>
            </w:r>
          </w:p>
        </w:tc>
        <w:tc>
          <w:tcPr>
            <w:tcW w:w="1276" w:type="dxa"/>
            <w:vAlign w:val="center"/>
          </w:tcPr>
          <w:p>
            <w:pPr>
              <w:pStyle w:val="单元格样式2"/>
            </w:pPr>
            <w:r>
              <w:t xml:space="preserve">项目预算金额/当年项目数量</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&gt;95%</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成果应用情况　</w:t>
            </w:r>
          </w:p>
        </w:tc>
        <w:tc>
          <w:tcPr>
            <w:tcW w:w="5386" w:type="dxa"/>
            <w:vAlign w:val="center"/>
          </w:tcPr>
          <w:p>
            <w:pPr>
              <w:pStyle w:val="单元格样式2"/>
            </w:pPr>
            <w:r>
              <w:t xml:space="preserve">工程管理技术工作成果应用情况　</w:t>
            </w:r>
          </w:p>
        </w:tc>
        <w:tc>
          <w:tcPr>
            <w:tcW w:w="2268" w:type="dxa"/>
            <w:vAlign w:val="center"/>
          </w:tcPr>
          <w:p>
            <w:pPr>
              <w:pStyle w:val="单元格样式2"/>
            </w:pPr>
            <w:r>
              <w:t xml:space="preserve">工程管理技术服务情况汇报</w:t>
            </w:r>
          </w:p>
        </w:tc>
        <w:tc>
          <w:tcPr>
            <w:tcW w:w="1276" w:type="dxa"/>
            <w:vAlign w:val="center"/>
          </w:tcPr>
          <w:p>
            <w:pPr>
              <w:pStyle w:val="单元格样式2"/>
            </w:pPr>
            <w:r>
              <w:t xml:space="preserve">工程管理技术服务情况汇报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被服务单位满意率　</w:t>
            </w:r>
          </w:p>
        </w:tc>
        <w:tc>
          <w:tcPr>
            <w:tcW w:w="5386" w:type="dxa"/>
            <w:vAlign w:val="center"/>
          </w:tcPr>
          <w:p>
            <w:pPr>
              <w:pStyle w:val="单元格样式2"/>
            </w:pPr>
            <w:r>
              <w:t xml:space="preserve">被服务单位满意率　</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5、采购工程政策咨询服务绩效目标表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13660026P00572410045B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采购工程政策咨询服务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经费主要用于建设指挥部采购工程政策咨询服务。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60%</w:t>
            </w:r>
          </w:p>
        </w:tc>
        <w:tc>
          <w:tcPr>
            <w:tcW w:w="2835" w:type="dxa"/>
            <w:vAlign w:val="center"/>
          </w:tcPr>
          <w:p>
            <w:pPr>
              <w:pStyle w:val="单元格样式3"/>
            </w:pPr>
            <w:r>
              <w:t xml:space="preserve">60%</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1.委托一家专业单位办理，由其根据服务内容要求为建设指挥部提供工程管理技术服务，期限为一年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完成项目数　</w:t>
            </w:r>
          </w:p>
        </w:tc>
        <w:tc>
          <w:tcPr>
            <w:tcW w:w="5386" w:type="dxa"/>
            <w:vAlign w:val="center"/>
          </w:tcPr>
          <w:p>
            <w:pPr>
              <w:pStyle w:val="单元格样式2"/>
            </w:pPr>
            <w:r>
              <w:t xml:space="preserve">服务具体项目数量</w:t>
            </w:r>
          </w:p>
        </w:tc>
        <w:tc>
          <w:tcPr>
            <w:tcW w:w="2268" w:type="dxa"/>
            <w:vAlign w:val="center"/>
          </w:tcPr>
          <w:p>
            <w:pPr>
              <w:pStyle w:val="单元格样式2"/>
            </w:pPr>
            <w:r>
              <w:t xml:space="preserve">根据服务项目数量考评</w:t>
            </w:r>
          </w:p>
        </w:tc>
        <w:tc>
          <w:tcPr>
            <w:tcW w:w="1276" w:type="dxa"/>
            <w:vAlign w:val="center"/>
          </w:tcPr>
          <w:p>
            <w:pPr>
              <w:pStyle w:val="单元格样式2"/>
            </w:pPr>
            <w:r>
              <w:t xml:space="preserve">全年服务项目数量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服务工作覆盖率　</w:t>
            </w:r>
          </w:p>
        </w:tc>
        <w:tc>
          <w:tcPr>
            <w:tcW w:w="5386" w:type="dxa"/>
            <w:vAlign w:val="center"/>
          </w:tcPr>
          <w:p>
            <w:pPr>
              <w:pStyle w:val="单元格样式2"/>
            </w:pPr>
            <w:r>
              <w:t xml:space="preserve">工程政策咨询服务覆盖率</w:t>
            </w:r>
          </w:p>
        </w:tc>
        <w:tc>
          <w:tcPr>
            <w:tcW w:w="2268" w:type="dxa"/>
            <w:vAlign w:val="center"/>
          </w:tcPr>
          <w:p>
            <w:pPr>
              <w:pStyle w:val="单元格样式2"/>
            </w:pPr>
            <w:r>
              <w:t xml:space="preserve">100%</w:t>
            </w:r>
          </w:p>
        </w:tc>
        <w:tc>
          <w:tcPr>
            <w:tcW w:w="1276" w:type="dxa"/>
            <w:vAlign w:val="center"/>
          </w:tcPr>
          <w:p>
            <w:pPr>
              <w:pStyle w:val="单元格样式2"/>
            </w:pPr>
            <w:r>
              <w:t xml:space="preserve">服务项目数/计划服务项目数量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服务时效性</w:t>
            </w:r>
          </w:p>
        </w:tc>
        <w:tc>
          <w:tcPr>
            <w:tcW w:w="5386" w:type="dxa"/>
            <w:vAlign w:val="center"/>
          </w:tcPr>
          <w:p>
            <w:pPr>
              <w:pStyle w:val="单元格样式2"/>
            </w:pPr>
            <w:r>
              <w:t xml:space="preserve">服务提供的时效性</w:t>
            </w:r>
          </w:p>
        </w:tc>
        <w:tc>
          <w:tcPr>
            <w:tcW w:w="2268" w:type="dxa"/>
            <w:vAlign w:val="center"/>
          </w:tcPr>
          <w:p>
            <w:pPr>
              <w:pStyle w:val="单元格样式2"/>
            </w:pPr>
            <w:r>
              <w:t xml:space="preserve">根据工作要求时间</w:t>
            </w:r>
          </w:p>
        </w:tc>
        <w:tc>
          <w:tcPr>
            <w:tcW w:w="1276" w:type="dxa"/>
            <w:vAlign w:val="center"/>
          </w:tcPr>
          <w:p>
            <w:pPr>
              <w:pStyle w:val="单元格样式2"/>
            </w:pPr>
            <w:r>
              <w:t xml:space="preserve">重点把握项目既定时间节点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采购成本　</w:t>
            </w:r>
          </w:p>
        </w:tc>
        <w:tc>
          <w:tcPr>
            <w:tcW w:w="5386" w:type="dxa"/>
            <w:vAlign w:val="center"/>
          </w:tcPr>
          <w:p>
            <w:pPr>
              <w:pStyle w:val="单元格样式2"/>
            </w:pPr>
            <w:r>
              <w:t xml:space="preserve">反映每人每次咨询服务（中级职称）成本情况</w:t>
            </w:r>
          </w:p>
        </w:tc>
        <w:tc>
          <w:tcPr>
            <w:tcW w:w="2268" w:type="dxa"/>
            <w:vAlign w:val="center"/>
          </w:tcPr>
          <w:p>
            <w:pPr>
              <w:pStyle w:val="单元格样式2"/>
            </w:pPr>
            <w:r>
              <w:t xml:space="preserve">≤500元/天·次</w:t>
            </w:r>
          </w:p>
        </w:tc>
        <w:tc>
          <w:tcPr>
            <w:tcW w:w="1276" w:type="dxa"/>
            <w:vAlign w:val="center"/>
          </w:tcPr>
          <w:p>
            <w:pPr>
              <w:pStyle w:val="单元格样式2"/>
            </w:pPr>
            <w:r>
              <w:t xml:space="preserve">项目总成本/服务天数/服务人数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成果应用情况　</w:t>
            </w:r>
          </w:p>
        </w:tc>
        <w:tc>
          <w:tcPr>
            <w:tcW w:w="5386" w:type="dxa"/>
            <w:vAlign w:val="center"/>
          </w:tcPr>
          <w:p>
            <w:pPr>
              <w:pStyle w:val="单元格样式2"/>
            </w:pPr>
            <w:r>
              <w:t xml:space="preserve">工程政策咨询服务工作成果应用情况　</w:t>
            </w:r>
          </w:p>
        </w:tc>
        <w:tc>
          <w:tcPr>
            <w:tcW w:w="2268" w:type="dxa"/>
            <w:vAlign w:val="center"/>
          </w:tcPr>
          <w:p>
            <w:pPr>
              <w:pStyle w:val="单元格样式2"/>
            </w:pPr>
            <w:r>
              <w:t xml:space="preserve">工程政策咨询服务情况汇报</w:t>
            </w:r>
          </w:p>
        </w:tc>
        <w:tc>
          <w:tcPr>
            <w:tcW w:w="1276" w:type="dxa"/>
            <w:vAlign w:val="center"/>
          </w:tcPr>
          <w:p>
            <w:pPr>
              <w:pStyle w:val="单元格样式2"/>
            </w:pPr>
            <w:r>
              <w:t xml:space="preserve">工程政策咨询服务情况汇报</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被服务单位满意率　</w:t>
            </w:r>
          </w:p>
        </w:tc>
        <w:tc>
          <w:tcPr>
            <w:tcW w:w="5386" w:type="dxa"/>
            <w:vAlign w:val="center"/>
          </w:tcPr>
          <w:p>
            <w:pPr>
              <w:pStyle w:val="单元格样式2"/>
            </w:pPr>
            <w:r>
              <w:t xml:space="preserve">被服务单位满意率　</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6、采购建设工程专家咨询服务绩效目标表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13660026P00572410046Y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采购建设工程专家咨询服务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经费主要用于委托一家专业单位办理，由其根据服务内容要求配合建设指挥部提供建设工程项目检查专家咨询服务，期限为一年。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70%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1.自行组织，按照各片区实际情况每次安排不低于四人专家团队进行项目督导服务工作，内容涵盖建设工程协调、督导、分析等。</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完成专家咨询服务次数　</w:t>
            </w:r>
          </w:p>
        </w:tc>
        <w:tc>
          <w:tcPr>
            <w:tcW w:w="5386" w:type="dxa"/>
            <w:vAlign w:val="center"/>
          </w:tcPr>
          <w:p>
            <w:pPr>
              <w:pStyle w:val="单元格样式2"/>
            </w:pPr>
            <w:r>
              <w:t xml:space="preserve">　完成建设工程项目督导服务次数</w:t>
            </w:r>
          </w:p>
        </w:tc>
        <w:tc>
          <w:tcPr>
            <w:tcW w:w="2268" w:type="dxa"/>
            <w:vAlign w:val="center"/>
          </w:tcPr>
          <w:p>
            <w:pPr>
              <w:pStyle w:val="单元格样式2"/>
            </w:pPr>
            <w:r>
              <w:t xml:space="preserve">≥4次</w:t>
            </w:r>
          </w:p>
        </w:tc>
        <w:tc>
          <w:tcPr>
            <w:tcW w:w="1276" w:type="dxa"/>
            <w:vAlign w:val="center"/>
          </w:tcPr>
          <w:p>
            <w:pPr>
              <w:pStyle w:val="单元格样式2"/>
            </w:pPr>
            <w:r>
              <w:t xml:space="preserve">实际完成建设工程项目督导服务次数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专家咨询服务工作覆盖率　</w:t>
            </w:r>
          </w:p>
        </w:tc>
        <w:tc>
          <w:tcPr>
            <w:tcW w:w="5386" w:type="dxa"/>
            <w:vAlign w:val="center"/>
          </w:tcPr>
          <w:p>
            <w:pPr>
              <w:pStyle w:val="单元格样式2"/>
            </w:pPr>
            <w:r>
              <w:t xml:space="preserve">建设工程专家咨询服务工作覆盖率　</w:t>
            </w:r>
          </w:p>
        </w:tc>
        <w:tc>
          <w:tcPr>
            <w:tcW w:w="2268" w:type="dxa"/>
            <w:vAlign w:val="center"/>
          </w:tcPr>
          <w:p>
            <w:pPr>
              <w:pStyle w:val="单元格样式2"/>
            </w:pPr>
            <w:r>
              <w:t xml:space="preserve">100%</w:t>
            </w:r>
          </w:p>
        </w:tc>
        <w:tc>
          <w:tcPr>
            <w:tcW w:w="1276" w:type="dxa"/>
            <w:vAlign w:val="center"/>
          </w:tcPr>
          <w:p>
            <w:pPr>
              <w:pStyle w:val="单元格样式2"/>
            </w:pPr>
            <w:r>
              <w:t xml:space="preserve">已查项数/计划检查项数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督导服务时效性　</w:t>
            </w:r>
          </w:p>
        </w:tc>
        <w:tc>
          <w:tcPr>
            <w:tcW w:w="5386" w:type="dxa"/>
            <w:vAlign w:val="center"/>
          </w:tcPr>
          <w:p>
            <w:pPr>
              <w:pStyle w:val="单元格样式2"/>
            </w:pPr>
            <w:r>
              <w:t xml:space="preserve">督导服务按时间节点要求完成</w:t>
            </w:r>
          </w:p>
        </w:tc>
        <w:tc>
          <w:tcPr>
            <w:tcW w:w="2268" w:type="dxa"/>
            <w:vAlign w:val="center"/>
          </w:tcPr>
          <w:p>
            <w:pPr>
              <w:pStyle w:val="单元格样式2"/>
            </w:pPr>
            <w:r>
              <w:t xml:space="preserve">≤10天</w:t>
            </w:r>
          </w:p>
        </w:tc>
        <w:tc>
          <w:tcPr>
            <w:tcW w:w="1276" w:type="dxa"/>
            <w:vAlign w:val="center"/>
          </w:tcPr>
          <w:p>
            <w:pPr>
              <w:pStyle w:val="单元格样式2"/>
            </w:pPr>
            <w:r>
              <w:t xml:space="preserve">督导服务的实际时间-合同规定时间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项目人工成本　</w:t>
            </w:r>
          </w:p>
        </w:tc>
        <w:tc>
          <w:tcPr>
            <w:tcW w:w="5386" w:type="dxa"/>
            <w:vAlign w:val="center"/>
          </w:tcPr>
          <w:p>
            <w:pPr>
              <w:pStyle w:val="单元格样式2"/>
            </w:pPr>
            <w:r>
              <w:t xml:space="preserve">反映高级工程师专家费成本</w:t>
            </w:r>
          </w:p>
        </w:tc>
        <w:tc>
          <w:tcPr>
            <w:tcW w:w="2268" w:type="dxa"/>
            <w:vAlign w:val="center"/>
          </w:tcPr>
          <w:p>
            <w:pPr>
              <w:pStyle w:val="单元格样式2"/>
            </w:pPr>
            <w:r>
              <w:t xml:space="preserve">≤1500元/天</w:t>
            </w:r>
          </w:p>
        </w:tc>
        <w:tc>
          <w:tcPr>
            <w:tcW w:w="1276" w:type="dxa"/>
            <w:vAlign w:val="center"/>
          </w:tcPr>
          <w:p>
            <w:pPr>
              <w:pStyle w:val="单元格样式2"/>
            </w:pPr>
            <w:r>
              <w:t xml:space="preserve">项目专家费实际支出/检查人次</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反映预算资金的实际执行情况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项目管理提升</w:t>
            </w:r>
          </w:p>
        </w:tc>
        <w:tc>
          <w:tcPr>
            <w:tcW w:w="5386" w:type="dxa"/>
            <w:vAlign w:val="center"/>
          </w:tcPr>
          <w:p>
            <w:pPr>
              <w:pStyle w:val="单元格样式2"/>
            </w:pPr>
            <w:r>
              <w:t xml:space="preserve">通过专家咨询服务，确保工程建设达到高标准，从而对社会产生积极影响。</w:t>
            </w:r>
          </w:p>
        </w:tc>
        <w:tc>
          <w:tcPr>
            <w:tcW w:w="2268" w:type="dxa"/>
            <w:vAlign w:val="center"/>
          </w:tcPr>
          <w:p>
            <w:pPr>
              <w:pStyle w:val="单元格样式2"/>
            </w:pPr>
            <w:r>
              <w:t xml:space="preserve">项目管理提升效果</w:t>
            </w:r>
          </w:p>
        </w:tc>
        <w:tc>
          <w:tcPr>
            <w:tcW w:w="1276" w:type="dxa"/>
            <w:vAlign w:val="center"/>
          </w:tcPr>
          <w:p>
            <w:pPr>
              <w:pStyle w:val="单元格样式2"/>
            </w:pPr>
            <w:r>
              <w:t xml:space="preserve">通过专家咨询服务后的项目管理、施工合规性提升等间接反映社会效益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专家咨询项目服务成果应用情况</w:t>
            </w:r>
          </w:p>
        </w:tc>
        <w:tc>
          <w:tcPr>
            <w:tcW w:w="5386" w:type="dxa"/>
            <w:vAlign w:val="center"/>
          </w:tcPr>
          <w:p>
            <w:pPr>
              <w:pStyle w:val="单元格样式2"/>
            </w:pPr>
            <w:r>
              <w:t xml:space="preserve">确保建设工程质量安全有序可控，为建设工程工作提供保障。　</w:t>
            </w:r>
          </w:p>
        </w:tc>
        <w:tc>
          <w:tcPr>
            <w:tcW w:w="2268" w:type="dxa"/>
            <w:vAlign w:val="center"/>
          </w:tcPr>
          <w:p>
            <w:pPr>
              <w:pStyle w:val="单元格样式2"/>
            </w:pPr>
            <w:r>
              <w:t xml:space="preserve">专家咨询项目服务说明</w:t>
            </w:r>
          </w:p>
        </w:tc>
        <w:tc>
          <w:tcPr>
            <w:tcW w:w="1276" w:type="dxa"/>
            <w:vAlign w:val="center"/>
          </w:tcPr>
          <w:p>
            <w:pPr>
              <w:pStyle w:val="单元格样式2"/>
            </w:pPr>
            <w:r>
              <w:t xml:space="preserve">为建设工程工作提供保障说明</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被服务单位满意率　</w:t>
            </w:r>
          </w:p>
        </w:tc>
        <w:tc>
          <w:tcPr>
            <w:tcW w:w="5386" w:type="dxa"/>
            <w:vAlign w:val="center"/>
          </w:tcPr>
          <w:p>
            <w:pPr>
              <w:pStyle w:val="单元格样式2"/>
            </w:pPr>
            <w:r>
              <w:t xml:space="preserve">被服务单位满意率　</w:t>
            </w:r>
          </w:p>
        </w:tc>
        <w:tc>
          <w:tcPr>
            <w:tcW w:w="2268" w:type="dxa"/>
            <w:vAlign w:val="center"/>
          </w:tcPr>
          <w:p>
            <w:pPr>
              <w:pStyle w:val="单元格样式2"/>
            </w:pPr>
            <w:r>
              <w:t xml:space="preserve">≥95%</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7、起步区第一组团北片开发建设推进实施技术支撑服务绩效目标表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13660026P005724100486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起步区第一组团北片开发建设推进实施技术支撑服务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用于片区开发规划实施统筹技术咨询服务，支撑起步区第一组团北片开发建设，建设时序统筹及重要调研汇报材料编制，建设项目协调服务工作。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30%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1.建设项目协调服务工作</w:t>
            </w:r>
          </w:p>
          <w:p>
            <w:pPr>
              <w:pStyle w:val="单元格样式2"/>
            </w:pPr>
            <w:r>
              <w:t xml:space="preserve">2.建设时序统筹及重要调研汇报材料编制</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形成实施方案数量</w:t>
            </w:r>
          </w:p>
        </w:tc>
        <w:tc>
          <w:tcPr>
            <w:tcW w:w="5386" w:type="dxa"/>
            <w:vAlign w:val="center"/>
          </w:tcPr>
          <w:p>
            <w:pPr>
              <w:pStyle w:val="单元格样式2"/>
            </w:pPr>
            <w:r>
              <w:t xml:space="preserve">更新《起步区第一组团北片开发建设实施方案》，编制《起步区第一组团专题汇报材料》框架，更行《起步区第一组团北片协调事项清单》。</w:t>
            </w:r>
          </w:p>
        </w:tc>
        <w:tc>
          <w:tcPr>
            <w:tcW w:w="2268" w:type="dxa"/>
            <w:vAlign w:val="center"/>
          </w:tcPr>
          <w:p>
            <w:pPr>
              <w:pStyle w:val="单元格样式2"/>
            </w:pPr>
            <w:r>
              <w:t xml:space="preserve">3份</w:t>
            </w:r>
          </w:p>
        </w:tc>
        <w:tc>
          <w:tcPr>
            <w:tcW w:w="1276" w:type="dxa"/>
            <w:vAlign w:val="center"/>
          </w:tcPr>
          <w:p>
            <w:pPr>
              <w:pStyle w:val="单元格样式2"/>
            </w:pPr>
            <w:r>
              <w:t xml:space="preserve">片区开发进度需要及合同约定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项目阶段性验收合格</w:t>
            </w:r>
          </w:p>
        </w:tc>
        <w:tc>
          <w:tcPr>
            <w:tcW w:w="5386" w:type="dxa"/>
            <w:vAlign w:val="center"/>
          </w:tcPr>
          <w:p>
            <w:pPr>
              <w:pStyle w:val="单元格样式2"/>
            </w:pPr>
            <w:r>
              <w:t xml:space="preserve">实施方案全面覆盖在建项目；事项清单具备上会条件。</w:t>
            </w:r>
          </w:p>
        </w:tc>
        <w:tc>
          <w:tcPr>
            <w:tcW w:w="2268" w:type="dxa"/>
            <w:vAlign w:val="center"/>
          </w:tcPr>
          <w:p>
            <w:pPr>
              <w:pStyle w:val="单元格样式2"/>
            </w:pPr>
            <w:r>
              <w:t xml:space="preserve">进度符合实际要求</w:t>
            </w:r>
          </w:p>
        </w:tc>
        <w:tc>
          <w:tcPr>
            <w:tcW w:w="1276" w:type="dxa"/>
            <w:vAlign w:val="center"/>
          </w:tcPr>
          <w:p>
            <w:pPr>
              <w:pStyle w:val="单元格样式2"/>
            </w:pPr>
            <w:r>
              <w:t xml:space="preserve">片区开发进度需要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项目进度</w:t>
            </w:r>
          </w:p>
        </w:tc>
        <w:tc>
          <w:tcPr>
            <w:tcW w:w="5386" w:type="dxa"/>
            <w:vAlign w:val="center"/>
          </w:tcPr>
          <w:p>
            <w:pPr>
              <w:pStyle w:val="单元格样式2"/>
            </w:pPr>
            <w:r>
              <w:t xml:space="preserve">项目整体完成进度</w:t>
            </w:r>
          </w:p>
        </w:tc>
        <w:tc>
          <w:tcPr>
            <w:tcW w:w="2268" w:type="dxa"/>
            <w:vAlign w:val="center"/>
          </w:tcPr>
          <w:p>
            <w:pPr>
              <w:pStyle w:val="单元格样式2"/>
            </w:pPr>
            <w:r>
              <w:t xml:space="preserve">100%</w:t>
            </w:r>
          </w:p>
        </w:tc>
        <w:tc>
          <w:tcPr>
            <w:tcW w:w="1276" w:type="dxa"/>
            <w:vAlign w:val="center"/>
          </w:tcPr>
          <w:p>
            <w:pPr>
              <w:pStyle w:val="单元格样式2"/>
            </w:pPr>
            <w:r>
              <w:t xml:space="preserve">合同约定项目服务内容</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项目支出</w:t>
            </w:r>
          </w:p>
        </w:tc>
        <w:tc>
          <w:tcPr>
            <w:tcW w:w="5386" w:type="dxa"/>
            <w:vAlign w:val="center"/>
          </w:tcPr>
          <w:p>
            <w:pPr>
              <w:pStyle w:val="单元格样式2"/>
            </w:pPr>
            <w:r>
              <w:t xml:space="preserve">严格按照预算支出。</w:t>
            </w:r>
          </w:p>
        </w:tc>
        <w:tc>
          <w:tcPr>
            <w:tcW w:w="2268" w:type="dxa"/>
            <w:vAlign w:val="center"/>
          </w:tcPr>
          <w:p>
            <w:pPr>
              <w:pStyle w:val="单元格样式2"/>
            </w:pPr>
            <w:r>
              <w:t xml:space="preserve">≤50万元</w:t>
            </w:r>
          </w:p>
        </w:tc>
        <w:tc>
          <w:tcPr>
            <w:tcW w:w="1276" w:type="dxa"/>
            <w:vAlign w:val="center"/>
          </w:tcPr>
          <w:p>
            <w:pPr>
              <w:pStyle w:val="单元格样式2"/>
            </w:pPr>
            <w:r>
              <w:t xml:space="preserve">预算项目总支出</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反应资金的实际执行情况。</w:t>
            </w:r>
          </w:p>
        </w:tc>
        <w:tc>
          <w:tcPr>
            <w:tcW w:w="2268" w:type="dxa"/>
            <w:vAlign w:val="center"/>
          </w:tcPr>
          <w:p>
            <w:pPr>
              <w:pStyle w:val="单元格样式2"/>
            </w:pPr>
            <w:r>
              <w:t xml:space="preserve">&gt;90%</w:t>
            </w:r>
          </w:p>
        </w:tc>
        <w:tc>
          <w:tcPr>
            <w:tcW w:w="1276" w:type="dxa"/>
            <w:vAlign w:val="center"/>
          </w:tcPr>
          <w:p>
            <w:pPr>
              <w:pStyle w:val="单元格样式2"/>
            </w:pPr>
            <w:r>
              <w:t xml:space="preserve">项目实际支出/项目预算数*100%</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提升部门决策质量</w:t>
            </w:r>
          </w:p>
        </w:tc>
        <w:tc>
          <w:tcPr>
            <w:tcW w:w="5386" w:type="dxa"/>
            <w:vAlign w:val="center"/>
          </w:tcPr>
          <w:p>
            <w:pPr>
              <w:pStyle w:val="单元格样式2"/>
            </w:pPr>
            <w:r>
              <w:t xml:space="preserve">反映项目对提升部门决策的影响，包括受到上级、各参建单位等正面评价报道。</w:t>
            </w:r>
          </w:p>
        </w:tc>
        <w:tc>
          <w:tcPr>
            <w:tcW w:w="2268" w:type="dxa"/>
            <w:vAlign w:val="center"/>
          </w:tcPr>
          <w:p>
            <w:pPr>
              <w:pStyle w:val="单元格样式2"/>
            </w:pPr>
            <w:r>
              <w:t xml:space="preserve">上级、各参建单位等正面评价</w:t>
            </w:r>
          </w:p>
        </w:tc>
        <w:tc>
          <w:tcPr>
            <w:tcW w:w="1276" w:type="dxa"/>
            <w:vAlign w:val="center"/>
          </w:tcPr>
          <w:p>
            <w:pPr>
              <w:pStyle w:val="单元格样式2"/>
            </w:pPr>
            <w:r>
              <w:t xml:space="preserve">反应评价内容的相关材料</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项目各方满意度</w:t>
            </w:r>
          </w:p>
        </w:tc>
        <w:tc>
          <w:tcPr>
            <w:tcW w:w="5386" w:type="dxa"/>
            <w:vAlign w:val="center"/>
          </w:tcPr>
          <w:p>
            <w:pPr>
              <w:pStyle w:val="单元格样式2"/>
            </w:pPr>
            <w:r>
              <w:t xml:space="preserve">反映项目相关各方对该项目实施的满意程度。</w:t>
            </w:r>
          </w:p>
        </w:tc>
        <w:tc>
          <w:tcPr>
            <w:tcW w:w="2268" w:type="dxa"/>
            <w:vAlign w:val="center"/>
          </w:tcPr>
          <w:p>
            <w:pPr>
              <w:pStyle w:val="单元格样式2"/>
            </w:pPr>
            <w:r>
              <w:t xml:space="preserve">≥90%</w:t>
            </w:r>
          </w:p>
        </w:tc>
        <w:tc>
          <w:tcPr>
            <w:tcW w:w="1276" w:type="dxa"/>
            <w:vAlign w:val="center"/>
          </w:tcPr>
          <w:p>
            <w:pPr>
              <w:pStyle w:val="单元格样式2"/>
            </w:pPr>
            <w:r>
              <w:t xml:space="preserve">被服务单位满意人数/调查人数*100%</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8、雄安新区建设项目设计协同统筹服务绩效目标表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13660026P00572410047J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雄安新区建设项目设计协同统筹服务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237.20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237.20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经费主要用于开展雄安新区建设项目设计协同统筹工作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70%</w:t>
            </w:r>
          </w:p>
        </w:tc>
        <w:tc>
          <w:tcPr>
            <w:tcW w:w="2551" w:type="dxa"/>
            <w:vAlign w:val="center"/>
          </w:tcPr>
          <w:p>
            <w:pPr>
              <w:pStyle w:val="单元格样式3"/>
            </w:pPr>
            <w:r>
              <w:t xml:space="preserve">70%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1.运用2024-2025年度形成的研究成果，推动设计统筹向建设施工一线下沉，保障各片区工程高质量落地。</w:t>
            </w:r>
          </w:p>
          <w:p>
            <w:pPr>
              <w:pStyle w:val="单元格样式2"/>
            </w:pPr>
            <w:r>
              <w:t xml:space="preserve">2.统筹雄安新区建设项目设计单位，优化设计过程中出现的问题，系统系梳理已建成片区和项目的整体建设情况，完善建设操作指南。</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课题成果文件</w:t>
            </w:r>
          </w:p>
        </w:tc>
        <w:tc>
          <w:tcPr>
            <w:tcW w:w="5386" w:type="dxa"/>
            <w:vAlign w:val="center"/>
          </w:tcPr>
          <w:p>
            <w:pPr>
              <w:pStyle w:val="单元格样式2"/>
            </w:pPr>
            <w:r>
              <w:t xml:space="preserve">出具成果文件数量</w:t>
            </w:r>
          </w:p>
        </w:tc>
        <w:tc>
          <w:tcPr>
            <w:tcW w:w="2268" w:type="dxa"/>
            <w:vAlign w:val="center"/>
          </w:tcPr>
          <w:p>
            <w:pPr>
              <w:pStyle w:val="单元格样式2"/>
            </w:pPr>
            <w:r>
              <w:t xml:space="preserve">≥2个</w:t>
            </w:r>
          </w:p>
        </w:tc>
        <w:tc>
          <w:tcPr>
            <w:tcW w:w="1276" w:type="dxa"/>
            <w:vAlign w:val="center"/>
          </w:tcPr>
          <w:p>
            <w:pPr>
              <w:pStyle w:val="单元格样式2"/>
            </w:pPr>
            <w:r>
              <w:t xml:space="preserve">通过验收的成果数量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现场调研及咨询</w:t>
            </w:r>
          </w:p>
        </w:tc>
        <w:tc>
          <w:tcPr>
            <w:tcW w:w="5386" w:type="dxa"/>
            <w:vAlign w:val="center"/>
          </w:tcPr>
          <w:p>
            <w:pPr>
              <w:pStyle w:val="单元格样式2"/>
            </w:pPr>
            <w:r>
              <w:t xml:space="preserve">现场调研及咨询次数</w:t>
            </w:r>
          </w:p>
        </w:tc>
        <w:tc>
          <w:tcPr>
            <w:tcW w:w="2268" w:type="dxa"/>
            <w:vAlign w:val="center"/>
          </w:tcPr>
          <w:p>
            <w:pPr>
              <w:pStyle w:val="单元格样式2"/>
            </w:pPr>
            <w:r>
              <w:t xml:space="preserve">≥5次</w:t>
            </w:r>
          </w:p>
        </w:tc>
        <w:tc>
          <w:tcPr>
            <w:tcW w:w="1276" w:type="dxa"/>
            <w:vAlign w:val="center"/>
          </w:tcPr>
          <w:p>
            <w:pPr>
              <w:pStyle w:val="单元格样式2"/>
            </w:pPr>
            <w:r>
              <w:t xml:space="preserve">通过验收的调研和咨询报告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成果验收合格率</w:t>
            </w:r>
          </w:p>
        </w:tc>
        <w:tc>
          <w:tcPr>
            <w:tcW w:w="5386" w:type="dxa"/>
            <w:vAlign w:val="center"/>
          </w:tcPr>
          <w:p>
            <w:pPr>
              <w:pStyle w:val="单元格样式2"/>
            </w:pPr>
            <w:r>
              <w:t xml:space="preserve">最终成果满足各片区重点工程项目建设要求</w:t>
            </w:r>
          </w:p>
        </w:tc>
        <w:tc>
          <w:tcPr>
            <w:tcW w:w="2268" w:type="dxa"/>
            <w:vAlign w:val="center"/>
          </w:tcPr>
          <w:p>
            <w:pPr>
              <w:pStyle w:val="单元格样式2"/>
            </w:pPr>
            <w:r>
              <w:t xml:space="preserve">100%</w:t>
            </w:r>
          </w:p>
        </w:tc>
        <w:tc>
          <w:tcPr>
            <w:tcW w:w="1276" w:type="dxa"/>
            <w:vAlign w:val="center"/>
          </w:tcPr>
          <w:p>
            <w:pPr>
              <w:pStyle w:val="单元格样式2"/>
            </w:pPr>
            <w:r>
              <w:t xml:space="preserve">通过验收的的项目/总项目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项目时效</w:t>
            </w:r>
          </w:p>
        </w:tc>
        <w:tc>
          <w:tcPr>
            <w:tcW w:w="5386" w:type="dxa"/>
            <w:vAlign w:val="center"/>
          </w:tcPr>
          <w:p>
            <w:pPr>
              <w:pStyle w:val="单元格样式2"/>
            </w:pPr>
            <w:r>
              <w:t xml:space="preserve">单个项目服务周期</w:t>
            </w:r>
          </w:p>
        </w:tc>
        <w:tc>
          <w:tcPr>
            <w:tcW w:w="2268" w:type="dxa"/>
            <w:vAlign w:val="center"/>
          </w:tcPr>
          <w:p>
            <w:pPr>
              <w:pStyle w:val="单元格样式2"/>
            </w:pPr>
            <w:r>
              <w:t xml:space="preserve">≤1年</w:t>
            </w:r>
          </w:p>
        </w:tc>
        <w:tc>
          <w:tcPr>
            <w:tcW w:w="1276" w:type="dxa"/>
            <w:vAlign w:val="center"/>
          </w:tcPr>
          <w:p>
            <w:pPr>
              <w:pStyle w:val="单元格样式2"/>
            </w:pPr>
            <w:r>
              <w:t xml:space="preserve">服务周期时间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合同总建设成本</w:t>
            </w:r>
          </w:p>
        </w:tc>
        <w:tc>
          <w:tcPr>
            <w:tcW w:w="5386" w:type="dxa"/>
            <w:vAlign w:val="center"/>
          </w:tcPr>
          <w:p>
            <w:pPr>
              <w:pStyle w:val="单元格样式2"/>
            </w:pPr>
            <w:r>
              <w:t xml:space="preserve">年度项目总投控制在预算金额内</w:t>
            </w:r>
          </w:p>
        </w:tc>
        <w:tc>
          <w:tcPr>
            <w:tcW w:w="2268" w:type="dxa"/>
            <w:vAlign w:val="center"/>
          </w:tcPr>
          <w:p>
            <w:pPr>
              <w:pStyle w:val="单元格样式2"/>
            </w:pPr>
            <w:r>
              <w:t xml:space="preserve">≤110万元</w:t>
            </w:r>
          </w:p>
        </w:tc>
        <w:tc>
          <w:tcPr>
            <w:tcW w:w="1276" w:type="dxa"/>
            <w:vAlign w:val="center"/>
          </w:tcPr>
          <w:p>
            <w:pPr>
              <w:pStyle w:val="单元格样式2"/>
            </w:pPr>
            <w:r>
              <w:t xml:space="preserve">总成本控制在110万元内</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预算执行偏差率</w:t>
            </w:r>
          </w:p>
        </w:tc>
        <w:tc>
          <w:tcPr>
            <w:tcW w:w="5386" w:type="dxa"/>
            <w:vAlign w:val="center"/>
          </w:tcPr>
          <w:p>
            <w:pPr>
              <w:pStyle w:val="单元格样式2"/>
            </w:pPr>
            <w:r>
              <w:t xml:space="preserve">项目实际支出与预算计划的偏差程度</w:t>
            </w:r>
          </w:p>
        </w:tc>
        <w:tc>
          <w:tcPr>
            <w:tcW w:w="2268" w:type="dxa"/>
            <w:vAlign w:val="center"/>
          </w:tcPr>
          <w:p>
            <w:pPr>
              <w:pStyle w:val="单元格样式2"/>
            </w:pPr>
            <w:r>
              <w:t xml:space="preserve">≤10%</w:t>
            </w:r>
          </w:p>
        </w:tc>
        <w:tc>
          <w:tcPr>
            <w:tcW w:w="1276" w:type="dxa"/>
            <w:vAlign w:val="center"/>
          </w:tcPr>
          <w:p>
            <w:pPr>
              <w:pStyle w:val="单元格样式2"/>
            </w:pPr>
            <w:r>
              <w:t xml:space="preserve">参考行业平均偏差率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技术服务及时性</w:t>
            </w:r>
          </w:p>
        </w:tc>
        <w:tc>
          <w:tcPr>
            <w:tcW w:w="5386" w:type="dxa"/>
            <w:vAlign w:val="center"/>
          </w:tcPr>
          <w:p>
            <w:pPr>
              <w:pStyle w:val="单元格样式2"/>
            </w:pPr>
            <w:r>
              <w:t xml:space="preserve">按约定时间节点提供技术咨询和服务的情况</w:t>
            </w:r>
          </w:p>
        </w:tc>
        <w:tc>
          <w:tcPr>
            <w:tcW w:w="2268" w:type="dxa"/>
            <w:vAlign w:val="center"/>
          </w:tcPr>
          <w:p>
            <w:pPr>
              <w:pStyle w:val="单元格样式2"/>
            </w:pPr>
            <w:r>
              <w:t xml:space="preserve">≥90%（按时完成率）</w:t>
            </w:r>
          </w:p>
        </w:tc>
        <w:tc>
          <w:tcPr>
            <w:tcW w:w="1276" w:type="dxa"/>
            <w:vAlign w:val="center"/>
          </w:tcPr>
          <w:p>
            <w:pPr>
              <w:pStyle w:val="单元格样式2"/>
            </w:pPr>
            <w:r>
              <w:t xml:space="preserve">考虑合理延期因素</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模式可复制性</w:t>
            </w:r>
          </w:p>
        </w:tc>
        <w:tc>
          <w:tcPr>
            <w:tcW w:w="5386" w:type="dxa"/>
            <w:vAlign w:val="center"/>
          </w:tcPr>
          <w:p>
            <w:pPr>
              <w:pStyle w:val="单元格样式2"/>
            </w:pPr>
            <w:r>
              <w:t xml:space="preserve">项目成果在其他区推广的难易程度</w:t>
            </w:r>
          </w:p>
        </w:tc>
        <w:tc>
          <w:tcPr>
            <w:tcW w:w="2268" w:type="dxa"/>
            <w:vAlign w:val="center"/>
          </w:tcPr>
          <w:p>
            <w:pPr>
              <w:pStyle w:val="单元格样式2"/>
            </w:pPr>
            <w:r>
              <w:t xml:space="preserve">形成可复制方案文档</w:t>
            </w:r>
          </w:p>
        </w:tc>
        <w:tc>
          <w:tcPr>
            <w:tcW w:w="1276" w:type="dxa"/>
            <w:vAlign w:val="center"/>
          </w:tcPr>
          <w:p>
            <w:pPr>
              <w:pStyle w:val="单元格样式2"/>
            </w:pPr>
            <w:r>
              <w:t xml:space="preserve">项目总结报告经验</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满意率</w:t>
            </w:r>
          </w:p>
        </w:tc>
        <w:tc>
          <w:tcPr>
            <w:tcW w:w="5386" w:type="dxa"/>
            <w:vAlign w:val="center"/>
          </w:tcPr>
          <w:p>
            <w:pPr>
              <w:pStyle w:val="单元格样式2"/>
            </w:pPr>
            <w:r>
              <w:t xml:space="preserve">被服务对象满意率</w:t>
            </w:r>
          </w:p>
        </w:tc>
        <w:tc>
          <w:tcPr>
            <w:tcW w:w="2268" w:type="dxa"/>
            <w:vAlign w:val="center"/>
          </w:tcPr>
          <w:p>
            <w:pPr>
              <w:pStyle w:val="单元格样式2"/>
            </w:pPr>
            <w:r>
              <w:t xml:space="preserve">≥90%</w:t>
            </w:r>
          </w:p>
        </w:tc>
        <w:tc>
          <w:tcPr>
            <w:tcW w:w="1276" w:type="dxa"/>
            <w:vAlign w:val="center"/>
          </w:tcPr>
          <w:p>
            <w:pPr>
              <w:pStyle w:val="单元格样式2"/>
            </w:pPr>
            <w:r>
              <w:t xml:space="preserve">满意人数/总人数</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411.90</w:t>
            </w:r>
          </w:p>
        </w:tc>
        <w:tc>
          <w:tcPr>
            <w:tcW w:w="964" w:type="dxa"/>
            <w:vAlign w:val="center"/>
          </w:tcPr>
          <w:p>
            <w:pPr>
              <w:pStyle w:val="单元格样式7"/>
            </w:pPr>
            <w:r>
              <w:t xml:space="preserve">411.90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361.02</w:t>
            </w:r>
          </w:p>
        </w:tc>
      </w:tr>
      <w:tr>
        <w:tblPrEx>
          <w:jc w:val="center"/>
          <w:tblLayout w:type="fixed"/>
        </w:tblPrEx>
        <w:trPr>
          <w:jc w:val="center"/>
        </w:trPr>
        <w:tc>
          <w:tcPr>
            <w:tcW w:w="1701" w:type="dxa"/>
            <w:vAlign w:val="center"/>
          </w:tcPr>
          <w:p>
            <w:pPr>
              <w:pStyle w:val="单元格样式6"/>
            </w:pPr>
            <w:r>
              <w:t xml:space="preserve">河北雄安新区建设指挥部小计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411.90</w:t>
            </w:r>
          </w:p>
        </w:tc>
        <w:tc>
          <w:tcPr>
            <w:tcW w:w="964" w:type="dxa"/>
            <w:vAlign w:val="center"/>
          </w:tcPr>
          <w:p>
            <w:pPr>
              <w:pStyle w:val="单元格样式7"/>
            </w:pPr>
            <w:r>
              <w:t xml:space="preserve">411.90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361.02</w:t>
            </w:r>
          </w:p>
        </w:tc>
      </w:tr>
      <w:tr>
        <w:tblPrEx>
          <w:jc w:val="center"/>
          <w:tblLayout w:type="fixed"/>
        </w:tblPrEx>
        <w:trPr>
          <w:jc w:val="center"/>
        </w:trPr>
        <w:tc>
          <w:tcPr>
            <w:tcW w:w="1701" w:type="dxa"/>
            <w:vAlign w:val="center"/>
          </w:tcPr>
          <w:p>
            <w:pPr>
              <w:pStyle w:val="单元格样式2"/>
            </w:pPr>
            <w:r>
              <w:t xml:space="preserve">指挥部管理综合事务</w:t>
            </w:r>
          </w:p>
        </w:tc>
        <w:tc>
          <w:tcPr>
            <w:tcW w:w="964" w:type="dxa"/>
            <w:vAlign w:val="center"/>
          </w:tcPr>
          <w:p>
            <w:pPr>
              <w:pStyle w:val="单元格样式4"/>
            </w:pPr>
            <w:r>
              <w:t xml:space="preserve">120.00</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blPrEx>
          <w:jc w:val="center"/>
          <w:tblLayout w:type="fixed"/>
        </w:tblPrEx>
        <w:trPr>
          <w:jc w:val="center"/>
        </w:trPr>
        <w:tc>
          <w:tcPr>
            <w:tcW w:w="1701" w:type="dxa"/>
            <w:vAlign w:val="center"/>
          </w:tcPr>
          <w:p>
            <w:pPr>
              <w:pStyle w:val="单元格样式2"/>
            </w:pPr>
            <w:r>
              <w:t xml:space="preserve">指挥部管理综合事务</w:t>
            </w:r>
          </w:p>
        </w:tc>
        <w:tc>
          <w:tcPr>
            <w:tcW w:w="964" w:type="dxa"/>
            <w:vAlign w:val="center"/>
          </w:tcPr>
          <w:p>
            <w:pPr>
              <w:pStyle w:val="单元格样式4"/>
            </w:pPr>
            <w:r>
              <w:t xml:space="preserve">120.00</w:t>
            </w:r>
          </w:p>
        </w:tc>
        <w:tc>
          <w:tcPr>
            <w:tcW w:w="1134" w:type="dxa"/>
            <w:vAlign w:val="center"/>
          </w:tcPr>
          <w:p>
            <w:pPr>
              <w:pStyle w:val="单元格样式2"/>
            </w:pPr>
            <w:r>
              <w:t xml:space="preserve">其他印刷服务</w:t>
            </w:r>
          </w:p>
        </w:tc>
        <w:tc>
          <w:tcPr>
            <w:tcW w:w="1134" w:type="dxa"/>
            <w:vAlign w:val="center"/>
          </w:tcPr>
          <w:p>
            <w:pPr>
              <w:pStyle w:val="单元格样式2"/>
            </w:pPr>
            <w:r>
              <w:t xml:space="preserve">C23090199</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blPrEx>
          <w:jc w:val="center"/>
          <w:tblLayout w:type="fixed"/>
        </w:tblPrEx>
        <w:trPr>
          <w:jc w:val="center"/>
        </w:trPr>
        <w:tc>
          <w:tcPr>
            <w:tcW w:w="1701" w:type="dxa"/>
            <w:vAlign w:val="center"/>
          </w:tcPr>
          <w:p>
            <w:pPr>
              <w:pStyle w:val="单元格样式2"/>
            </w:pPr>
            <w:r>
              <w:t xml:space="preserve">采购工程管理技术服务</w:t>
            </w:r>
          </w:p>
        </w:tc>
        <w:tc>
          <w:tcPr>
            <w:tcW w:w="964" w:type="dxa"/>
            <w:vAlign w:val="center"/>
          </w:tcPr>
          <w:p>
            <w:pPr>
              <w:pStyle w:val="单元格样式4"/>
            </w:pPr>
            <w:r>
              <w:t xml:space="preserve">170.00</w:t>
            </w:r>
          </w:p>
        </w:tc>
        <w:tc>
          <w:tcPr>
            <w:tcW w:w="1134" w:type="dxa"/>
            <w:vAlign w:val="center"/>
          </w:tcPr>
          <w:p>
            <w:pPr>
              <w:pStyle w:val="单元格样式2"/>
            </w:pPr>
            <w:r>
              <w:t xml:space="preserve">其他工程管理服务</w:t>
            </w:r>
          </w:p>
        </w:tc>
        <w:tc>
          <w:tcPr>
            <w:tcW w:w="1134" w:type="dxa"/>
            <w:vAlign w:val="center"/>
          </w:tcPr>
          <w:p>
            <w:pPr>
              <w:pStyle w:val="单元格样式2"/>
            </w:pPr>
            <w:r>
              <w:t xml:space="preserve">C11990000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170.00</w:t>
            </w:r>
          </w:p>
        </w:tc>
        <w:tc>
          <w:tcPr>
            <w:tcW w:w="964" w:type="dxa"/>
            <w:vAlign w:val="center"/>
          </w:tcPr>
          <w:p>
            <w:pPr>
              <w:pStyle w:val="单元格样式4"/>
            </w:pPr>
            <w:r>
              <w:t xml:space="preserve">170.00</w:t>
            </w:r>
          </w:p>
        </w:tc>
        <w:tc>
          <w:tcPr>
            <w:tcW w:w="964" w:type="dxa"/>
            <w:vAlign w:val="center"/>
          </w:tcPr>
          <w:p>
            <w:pPr>
              <w:pStyle w:val="单元格样式4"/>
            </w:pPr>
            <w:r>
              <w:t xml:space="preserve">170.00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170.00</w:t>
            </w:r>
          </w:p>
        </w:tc>
      </w:tr>
      <w:tr>
        <w:tblPrEx>
          <w:jc w:val="center"/>
          <w:tblLayout w:type="fixed"/>
        </w:tblPrEx>
        <w:trPr>
          <w:jc w:val="center"/>
        </w:trPr>
        <w:tc>
          <w:tcPr>
            <w:tcW w:w="1701" w:type="dxa"/>
            <w:vAlign w:val="center"/>
          </w:tcPr>
          <w:p>
            <w:pPr>
              <w:pStyle w:val="单元格样式2"/>
            </w:pPr>
            <w:r>
              <w:t xml:space="preserve">雄安新区建设项目设计协同统筹服务</w:t>
            </w:r>
          </w:p>
        </w:tc>
        <w:tc>
          <w:tcPr>
            <w:tcW w:w="964" w:type="dxa"/>
            <w:vAlign w:val="center"/>
          </w:tcPr>
          <w:p>
            <w:pPr>
              <w:pStyle w:val="单元格样式4"/>
            </w:pPr>
            <w:r>
              <w:t xml:space="preserve">237.20</w:t>
            </w:r>
          </w:p>
        </w:tc>
        <w:tc>
          <w:tcPr>
            <w:tcW w:w="1134" w:type="dxa"/>
            <w:vAlign w:val="center"/>
          </w:tcPr>
          <w:p>
            <w:pPr>
              <w:pStyle w:val="单元格样式2"/>
            </w:pPr>
            <w:r>
              <w:t xml:space="preserve">其他工程管理服务</w:t>
            </w:r>
          </w:p>
        </w:tc>
        <w:tc>
          <w:tcPr>
            <w:tcW w:w="1134" w:type="dxa"/>
            <w:vAlign w:val="center"/>
          </w:tcPr>
          <w:p>
            <w:pPr>
              <w:pStyle w:val="单元格样式2"/>
            </w:pPr>
            <w:r>
              <w:t xml:space="preserve">C11990000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237.20</w:t>
            </w:r>
          </w:p>
        </w:tc>
        <w:tc>
          <w:tcPr>
            <w:tcW w:w="964" w:type="dxa"/>
            <w:vAlign w:val="center"/>
          </w:tcPr>
          <w:p>
            <w:pPr>
              <w:pStyle w:val="单元格样式4"/>
            </w:pPr>
            <w:r>
              <w:t xml:space="preserve">237.20</w:t>
            </w:r>
          </w:p>
        </w:tc>
        <w:tc>
          <w:tcPr>
            <w:tcW w:w="964" w:type="dxa"/>
            <w:vAlign w:val="center"/>
          </w:tcPr>
          <w:p>
            <w:pPr>
              <w:pStyle w:val="单元格样式4"/>
            </w:pPr>
            <w:r>
              <w:t xml:space="preserve">237.20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186.32</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河北雄安新区建设指挥部（含所属单位）上年末固定资产金额为30.85万元（详见下表）。本年度拟购置固定资产总额为0.00万元，已按要求列入政府采购预算，详见政府采购预算表。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501河北雄安新区建设指挥部</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30.85</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459</w:t>
            </w:r>
          </w:p>
        </w:tc>
        <w:tc>
          <w:tcPr>
            <w:tcW w:w="2835" w:type="dxa"/>
            <w:vAlign w:val="center"/>
          </w:tcPr>
          <w:p>
            <w:pPr>
              <w:pStyle w:val="单元格样式4"/>
            </w:pPr>
            <w:r>
              <w:t xml:space="preserve">30.85</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38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39</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41</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2026-02-06T09:46:38Z</dcterms:created>
  <dcterms:modified xsi:type="dcterms:W3CDTF">2026-02-06T09:46:38Z</dcterms:modified>
</cp:coreProperties>
</file>