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</w:p>
    <w:p w14:paraId="50C5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河北雄安新区应急管理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shd w:val="clear" w:fill="FFFFFF"/>
          <w:lang w:val="en-US" w:eastAsia="zh-CN"/>
        </w:rPr>
        <w:t>局2025年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政府信息公开工作年度报告</w:t>
      </w:r>
    </w:p>
    <w:bookmarkEnd w:id="0"/>
    <w:p w14:paraId="4135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1E60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根据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《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中华人民共和国政府信息公开条例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》（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国务院令第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711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《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国务院办公厅政府信息与政务公开办公室关于印发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〈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中华人民共和国政府信息公开工作年度报告格式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的通知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》（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国办公开办函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30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有关要求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编制本报告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本报告所列数据统计期限自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日起至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12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31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日止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</w:p>
    <w:p w14:paraId="4567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、</w:t>
      </w:r>
      <w:r>
        <w:rPr>
          <w:rFonts w:hint="eastAsia" w:ascii="方正公文黑体" w:hAnsi="方正公文黑体" w:eastAsia="方正公文黑体" w:cs="方正公文黑体"/>
          <w:sz w:val="32"/>
          <w:szCs w:val="32"/>
        </w:rPr>
        <w:t>总</w:t>
      </w:r>
      <w:r>
        <w:rPr>
          <w:rFonts w:hint="eastAsia" w:ascii="方正公文黑体" w:hAnsi="方正公文黑体" w:eastAsia="方正公文黑体" w:cs="方正公文黑体"/>
          <w:sz w:val="32"/>
          <w:szCs w:val="32"/>
          <w:shd w:val="clear" w:fill="FFFFFF"/>
        </w:rPr>
        <w:t>体</w:t>
      </w:r>
      <w:r>
        <w:rPr>
          <w:rFonts w:hint="eastAsia" w:ascii="方正公文黑体" w:hAnsi="方正公文黑体" w:eastAsia="方正公文黑体" w:cs="方正公文黑体"/>
          <w:sz w:val="32"/>
          <w:szCs w:val="32"/>
        </w:rPr>
        <w:t>情况</w:t>
      </w:r>
    </w:p>
    <w:p w14:paraId="23F8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河北雄安新区应急管理局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坚持以习近平新时代中国特色社会主义思想为指导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全面贯彻党的二十大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二十届历次全会精神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和习近平总书记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关于应急管理的重要论述精神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认真落实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党中央决策部署和省委、省政府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新区党工委、管委会工作要求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以公开促落实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促规范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促服务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扎实推进政务公开工作提质增效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</w:p>
    <w:p w14:paraId="05C9F1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主动公开方面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在中国雄安官网发布各类信息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52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val="en-US" w:eastAsia="zh-CN"/>
        </w:rPr>
        <w:t>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；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val="en-US" w:eastAsia="zh-CN"/>
        </w:rPr>
        <w:t>在中国应急管理报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val="en-US" w:eastAsia="zh-CN"/>
        </w:rPr>
        <w:t>河北日报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val="en-US" w:eastAsia="zh-CN"/>
        </w:rPr>
        <w:t>河北经济日报等媒体刊发稿件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43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充分发挥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安全雄安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微信公众号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视频号及抖音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微博等新媒体平台作用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全年发布信息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1400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余篇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发布短视频</w:t>
      </w: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00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推出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小韩说安全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”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系列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原创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科普短视频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53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总浏览量突破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30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万次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  <w:lang w:val="en-US" w:eastAsia="zh-CN"/>
        </w:rPr>
        <w:t>召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开雄安新区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2025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年应急管理工作会议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公示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行政许可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其中危险化学品经营许可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39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生产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储存危险化学品建设项目安全条件审查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  <w:lang w:val="en-US" w:eastAsia="zh-CN"/>
        </w:rPr>
        <w:t>生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产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储存危险化学品建设项目安全设施设计审查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积极回应社会关切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</w:p>
    <w:p w14:paraId="77CA503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3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依申请公开方面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认真贯彻执行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条例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》《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办法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》《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河北省政府信息公开申请办理规范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》，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全年未收到政府信息公开申请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无因政府信息公开工作被申请行政复议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提起行政诉讼情况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</w:p>
    <w:p w14:paraId="1F91D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3" w:firstLineChars="200"/>
        <w:jc w:val="left"/>
        <w:textAlignment w:val="auto"/>
        <w:rPr>
          <w:rFonts w:hint="eastAsia" w:ascii="方正公文仿宋" w:hAnsi="方正公文仿宋" w:eastAsia="方正公文仿宋" w:cs="方正公文仿宋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政府信息管理方面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更新完善局政府信息公开指南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系统梳理主动公开事项目录清单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加强政府信息源头管理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严格规范性文件合法性审核程序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健全完善公开属性认定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公开发布审查等制度机制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不断提高政务</w:t>
      </w:r>
      <w:r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公开的系统性和标准化水平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328E8D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3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  <w:r>
        <w:rPr>
          <w:rFonts w:hint="eastAsia" w:ascii="方正公文楷体" w:hAnsi="方正公文楷体" w:eastAsia="方正公文楷体" w:cs="方正公文楷体"/>
          <w:kern w:val="2"/>
          <w:sz w:val="32"/>
          <w:szCs w:val="32"/>
          <w:lang w:val="en-US" w:eastAsia="zh-CN" w:bidi="ar-SA"/>
        </w:rPr>
        <w:t>政府信息公开平台建设方面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聚焦信息发布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解读回应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办事服务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互动交流等功能定位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highlight w:val="none"/>
          <w:lang w:val="en-US" w:eastAsia="zh-CN" w:bidi="ar-SA"/>
        </w:rPr>
        <w:t>不断优化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+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”（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个全媒体中心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个新媒体平台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公文仿宋" w:hAnsi="方正公文仿宋" w:eastAsia="方正公文仿宋" w:cs="方正公文仿宋"/>
          <w:color w:val="auto"/>
          <w:kern w:val="21"/>
          <w:sz w:val="32"/>
          <w:szCs w:val="32"/>
          <w:highlight w:val="none"/>
          <w:lang w:val="en-US" w:eastAsia="zh-CN"/>
        </w:rPr>
        <w:t>官方宣传矩阵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作用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以多元平台放大声量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以专业化运营增强宣传实效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，“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安全雄安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账号总关注超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24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</w:p>
    <w:p w14:paraId="76B6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）</w:t>
      </w:r>
      <w:r>
        <w:rPr>
          <w:rFonts w:hint="eastAsia" w:ascii="方正公文楷体" w:hAnsi="方正公文楷体" w:eastAsia="方正公文楷体" w:cs="方正公文楷体"/>
          <w:sz w:val="32"/>
          <w:szCs w:val="32"/>
        </w:rPr>
        <w:t>监督保障方面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专题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明确年度重点任务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责任部门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具体工作人员及年度计划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全面做好应急管理信息公开工作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组织工作人员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积极参加新区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政务公开培训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有效提高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我局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政务公开队伍业务水平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。</w:t>
      </w:r>
    </w:p>
    <w:p w14:paraId="3AD8B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黑体" w:hAnsi="方正公文黑体" w:eastAsia="方正公文黑体" w:cs="方正公文黑体"/>
          <w:sz w:val="32"/>
          <w:szCs w:val="32"/>
        </w:rPr>
        <w:t>主动公开政府信息情况</w:t>
      </w:r>
    </w:p>
    <w:p w14:paraId="7B736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9"/>
        <w:tblpPr w:leftFromText="180" w:rightFromText="180" w:vertAnchor="page" w:horzAnchor="page" w:tblpX="1800" w:tblpY="2457"/>
        <w:tblOverlap w:val="never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041"/>
        <w:gridCol w:w="2016"/>
        <w:gridCol w:w="1978"/>
      </w:tblGrid>
      <w:tr w14:paraId="0BA3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 w14:paraId="2F90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项</w:t>
            </w:r>
          </w:p>
        </w:tc>
      </w:tr>
      <w:tr w14:paraId="2586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 w14:paraId="40DF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041" w:type="dxa"/>
            <w:vAlign w:val="top"/>
          </w:tcPr>
          <w:p w14:paraId="1E4B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</w:t>
            </w:r>
            <w:r>
              <w:rPr>
                <w:rFonts w:hint="default" w:ascii="Times New Roman" w:hAnsi="Times New Roman" w:cs="Times New Roman"/>
                <w:sz w:val="28"/>
                <w:szCs w:val="36"/>
                <w:shd w:val="clear" w:fill="FFFFFF"/>
                <w:vertAlign w:val="baseline"/>
                <w:lang w:val="en-US" w:eastAsia="zh-CN"/>
              </w:rPr>
              <w:t>制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发件数</w:t>
            </w:r>
          </w:p>
        </w:tc>
        <w:tc>
          <w:tcPr>
            <w:tcW w:w="2016" w:type="dxa"/>
            <w:vAlign w:val="top"/>
          </w:tcPr>
          <w:p w14:paraId="2CB8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1978" w:type="dxa"/>
            <w:vAlign w:val="top"/>
          </w:tcPr>
          <w:p w14:paraId="289D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现行有效件数</w:t>
            </w:r>
          </w:p>
        </w:tc>
      </w:tr>
      <w:tr w14:paraId="2003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 w14:paraId="7445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规章</w:t>
            </w:r>
          </w:p>
        </w:tc>
        <w:tc>
          <w:tcPr>
            <w:tcW w:w="2041" w:type="dxa"/>
            <w:vAlign w:val="top"/>
          </w:tcPr>
          <w:p w14:paraId="09BE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2016" w:type="dxa"/>
            <w:vAlign w:val="top"/>
          </w:tcPr>
          <w:p w14:paraId="2E72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978" w:type="dxa"/>
            <w:vAlign w:val="top"/>
          </w:tcPr>
          <w:p w14:paraId="2EBB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</w:tr>
      <w:tr w14:paraId="26B6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shd w:val="clear" w:color="auto" w:fill="auto"/>
            <w:vAlign w:val="top"/>
          </w:tcPr>
          <w:p w14:paraId="31D3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041" w:type="dxa"/>
            <w:shd w:val="clear" w:color="auto" w:fill="auto"/>
            <w:vAlign w:val="top"/>
          </w:tcPr>
          <w:p w14:paraId="1208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016" w:type="dxa"/>
            <w:shd w:val="clear" w:color="auto" w:fill="auto"/>
            <w:vAlign w:val="top"/>
          </w:tcPr>
          <w:p w14:paraId="0E33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978" w:type="dxa"/>
            <w:shd w:val="clear" w:color="auto" w:fill="auto"/>
            <w:vAlign w:val="top"/>
          </w:tcPr>
          <w:p w14:paraId="3204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23C9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 w14:paraId="2E9A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项</w:t>
            </w:r>
          </w:p>
        </w:tc>
      </w:tr>
      <w:tr w14:paraId="48B3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 w14:paraId="390B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035" w:type="dxa"/>
            <w:gridSpan w:val="3"/>
            <w:vAlign w:val="top"/>
          </w:tcPr>
          <w:p w14:paraId="270C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本年处理决定数量</w:t>
            </w:r>
          </w:p>
        </w:tc>
      </w:tr>
      <w:tr w14:paraId="3AA0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365" w:type="dxa"/>
            <w:vAlign w:val="top"/>
          </w:tcPr>
          <w:p w14:paraId="3ABC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highlight w:val="green"/>
                <w:vertAlign w:val="baseline"/>
                <w:lang w:val="en-US" w:eastAsia="zh-CN"/>
              </w:rPr>
            </w:pPr>
          </w:p>
          <w:p w14:paraId="391E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035" w:type="dxa"/>
            <w:gridSpan w:val="3"/>
            <w:vAlign w:val="center"/>
          </w:tcPr>
          <w:p w14:paraId="0CBD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highlight w:val="none"/>
                <w:vertAlign w:val="baseline"/>
                <w:lang w:val="en-US" w:eastAsia="zh-CN"/>
              </w:rPr>
              <w:t>41</w:t>
            </w:r>
          </w:p>
        </w:tc>
      </w:tr>
      <w:tr w14:paraId="1C29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 w14:paraId="6890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项</w:t>
            </w:r>
          </w:p>
        </w:tc>
      </w:tr>
      <w:tr w14:paraId="1D17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 w14:paraId="5C03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035" w:type="dxa"/>
            <w:gridSpan w:val="3"/>
            <w:vAlign w:val="top"/>
          </w:tcPr>
          <w:p w14:paraId="3DFB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shd w:val="clear" w:fill="FFFFFF"/>
                <w:vertAlign w:val="baseline"/>
                <w:lang w:val="en-US" w:eastAsia="zh-CN"/>
              </w:rPr>
              <w:t>本年处理决定数量</w:t>
            </w:r>
          </w:p>
        </w:tc>
      </w:tr>
      <w:tr w14:paraId="3326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 w14:paraId="20C3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035" w:type="dxa"/>
            <w:gridSpan w:val="3"/>
            <w:vAlign w:val="top"/>
          </w:tcPr>
          <w:p w14:paraId="2EB3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 w14:paraId="0EE2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 w14:paraId="68F1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035" w:type="dxa"/>
            <w:gridSpan w:val="3"/>
            <w:vAlign w:val="top"/>
          </w:tcPr>
          <w:p w14:paraId="5839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0A85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00" w:type="dxa"/>
            <w:gridSpan w:val="4"/>
            <w:shd w:val="clear" w:color="auto" w:fill="BCCBF0"/>
            <w:vAlign w:val="top"/>
          </w:tcPr>
          <w:p w14:paraId="4493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第二十条  第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八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项</w:t>
            </w:r>
          </w:p>
        </w:tc>
      </w:tr>
      <w:tr w14:paraId="0B52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65" w:type="dxa"/>
            <w:vAlign w:val="top"/>
          </w:tcPr>
          <w:p w14:paraId="0504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035" w:type="dxa"/>
            <w:gridSpan w:val="3"/>
            <w:vAlign w:val="top"/>
          </w:tcPr>
          <w:p w14:paraId="5BF7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本年收费金额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</w:tr>
      <w:tr w14:paraId="29FF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65" w:type="dxa"/>
            <w:vAlign w:val="top"/>
          </w:tcPr>
          <w:p w14:paraId="7A35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highlight w:val="none"/>
                <w:shd w:val="clear" w:fill="FFFFFF"/>
                <w:vertAlign w:val="baseline"/>
                <w:lang w:val="en-US" w:eastAsia="zh-CN"/>
              </w:rPr>
              <w:t>行</w:t>
            </w:r>
            <w:r>
              <w:rPr>
                <w:rFonts w:hint="default" w:ascii="Times New Roman" w:hAnsi="Times New Roman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政事业性收费</w:t>
            </w:r>
          </w:p>
        </w:tc>
        <w:tc>
          <w:tcPr>
            <w:tcW w:w="6035" w:type="dxa"/>
            <w:gridSpan w:val="3"/>
            <w:vAlign w:val="top"/>
          </w:tcPr>
          <w:p w14:paraId="010B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 w14:paraId="546A7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32"/>
          <w:szCs w:val="32"/>
          <w:lang w:val="en-US" w:eastAsia="zh-CN"/>
        </w:rPr>
        <w:t>、</w:t>
      </w: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收到和处理政府信息公开申请情况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79"/>
        <w:gridCol w:w="2333"/>
        <w:gridCol w:w="538"/>
        <w:gridCol w:w="662"/>
        <w:gridCol w:w="650"/>
        <w:gridCol w:w="788"/>
        <w:gridCol w:w="800"/>
        <w:gridCol w:w="500"/>
        <w:gridCol w:w="547"/>
      </w:tblGrid>
      <w:tr w14:paraId="6347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restart"/>
            <w:vAlign w:val="center"/>
          </w:tcPr>
          <w:p w14:paraId="310C7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本列数据的勾</w:t>
            </w:r>
            <w:r>
              <w:rPr>
                <w:rFonts w:hint="default" w:ascii="Times New Roman" w:hAnsi="Times New Roman" w:eastAsia="楷体_GB2312" w:cs="Times New Roman"/>
                <w:w w:val="90"/>
                <w:sz w:val="21"/>
                <w:szCs w:val="24"/>
                <w:shd w:val="clear" w:fill="FFFFFF"/>
                <w:vertAlign w:val="baseline"/>
                <w:lang w:val="en-US" w:eastAsia="zh-CN"/>
              </w:rPr>
              <w:t>稽</w:t>
            </w:r>
            <w:r>
              <w:rPr>
                <w:rFonts w:hint="default" w:ascii="Times New Roman" w:hAnsi="Times New Roman" w:eastAsia="楷体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关系为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第一项加第二项之和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等于第三项加第四项之和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4485" w:type="dxa"/>
            <w:gridSpan w:val="7"/>
            <w:vAlign w:val="center"/>
          </w:tcPr>
          <w:p w14:paraId="5107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申请人情况</w:t>
            </w:r>
          </w:p>
        </w:tc>
      </w:tr>
      <w:tr w14:paraId="794C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continue"/>
            <w:vAlign w:val="center"/>
          </w:tcPr>
          <w:p w14:paraId="28203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5CD8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vAlign w:val="center"/>
          </w:tcPr>
          <w:p w14:paraId="6F21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47" w:type="dxa"/>
            <w:vMerge w:val="restart"/>
            <w:vAlign w:val="center"/>
          </w:tcPr>
          <w:p w14:paraId="50BA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 w14:paraId="6495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Merge w:val="continue"/>
            <w:vAlign w:val="center"/>
          </w:tcPr>
          <w:p w14:paraId="05714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" w:type="dxa"/>
            <w:vMerge w:val="continue"/>
            <w:vAlign w:val="center"/>
          </w:tcPr>
          <w:p w14:paraId="6E50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 w14:paraId="0851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50" w:type="dxa"/>
            <w:vAlign w:val="center"/>
          </w:tcPr>
          <w:p w14:paraId="2245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88" w:type="dxa"/>
            <w:vAlign w:val="center"/>
          </w:tcPr>
          <w:p w14:paraId="6327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800" w:type="dxa"/>
            <w:vAlign w:val="center"/>
          </w:tcPr>
          <w:p w14:paraId="38777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00" w:type="dxa"/>
            <w:vAlign w:val="center"/>
          </w:tcPr>
          <w:p w14:paraId="102E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547" w:type="dxa"/>
            <w:vMerge w:val="continue"/>
            <w:vAlign w:val="center"/>
          </w:tcPr>
          <w:p w14:paraId="60DE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3F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037" w:type="dxa"/>
            <w:gridSpan w:val="3"/>
            <w:vAlign w:val="center"/>
          </w:tcPr>
          <w:p w14:paraId="219AF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本年新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shd w:val="clear" w:fill="FFFFFF"/>
                <w:vertAlign w:val="baseline"/>
                <w:lang w:val="en-US" w:eastAsia="zh-CN"/>
              </w:rPr>
              <w:t>收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政府信息公开申请数量</w:t>
            </w:r>
          </w:p>
        </w:tc>
        <w:tc>
          <w:tcPr>
            <w:tcW w:w="538" w:type="dxa"/>
            <w:vAlign w:val="center"/>
          </w:tcPr>
          <w:p w14:paraId="2BA2A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188B1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D332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7E132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1549D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678FD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7739A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07F9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Align w:val="center"/>
          </w:tcPr>
          <w:p w14:paraId="02296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上年结转政府信息公开申请数量</w:t>
            </w:r>
          </w:p>
        </w:tc>
        <w:tc>
          <w:tcPr>
            <w:tcW w:w="538" w:type="dxa"/>
            <w:vAlign w:val="center"/>
          </w:tcPr>
          <w:p w14:paraId="0EFF2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4A38F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4CEE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57E97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62BD2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0C733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11A10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C2A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restart"/>
            <w:vAlign w:val="center"/>
          </w:tcPr>
          <w:p w14:paraId="2A2B4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shd w:val="clear" w:fill="FFFFFF"/>
                <w:vertAlign w:val="baseli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年度办理结果</w:t>
            </w:r>
          </w:p>
        </w:tc>
        <w:tc>
          <w:tcPr>
            <w:tcW w:w="3412" w:type="dxa"/>
            <w:gridSpan w:val="2"/>
            <w:vAlign w:val="center"/>
          </w:tcPr>
          <w:p w14:paraId="477F5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予以公开</w:t>
            </w:r>
          </w:p>
        </w:tc>
        <w:tc>
          <w:tcPr>
            <w:tcW w:w="538" w:type="dxa"/>
            <w:vAlign w:val="center"/>
          </w:tcPr>
          <w:p w14:paraId="67410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2FF57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67AE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2C7C3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79341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7E43F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24F0D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CEB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2C00A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713CC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部分公开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0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w w:val="90"/>
                <w:sz w:val="20"/>
                <w:szCs w:val="22"/>
                <w:vertAlign w:val="baseline"/>
                <w:lang w:val="en-US" w:eastAsia="zh-CN"/>
              </w:rPr>
              <w:t>区分处理的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0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w w:val="90"/>
                <w:sz w:val="20"/>
                <w:szCs w:val="22"/>
                <w:shd w:val="clear" w:fill="FFFFFF"/>
                <w:vertAlign w:val="baseline"/>
                <w:lang w:val="en-US" w:eastAsia="zh-CN"/>
              </w:rPr>
              <w:t>只</w:t>
            </w:r>
            <w:r>
              <w:rPr>
                <w:rFonts w:hint="default" w:ascii="Times New Roman" w:hAnsi="Times New Roman" w:eastAsia="楷体_GB2312" w:cs="Times New Roman"/>
                <w:w w:val="90"/>
                <w:sz w:val="20"/>
                <w:szCs w:val="22"/>
                <w:vertAlign w:val="baseline"/>
                <w:lang w:val="en-US" w:eastAsia="zh-CN"/>
              </w:rPr>
              <w:t>计这一情形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0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w w:val="90"/>
                <w:sz w:val="20"/>
                <w:szCs w:val="22"/>
                <w:vertAlign w:val="baseline"/>
                <w:lang w:val="en-US" w:eastAsia="zh-CN"/>
              </w:rPr>
              <w:t>不计其他情形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0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538" w:type="dxa"/>
            <w:vAlign w:val="center"/>
          </w:tcPr>
          <w:p w14:paraId="5158D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3C5ED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AD00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6847F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6AE08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6C48B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235C5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940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3D5B5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16485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不予公开</w:t>
            </w:r>
          </w:p>
        </w:tc>
        <w:tc>
          <w:tcPr>
            <w:tcW w:w="2333" w:type="dxa"/>
            <w:vAlign w:val="center"/>
          </w:tcPr>
          <w:p w14:paraId="2C875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属于国家秘密</w:t>
            </w:r>
          </w:p>
        </w:tc>
        <w:tc>
          <w:tcPr>
            <w:tcW w:w="538" w:type="dxa"/>
            <w:vAlign w:val="center"/>
          </w:tcPr>
          <w:p w14:paraId="3826C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3667B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8903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4F52A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7F8BB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5A520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2715C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508B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09BB7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2AEB1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5FE04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其他法律行政法规禁止公开</w:t>
            </w:r>
          </w:p>
        </w:tc>
        <w:tc>
          <w:tcPr>
            <w:tcW w:w="538" w:type="dxa"/>
            <w:vAlign w:val="center"/>
          </w:tcPr>
          <w:p w14:paraId="01DCC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2A61A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EFB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4B3BD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55059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010F1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7622B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DA6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6C0D0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096AA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695C4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危及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三安全一稳定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”</w:t>
            </w:r>
          </w:p>
        </w:tc>
        <w:tc>
          <w:tcPr>
            <w:tcW w:w="538" w:type="dxa"/>
            <w:vAlign w:val="center"/>
          </w:tcPr>
          <w:p w14:paraId="2FDA0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7DF58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8628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173DE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03CB7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325AB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11A16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5957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3ACF7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10D51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26F43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保护第三方合法权益</w:t>
            </w:r>
          </w:p>
        </w:tc>
        <w:tc>
          <w:tcPr>
            <w:tcW w:w="538" w:type="dxa"/>
            <w:vAlign w:val="center"/>
          </w:tcPr>
          <w:p w14:paraId="1A082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50A2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C6F3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3FFD1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199E9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4BE63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2BB11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6BC0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613B7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1A9A6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72977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属于三类内部事务信息</w:t>
            </w:r>
          </w:p>
        </w:tc>
        <w:tc>
          <w:tcPr>
            <w:tcW w:w="538" w:type="dxa"/>
            <w:vAlign w:val="center"/>
          </w:tcPr>
          <w:p w14:paraId="47743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289A7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2FCF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2B461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5D27A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44CA0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32ACD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4130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3205E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6B729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46F55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属于四类过程性信息</w:t>
            </w:r>
          </w:p>
        </w:tc>
        <w:tc>
          <w:tcPr>
            <w:tcW w:w="538" w:type="dxa"/>
            <w:vAlign w:val="center"/>
          </w:tcPr>
          <w:p w14:paraId="0801C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67622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BA7C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2C0D7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1D4E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0B84E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0B1DF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2566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25" w:type="dxa"/>
            <w:vMerge w:val="continue"/>
            <w:vAlign w:val="center"/>
          </w:tcPr>
          <w:p w14:paraId="190A2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670BD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02746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属于行政执法案卷</w:t>
            </w:r>
          </w:p>
        </w:tc>
        <w:tc>
          <w:tcPr>
            <w:tcW w:w="538" w:type="dxa"/>
            <w:vAlign w:val="center"/>
          </w:tcPr>
          <w:p w14:paraId="4B24F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15464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B69E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0421E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2E009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73778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489F5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4CB0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2AF32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4210F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3A42B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属于行政查询事项</w:t>
            </w:r>
          </w:p>
        </w:tc>
        <w:tc>
          <w:tcPr>
            <w:tcW w:w="538" w:type="dxa"/>
            <w:vAlign w:val="center"/>
          </w:tcPr>
          <w:p w14:paraId="7CBB3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2C5F5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199C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6966C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5FAAA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26AC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1F2D9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6BB4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57E54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5061C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无法提供</w:t>
            </w:r>
          </w:p>
        </w:tc>
        <w:tc>
          <w:tcPr>
            <w:tcW w:w="2333" w:type="dxa"/>
            <w:vAlign w:val="center"/>
          </w:tcPr>
          <w:p w14:paraId="68910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本机关不掌握相关政府信息</w:t>
            </w:r>
          </w:p>
        </w:tc>
        <w:tc>
          <w:tcPr>
            <w:tcW w:w="538" w:type="dxa"/>
            <w:vAlign w:val="center"/>
          </w:tcPr>
          <w:p w14:paraId="49DB4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146C7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FD70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59DD1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4A931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60F83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459B6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7321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5F454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77822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49D7D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没有现成信息需要另行制作</w:t>
            </w:r>
          </w:p>
        </w:tc>
        <w:tc>
          <w:tcPr>
            <w:tcW w:w="538" w:type="dxa"/>
            <w:vAlign w:val="center"/>
          </w:tcPr>
          <w:p w14:paraId="02E0D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02B6B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3171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044E7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14079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024A2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4B89C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12A9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35B85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7CCC4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3CCF5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补正后申请内容仍不明确</w:t>
            </w:r>
          </w:p>
        </w:tc>
        <w:tc>
          <w:tcPr>
            <w:tcW w:w="538" w:type="dxa"/>
            <w:vAlign w:val="center"/>
          </w:tcPr>
          <w:p w14:paraId="7E40D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481A8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BC16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60161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2EF24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5237C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4DF44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6B53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04B0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2EDBC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不予处理</w:t>
            </w:r>
          </w:p>
        </w:tc>
        <w:tc>
          <w:tcPr>
            <w:tcW w:w="2333" w:type="dxa"/>
            <w:vAlign w:val="center"/>
          </w:tcPr>
          <w:p w14:paraId="255FA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信访举报投诉类申请</w:t>
            </w:r>
          </w:p>
        </w:tc>
        <w:tc>
          <w:tcPr>
            <w:tcW w:w="538" w:type="dxa"/>
            <w:vAlign w:val="center"/>
          </w:tcPr>
          <w:p w14:paraId="65B0A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11093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73D9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1C4A6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57D72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54694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44F33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0D26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4C082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29F02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047CF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重复申请</w:t>
            </w:r>
          </w:p>
        </w:tc>
        <w:tc>
          <w:tcPr>
            <w:tcW w:w="538" w:type="dxa"/>
            <w:vAlign w:val="center"/>
          </w:tcPr>
          <w:p w14:paraId="5BEBD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4FDF0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7B58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5C5E8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07A40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31002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63E97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09E2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0B64F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2EF85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0E572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要求提供公开出版物</w:t>
            </w:r>
          </w:p>
        </w:tc>
        <w:tc>
          <w:tcPr>
            <w:tcW w:w="538" w:type="dxa"/>
            <w:vAlign w:val="center"/>
          </w:tcPr>
          <w:p w14:paraId="16F32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62930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3A36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184E0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41792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7841C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78483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7A3A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760CD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28374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08080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无正当理由大量反复申请</w:t>
            </w:r>
          </w:p>
        </w:tc>
        <w:tc>
          <w:tcPr>
            <w:tcW w:w="538" w:type="dxa"/>
            <w:vAlign w:val="center"/>
          </w:tcPr>
          <w:p w14:paraId="33EC9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1C08B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04FC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62557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500B0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3E87B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3276A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56C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24E16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3FFDD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59E85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要求行政机关确认或重新出具已获取信息</w:t>
            </w:r>
          </w:p>
        </w:tc>
        <w:tc>
          <w:tcPr>
            <w:tcW w:w="538" w:type="dxa"/>
            <w:vAlign w:val="center"/>
          </w:tcPr>
          <w:p w14:paraId="775F9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00D1D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5427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38374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116FA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3C82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638A8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D3D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63AE0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4787C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其他处理</w:t>
            </w:r>
          </w:p>
        </w:tc>
        <w:tc>
          <w:tcPr>
            <w:tcW w:w="2333" w:type="dxa"/>
            <w:vAlign w:val="center"/>
          </w:tcPr>
          <w:p w14:paraId="75B21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申请人无正当理由逾期不补正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行政机关不再处理其政府信息公开申请</w:t>
            </w:r>
          </w:p>
        </w:tc>
        <w:tc>
          <w:tcPr>
            <w:tcW w:w="538" w:type="dxa"/>
            <w:vAlign w:val="center"/>
          </w:tcPr>
          <w:p w14:paraId="072E2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45FA9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C0C5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49158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3B2CA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49E72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11712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2978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5B605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7174E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3163C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申请人逾期未按收费通知要求缴纳费用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行政机关不再处理其政府信息公开申请</w:t>
            </w:r>
          </w:p>
        </w:tc>
        <w:tc>
          <w:tcPr>
            <w:tcW w:w="538" w:type="dxa"/>
            <w:vAlign w:val="center"/>
          </w:tcPr>
          <w:p w14:paraId="2BCD8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432A9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99CE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6361D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39AB8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456CB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71BF2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0D15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473B9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Merge w:val="continue"/>
            <w:vAlign w:val="center"/>
          </w:tcPr>
          <w:p w14:paraId="64A19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 w14:paraId="320C0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1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538" w:type="dxa"/>
            <w:vAlign w:val="center"/>
          </w:tcPr>
          <w:p w14:paraId="739CE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3BFFD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E783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5E48B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64A5C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7BE8F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05FFB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089E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 w14:paraId="1193B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7DAB9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538" w:type="dxa"/>
            <w:vAlign w:val="center"/>
          </w:tcPr>
          <w:p w14:paraId="4089C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06881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3F45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0F7F2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536B4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5A7A0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69FB4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426B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gridSpan w:val="3"/>
            <w:vAlign w:val="center"/>
          </w:tcPr>
          <w:p w14:paraId="5B63C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w w:val="90"/>
                <w:sz w:val="21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结转下年度继续办理</w:t>
            </w:r>
          </w:p>
        </w:tc>
        <w:tc>
          <w:tcPr>
            <w:tcW w:w="538" w:type="dxa"/>
            <w:vAlign w:val="center"/>
          </w:tcPr>
          <w:p w14:paraId="2FE95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2" w:type="dxa"/>
            <w:vAlign w:val="center"/>
          </w:tcPr>
          <w:p w14:paraId="6FB27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055E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88" w:type="dxa"/>
            <w:vAlign w:val="center"/>
          </w:tcPr>
          <w:p w14:paraId="16378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  <w:vAlign w:val="center"/>
          </w:tcPr>
          <w:p w14:paraId="322EA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 w14:paraId="3D63E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47" w:type="dxa"/>
            <w:vAlign w:val="center"/>
          </w:tcPr>
          <w:p w14:paraId="33700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 w14:paraId="377F3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 w14:paraId="40BA7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 w14:paraId="28BA8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 w14:paraId="7AAB4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32"/>
          <w:szCs w:val="32"/>
          <w:lang w:val="en-US" w:eastAsia="zh-CN"/>
        </w:rPr>
        <w:t>、</w:t>
      </w: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政府信息公开行政复议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32"/>
          <w:szCs w:val="32"/>
          <w:lang w:val="en-US" w:eastAsia="zh-CN"/>
        </w:rPr>
        <w:t>、</w:t>
      </w: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行政诉讼情况</w:t>
      </w:r>
    </w:p>
    <w:p w14:paraId="2B427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</w:tblGrid>
      <w:tr w14:paraId="2BE3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5"/>
            <w:vMerge w:val="restart"/>
          </w:tcPr>
          <w:p w14:paraId="061E1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77" w:type="dxa"/>
            <w:gridSpan w:val="10"/>
          </w:tcPr>
          <w:p w14:paraId="1090B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 w14:paraId="51C8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5"/>
            <w:vMerge w:val="continue"/>
          </w:tcPr>
          <w:p w14:paraId="5A83F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gridSpan w:val="5"/>
          </w:tcPr>
          <w:p w14:paraId="23BF4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840" w:type="dxa"/>
            <w:gridSpan w:val="5"/>
          </w:tcPr>
          <w:p w14:paraId="1EE61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 w14:paraId="1DD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 w14:paraId="06324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top"/>
          </w:tcPr>
          <w:p w14:paraId="4E3EC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top"/>
          </w:tcPr>
          <w:p w14:paraId="3F48D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7" w:type="dxa"/>
            <w:vAlign w:val="top"/>
          </w:tcPr>
          <w:p w14:paraId="53B6F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7" w:type="dxa"/>
            <w:vAlign w:val="top"/>
          </w:tcPr>
          <w:p w14:paraId="73213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7" w:type="dxa"/>
            <w:vAlign w:val="top"/>
          </w:tcPr>
          <w:p w14:paraId="4F9AD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top"/>
          </w:tcPr>
          <w:p w14:paraId="41E43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top"/>
          </w:tcPr>
          <w:p w14:paraId="65E57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top"/>
          </w:tcPr>
          <w:p w14:paraId="5E2D3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top"/>
          </w:tcPr>
          <w:p w14:paraId="7CF93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8" w:type="dxa"/>
            <w:vAlign w:val="top"/>
          </w:tcPr>
          <w:p w14:paraId="52B23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 w14:paraId="44189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 w14:paraId="5FCB0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top"/>
          </w:tcPr>
          <w:p w14:paraId="6C06C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top"/>
          </w:tcPr>
          <w:p w14:paraId="69A63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 w14:paraId="327B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</w:tcPr>
          <w:p w14:paraId="7B2CB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 w14:paraId="5DB93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 w14:paraId="7D357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 w14:paraId="5BDD2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 w14:paraId="74C6C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 w14:paraId="69D3C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 w14:paraId="6005A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7" w:type="dxa"/>
          </w:tcPr>
          <w:p w14:paraId="49FA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7FC1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3274F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15323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320A4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1BAAE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2F32E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186D7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 w14:paraId="1FDC6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w w:val="100"/>
          <w:sz w:val="32"/>
          <w:szCs w:val="32"/>
          <w:lang w:val="en-US" w:eastAsia="zh-CN"/>
        </w:rPr>
      </w:pPr>
    </w:p>
    <w:p w14:paraId="40414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32"/>
          <w:szCs w:val="32"/>
          <w:lang w:val="en-US" w:eastAsia="zh-CN"/>
        </w:rPr>
        <w:t>、</w:t>
      </w: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存在的主要问题及改进情况</w:t>
      </w:r>
    </w:p>
    <w:p w14:paraId="468E1B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6" w:lineRule="exact"/>
        <w:ind w:left="0" w:right="0" w:firstLine="640" w:firstLineChars="200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我局政务公开各方面工作取得新成效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但对照新形势下的新要求新任务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在政策解读的时效性方面还需加强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下一步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我局将紧紧围绕中办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国办关于新时代政务公开工作的要求及最新法律法规政策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加大提升信息公开精准度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着重提高获取信息便利度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加强政策解读的质量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配套制作图文解读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动漫视频等多元化载体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发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shd w:val="clear" w:fill="FFFFFF"/>
          <w:lang w:val="en-US" w:eastAsia="zh-CN"/>
        </w:rPr>
        <w:t>挥政策解读作用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  <w:t>推动政府信息公开工作质效不断提升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。</w:t>
      </w:r>
    </w:p>
    <w:p w14:paraId="4336BE8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6" w:lineRule="exact"/>
        <w:ind w:left="0" w:right="0"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32"/>
          <w:szCs w:val="32"/>
          <w:lang w:val="en-US" w:eastAsia="zh-CN"/>
        </w:rPr>
        <w:t>、</w:t>
      </w:r>
      <w:r>
        <w:rPr>
          <w:rFonts w:hint="eastAsia" w:ascii="方正公文黑体" w:hAnsi="方正公文黑体" w:eastAsia="方正公文黑体" w:cs="方正公文黑体"/>
          <w:b w:val="0"/>
          <w:bCs w:val="0"/>
          <w:w w:val="100"/>
          <w:sz w:val="32"/>
          <w:szCs w:val="32"/>
          <w:lang w:val="en-US" w:eastAsia="zh-CN"/>
        </w:rPr>
        <w:t>其他需要报告的事项</w:t>
      </w:r>
    </w:p>
    <w:p w14:paraId="0463B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方正公文仿宋" w:hAnsi="方正公文仿宋" w:eastAsia="方正公文仿宋" w:cs="方正公文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公文仿宋" w:hAnsi="方正公文仿宋" w:eastAsia="方正公文仿宋" w:cs="方正公文仿宋"/>
          <w:b w:val="0"/>
          <w:bCs w:val="0"/>
          <w:kern w:val="0"/>
          <w:sz w:val="32"/>
          <w:szCs w:val="32"/>
          <w:lang w:val="en-US" w:eastAsia="zh-CN" w:bidi="ar"/>
        </w:rPr>
        <w:t>无</w:t>
      </w:r>
    </w:p>
    <w:p w14:paraId="41437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3C493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楷体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A3EB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1CE7D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31" w:leftChars="110" w:right="231" w:rightChars="11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1CE7D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31" w:leftChars="110" w:right="231" w:rightChars="11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OTE3YTJlMzhkNDQ5ZTUyM2YyMzE2NjkwODNiMTYifQ=="/>
  </w:docVars>
  <w:rsids>
    <w:rsidRoot w:val="756B45BD"/>
    <w:rsid w:val="000B3E79"/>
    <w:rsid w:val="089773A4"/>
    <w:rsid w:val="15707BAD"/>
    <w:rsid w:val="1DAD7279"/>
    <w:rsid w:val="1E6B6863"/>
    <w:rsid w:val="21113D67"/>
    <w:rsid w:val="2EFE3082"/>
    <w:rsid w:val="3B76C4B7"/>
    <w:rsid w:val="3E8D364A"/>
    <w:rsid w:val="3EDEE49D"/>
    <w:rsid w:val="3F99BDB9"/>
    <w:rsid w:val="3FBF2725"/>
    <w:rsid w:val="3FCB2473"/>
    <w:rsid w:val="3FFF7CFE"/>
    <w:rsid w:val="46AA08F6"/>
    <w:rsid w:val="498479A2"/>
    <w:rsid w:val="4B9E5031"/>
    <w:rsid w:val="4BB76027"/>
    <w:rsid w:val="553E43EA"/>
    <w:rsid w:val="55FDAE0D"/>
    <w:rsid w:val="571B3B38"/>
    <w:rsid w:val="57CF9026"/>
    <w:rsid w:val="5DD23465"/>
    <w:rsid w:val="5F7FC1F3"/>
    <w:rsid w:val="606F4F2C"/>
    <w:rsid w:val="648065F1"/>
    <w:rsid w:val="67CFFA8F"/>
    <w:rsid w:val="68F6ECA1"/>
    <w:rsid w:val="6ABF21AC"/>
    <w:rsid w:val="6ADB7881"/>
    <w:rsid w:val="6EF8FF12"/>
    <w:rsid w:val="6F4B0A42"/>
    <w:rsid w:val="756B45BD"/>
    <w:rsid w:val="76F7113A"/>
    <w:rsid w:val="777CBAE5"/>
    <w:rsid w:val="77AFA6A4"/>
    <w:rsid w:val="77FF2B79"/>
    <w:rsid w:val="77FFC900"/>
    <w:rsid w:val="79BB4652"/>
    <w:rsid w:val="79F26B1E"/>
    <w:rsid w:val="7A7F057A"/>
    <w:rsid w:val="7AFEFDDD"/>
    <w:rsid w:val="7B8AACF9"/>
    <w:rsid w:val="7BBF631D"/>
    <w:rsid w:val="7D147E82"/>
    <w:rsid w:val="7DBD0849"/>
    <w:rsid w:val="7DCEA6D1"/>
    <w:rsid w:val="7DFF5FC8"/>
    <w:rsid w:val="7E71DAD7"/>
    <w:rsid w:val="7E8F147B"/>
    <w:rsid w:val="7EDF3838"/>
    <w:rsid w:val="7F664256"/>
    <w:rsid w:val="7FAF698B"/>
    <w:rsid w:val="7FF6643B"/>
    <w:rsid w:val="BDE769F4"/>
    <w:rsid w:val="BF7F75A2"/>
    <w:rsid w:val="BFB76BB5"/>
    <w:rsid w:val="DD5F0CC5"/>
    <w:rsid w:val="DD99D673"/>
    <w:rsid w:val="DEFFFAB7"/>
    <w:rsid w:val="E37B6CDA"/>
    <w:rsid w:val="E3F8F6E0"/>
    <w:rsid w:val="E7DFA657"/>
    <w:rsid w:val="F5BF5815"/>
    <w:rsid w:val="F77F81EE"/>
    <w:rsid w:val="F7DD792C"/>
    <w:rsid w:val="FA6C63B5"/>
    <w:rsid w:val="FCF4AD66"/>
    <w:rsid w:val="FDF330C3"/>
    <w:rsid w:val="FDFF9DDF"/>
    <w:rsid w:val="FE7FB732"/>
    <w:rsid w:val="FEFB580C"/>
    <w:rsid w:val="FF77D6C8"/>
    <w:rsid w:val="FFCB3658"/>
    <w:rsid w:val="FFD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 w:hAnsi="Courier New"/>
      <w:kern w:val="0"/>
      <w:szCs w:val="21"/>
    </w:rPr>
  </w:style>
  <w:style w:type="paragraph" w:styleId="4">
    <w:name w:val="index 9"/>
    <w:basedOn w:val="1"/>
    <w:next w:val="1"/>
    <w:unhideWhenUsed/>
    <w:qFormat/>
    <w:uiPriority w:val="0"/>
    <w:pPr>
      <w:ind w:left="1600" w:leftChars="1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950</Words>
  <Characters>987</Characters>
  <Lines>0</Lines>
  <Paragraphs>0</Paragraphs>
  <TotalTime>19</TotalTime>
  <ScaleCrop>false</ScaleCrop>
  <LinksUpToDate>false</LinksUpToDate>
  <CharactersWithSpaces>989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2022-01-17T09:19:00Z</dcterms:created>
  <dc:creator>XAXQXXZH</dc:creator>
  <cp:lastModifiedBy>Miamia</cp:lastModifiedBy>
  <cp:lastPrinted>2026-01-21T15:08:00Z</cp:lastPrinted>
  <dcterms:modified xsi:type="dcterms:W3CDTF">2026-01-31T09:50:47Z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3611FE795181409A8697A9AFD749EFB6_13</vt:lpwstr>
  </property>
  <property fmtid="{D5CDD505-2E9C-101B-9397-08002B2CF9AE}" pid="4" name="KSOTemplateDocerSaveRecord">
    <vt:lpwstr>eyJoZGlkIjoiZjBiNzMwODJkYTg4ODk0MzJhNzNiYmNhMmVmY2ViMWQiLCJ1c2VySWQiOiI0MjA5MDEyMTYifQ==</vt:lpwstr>
  </property>
</Properties>
</file>