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36"/>
          <w:lang w:val="en-US" w:eastAsia="zh-CN" w:bidi="ar"/>
        </w:rPr>
        <w:t>5雄安新区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  <w:lang w:eastAsia="zh-CN"/>
        </w:rPr>
        <w:t>居家适老化改造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36"/>
          <w:lang w:val="en-US" w:eastAsia="zh-CN"/>
        </w:rPr>
        <w:t>“焕新”补贴</w:t>
      </w:r>
    </w:p>
    <w:p>
      <w:pPr>
        <w:pStyle w:val="5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36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36"/>
          <w:lang w:bidi="ar"/>
        </w:rPr>
        <w:t>承办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36"/>
          <w:lang w:eastAsia="zh-CN" w:bidi="ar"/>
        </w:rPr>
        <w:t>单位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36"/>
          <w:lang w:bidi="ar"/>
        </w:rPr>
        <w:t>承诺书</w:t>
      </w:r>
    </w:p>
    <w:p>
      <w:pPr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本公司（企业/门店） </w:t>
      </w: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u w:val="single"/>
          <w:lang w:val="en-US" w:eastAsia="zh-CN"/>
        </w:rPr>
        <w:t xml:space="preserve"> (请填写单位名称) </w:t>
      </w: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 申请参加2025年河北省居家适老化改造“焕新”补贴活动，并承诺如下: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一、严格遵守活动各项要求，积极组织本公司(企业/门店)参与，如实开展政策宣传，不擅自增设消费者参与活动的附加、限制条件，并在营业场所显著位置公示咨询投诉电话，认真处理消费者相关咨询、投诉。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二、本着诚实守信的原则开展居家适老化改造“焕新”补贴活动，并如实提供参与商品、销售以及消费信息，自愿接受政府相关部门及委派的第三方机构对本次活动进行监督、审计，并同意以审计结果作为补贴申请的最终依据。如发现我方存在弄虚作假等违法违规行为，愿意按照有关政策要求接受处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三、全力配合政策实施部门及服务机构实施相关套利防控措施，严格审核消费者的参与资格，采取积极举措预防并制止“黄牛”等恶意套利行为。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四、不以“已参居家适老化改造‘焕新’活动”为由拒绝“七天无理由退货”等消费者合法诉求。但若消费者确需进行退货，能够配合政策实施部门及服务机构做好已享受补贴的清算工作。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五、指定专人负责处理包括但不限于日常沟通、宣传推广、客户投诉等补贴政策中涉及的各项事宜。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以上承诺，若有违反，政策实施部门和服务机构有权实施动态管理。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特此承诺。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单位名称（盖章）：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公文仿宋" w:cs="方正公文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年   月    日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40"/>
          <w:szCs w:val="36"/>
          <w:lang w:bidi="ar"/>
        </w:rPr>
      </w:pPr>
    </w:p>
    <w:p>
      <w:pPr>
        <w:rPr>
          <w:rFonts w:hint="eastAsia" w:ascii="方正小标宋简体" w:hAnsi="Times New Roman" w:eastAsia="方正小标宋简体"/>
          <w:color w:val="000000"/>
          <w:kern w:val="0"/>
          <w:sz w:val="40"/>
          <w:szCs w:val="36"/>
          <w:lang w:bidi="ar"/>
        </w:rPr>
      </w:pPr>
    </w:p>
    <w:p>
      <w:pPr>
        <w:rPr>
          <w:rFonts w:hint="eastAsia" w:ascii="方正小标宋简体" w:hAnsi="Times New Roman" w:eastAsia="方正小标宋简体"/>
          <w:color w:val="000000"/>
          <w:kern w:val="0"/>
          <w:sz w:val="40"/>
          <w:szCs w:val="36"/>
          <w:lang w:bidi="ar"/>
        </w:rPr>
      </w:pPr>
    </w:p>
    <w:p>
      <w:pPr>
        <w:rPr>
          <w:rFonts w:hint="eastAsia" w:ascii="方正小标宋简体" w:hAnsi="Times New Roman" w:eastAsia="方正小标宋简体"/>
          <w:color w:val="000000"/>
          <w:kern w:val="0"/>
          <w:sz w:val="40"/>
          <w:szCs w:val="36"/>
          <w:lang w:bidi="ar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星仿宋">
    <w:altName w:val="方正仿宋_GBK"/>
    <w:panose1 w:val="0201060900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9698B9"/>
    <w:rsid w:val="633FEEE4"/>
    <w:rsid w:val="BE9698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uppressAutoHyphens/>
      <w:bidi w:val="0"/>
      <w:spacing w:line="520" w:lineRule="exact"/>
      <w:jc w:val="both"/>
    </w:pPr>
    <w:rPr>
      <w:rFonts w:ascii="宋体" w:hAnsi="Courier New" w:eastAsia="仿宋_GB2312" w:cs="文星仿宋"/>
      <w:color w:val="auto"/>
      <w:kern w:val="2"/>
      <w:sz w:val="32"/>
      <w:szCs w:val="32"/>
      <w:lang w:val="en-US" w:eastAsia="zh-CN" w:bidi="ar-SA"/>
    </w:rPr>
  </w:style>
  <w:style w:type="paragraph" w:customStyle="1" w:styleId="5">
    <w:name w:val="_Style 1"/>
    <w:qFormat/>
    <w:uiPriority w:val="0"/>
    <w:pPr>
      <w:widowControl w:val="0"/>
      <w:ind w:firstLine="200" w:firstLineChars="20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24.3333333333333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2025-05-13T19:56:00Z</dcterms:created>
  <dc:creator>。</dc:creator>
  <cp:lastModifiedBy>user</cp:lastModifiedBy>
  <dcterms:modified xsi:type="dcterms:W3CDTF">2025-11-21T20:19:24Z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62EFD3E51867E001CC582069A8B9560C_43</vt:lpwstr>
  </property>
</Properties>
</file>