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0AA711">
      <w:pPr>
        <w:overflowPunct w:val="0"/>
        <w:spacing w:line="592" w:lineRule="exact"/>
        <w:jc w:val="center"/>
        <w:rPr>
          <w:rFonts w:hint="eastAsia" w:asciiTheme="majorEastAsia" w:hAnsiTheme="majorEastAsia" w:eastAsiaTheme="majorEastAsia" w:cstheme="majorEastAsia"/>
          <w:b w:val="0"/>
          <w:sz w:val="44"/>
          <w:szCs w:val="44"/>
          <w:lang w:val="en-US" w:eastAsia="zh-CN"/>
        </w:rPr>
      </w:pPr>
      <w:r>
        <w:rPr>
          <w:rFonts w:hint="eastAsia" w:asciiTheme="majorEastAsia" w:hAnsiTheme="majorEastAsia" w:eastAsiaTheme="majorEastAsia" w:cstheme="majorEastAsia"/>
          <w:b w:val="0"/>
          <w:sz w:val="44"/>
          <w:szCs w:val="44"/>
          <w:lang w:eastAsia="zh-CN"/>
        </w:rPr>
        <w:t>雄安新区</w:t>
      </w:r>
      <w:r>
        <w:rPr>
          <w:rFonts w:hint="eastAsia" w:asciiTheme="majorEastAsia" w:hAnsiTheme="majorEastAsia" w:eastAsiaTheme="majorEastAsia" w:cstheme="majorEastAsia"/>
          <w:b w:val="0"/>
          <w:sz w:val="44"/>
          <w:szCs w:val="44"/>
          <w:lang w:val="en-US" w:eastAsia="zh-CN"/>
        </w:rPr>
        <w:t>地方标准</w:t>
      </w:r>
    </w:p>
    <w:p w14:paraId="5261059B">
      <w:pPr>
        <w:overflowPunct w:val="0"/>
        <w:spacing w:line="592" w:lineRule="exact"/>
        <w:jc w:val="center"/>
        <w:rPr>
          <w:rFonts w:hint="eastAsia" w:asciiTheme="majorEastAsia" w:hAnsiTheme="majorEastAsia" w:eastAsiaTheme="majorEastAsia" w:cstheme="majorEastAsia"/>
          <w:b w:val="0"/>
          <w:sz w:val="44"/>
          <w:szCs w:val="44"/>
        </w:rPr>
      </w:pPr>
      <w:bookmarkStart w:id="0" w:name="OLE_LINK4"/>
      <w:r>
        <w:rPr>
          <w:rFonts w:hint="eastAsia" w:asciiTheme="majorEastAsia" w:hAnsiTheme="majorEastAsia" w:eastAsiaTheme="majorEastAsia" w:cstheme="majorEastAsia"/>
          <w:b w:val="0"/>
          <w:sz w:val="36"/>
          <w:szCs w:val="36"/>
        </w:rPr>
        <w:t>《</w:t>
      </w:r>
      <w:bookmarkStart w:id="1" w:name="OLE_LINK1"/>
      <w:r>
        <w:rPr>
          <w:rFonts w:hint="eastAsia" w:asciiTheme="majorEastAsia" w:hAnsiTheme="majorEastAsia" w:eastAsiaTheme="majorEastAsia" w:cstheme="majorEastAsia"/>
          <w:b w:val="0"/>
          <w:sz w:val="36"/>
          <w:szCs w:val="36"/>
        </w:rPr>
        <w:t>农业投入品经营流通与溯源回收监管一体化系统技术规范</w:t>
      </w:r>
      <w:bookmarkEnd w:id="1"/>
      <w:r>
        <w:rPr>
          <w:rFonts w:hint="eastAsia" w:asciiTheme="majorEastAsia" w:hAnsiTheme="majorEastAsia" w:eastAsiaTheme="majorEastAsia" w:cstheme="majorEastAsia"/>
          <w:b w:val="0"/>
          <w:sz w:val="36"/>
          <w:szCs w:val="36"/>
        </w:rPr>
        <w:t>》</w:t>
      </w:r>
    </w:p>
    <w:bookmarkEnd w:id="0"/>
    <w:p w14:paraId="1CFB47A5">
      <w:pPr>
        <w:overflowPunct w:val="0"/>
        <w:spacing w:line="592" w:lineRule="exact"/>
        <w:jc w:val="center"/>
        <w:rPr>
          <w:rFonts w:hint="eastAsia" w:asciiTheme="majorEastAsia" w:hAnsiTheme="majorEastAsia" w:eastAsiaTheme="majorEastAsia" w:cstheme="majorEastAsia"/>
          <w:b w:val="0"/>
          <w:sz w:val="44"/>
          <w:szCs w:val="44"/>
        </w:rPr>
      </w:pPr>
      <w:r>
        <w:rPr>
          <w:rFonts w:hint="eastAsia" w:asciiTheme="majorEastAsia" w:hAnsiTheme="majorEastAsia" w:eastAsiaTheme="majorEastAsia" w:cstheme="majorEastAsia"/>
          <w:b w:val="0"/>
          <w:sz w:val="44"/>
          <w:szCs w:val="44"/>
        </w:rPr>
        <w:t>编制说明</w:t>
      </w:r>
    </w:p>
    <w:p w14:paraId="793F43CB">
      <w:pPr>
        <w:spacing w:line="580" w:lineRule="exact"/>
        <w:ind w:firstLine="640" w:firstLineChars="200"/>
        <w:rPr>
          <w:rFonts w:ascii="黑体" w:hAnsi="黑体" w:eastAsia="黑体"/>
          <w:sz w:val="32"/>
        </w:rPr>
      </w:pPr>
      <w:r>
        <w:rPr>
          <w:rFonts w:hint="eastAsia" w:ascii="黑体" w:hAnsi="黑体" w:eastAsia="黑体"/>
          <w:sz w:val="32"/>
        </w:rPr>
        <w:t>一、工作简况</w:t>
      </w:r>
    </w:p>
    <w:p w14:paraId="029E8CDD">
      <w:pPr>
        <w:spacing w:line="580" w:lineRule="exact"/>
        <w:ind w:firstLine="640" w:firstLineChars="200"/>
        <w:rPr>
          <w:sz w:val="32"/>
        </w:rPr>
      </w:pPr>
      <w:r>
        <w:rPr>
          <w:rFonts w:hint="eastAsia"/>
          <w:sz w:val="32"/>
        </w:rPr>
        <w:t>（一）任务来源</w:t>
      </w:r>
    </w:p>
    <w:p w14:paraId="4BADC6ED">
      <w:pPr>
        <w:spacing w:line="580" w:lineRule="exact"/>
        <w:ind w:firstLine="640" w:firstLineChars="200"/>
        <w:rPr>
          <w:rFonts w:hint="eastAsia"/>
          <w:sz w:val="32"/>
          <w:lang w:val="en-US" w:eastAsia="zh-CN"/>
        </w:rPr>
      </w:pPr>
      <w:r>
        <w:rPr>
          <w:rFonts w:hint="eastAsia"/>
          <w:sz w:val="32"/>
          <w:lang w:val="en-US" w:eastAsia="zh-CN"/>
        </w:rPr>
        <w:t>1.计划下达部门：河北雄安新区管理委员会综合执法局。</w:t>
      </w:r>
    </w:p>
    <w:p w14:paraId="3E3C629D">
      <w:pPr>
        <w:spacing w:line="580" w:lineRule="exact"/>
        <w:ind w:firstLine="640" w:firstLineChars="200"/>
        <w:rPr>
          <w:rFonts w:hint="eastAsia"/>
          <w:sz w:val="32"/>
          <w:lang w:val="en-US" w:eastAsia="zh-CN"/>
        </w:rPr>
      </w:pPr>
      <w:r>
        <w:rPr>
          <w:rFonts w:hint="eastAsia"/>
          <w:sz w:val="32"/>
          <w:lang w:val="en-US" w:eastAsia="zh-CN"/>
        </w:rPr>
        <w:t>2.</w:t>
      </w:r>
      <w:r>
        <w:rPr>
          <w:rFonts w:hint="eastAsia"/>
          <w:sz w:val="32"/>
        </w:rPr>
        <w:t>计划文件号</w:t>
      </w:r>
      <w:r>
        <w:rPr>
          <w:rFonts w:hint="eastAsia"/>
          <w:sz w:val="32"/>
          <w:lang w:eastAsia="zh-CN"/>
        </w:rPr>
        <w:t>：</w:t>
      </w:r>
      <w:r>
        <w:rPr>
          <w:rFonts w:hint="eastAsia"/>
          <w:sz w:val="32"/>
          <w:lang w:val="en-US" w:eastAsia="zh-CN"/>
        </w:rPr>
        <w:t>根据《中华人民共和国标准化法》《地方标准管理办法》《雄安新区地方标准管理暂行办法》有关规定，该局对河北农业大学、北京艾格地赞农业科技有限公司、北京威斯德农业科技有限公司申报的《农业投入品经营流通与溯源回收监管一体化系统技术规范》进行了合法性、必要性和合理性等方面的审查，于2024年9月29日下发《关于下达&lt;雄安新区企业跨省市迁移一件事服务规范&gt;等23项雄安新区地方标准制定项目计划的通知》，正式将河北农业大学申报项目列入2024年雄安新区地方标准第三批制定项目计划。</w:t>
      </w:r>
    </w:p>
    <w:p w14:paraId="390BDCD2">
      <w:pPr>
        <w:spacing w:line="580" w:lineRule="exact"/>
        <w:ind w:firstLine="640" w:firstLineChars="200"/>
        <w:rPr>
          <w:rFonts w:hint="eastAsia"/>
          <w:sz w:val="32"/>
          <w:lang w:val="en-US" w:eastAsia="zh-CN"/>
        </w:rPr>
      </w:pPr>
      <w:r>
        <w:rPr>
          <w:rFonts w:hint="eastAsia"/>
          <w:sz w:val="32"/>
          <w:lang w:val="en-US" w:eastAsia="zh-CN"/>
        </w:rPr>
        <w:t>3.项目编号：NYNC202407。项目主管部门为河北雄安新区管理委员会公共服务局。</w:t>
      </w:r>
    </w:p>
    <w:p w14:paraId="5DA9917F">
      <w:pPr>
        <w:spacing w:line="580" w:lineRule="exact"/>
        <w:ind w:firstLine="640" w:firstLineChars="200"/>
        <w:rPr>
          <w:rFonts w:hint="eastAsia"/>
          <w:sz w:val="32"/>
          <w:lang w:val="en-US" w:eastAsia="zh-CN"/>
        </w:rPr>
      </w:pPr>
      <w:r>
        <w:rPr>
          <w:rFonts w:hint="eastAsia"/>
          <w:sz w:val="32"/>
          <w:lang w:val="en-US" w:eastAsia="zh-CN"/>
        </w:rPr>
        <w:t>4.标准名称为：农业投入品经营流通与溯源回收监管一体化系统技术规范（总）</w:t>
      </w:r>
    </w:p>
    <w:p w14:paraId="6FE5F65D">
      <w:pPr>
        <w:spacing w:line="580" w:lineRule="exact"/>
        <w:ind w:firstLine="640" w:firstLineChars="200"/>
        <w:rPr>
          <w:rFonts w:hint="eastAsia"/>
          <w:sz w:val="32"/>
          <w:lang w:val="en-US" w:eastAsia="zh-CN"/>
        </w:rPr>
      </w:pPr>
      <w:r>
        <w:rPr>
          <w:rFonts w:hint="eastAsia"/>
          <w:sz w:val="32"/>
          <w:lang w:val="en-US" w:eastAsia="zh-CN"/>
        </w:rPr>
        <w:t>计划名称为：农业投入品经营流通与溯源回收监管一体化系统技术规范</w:t>
      </w:r>
    </w:p>
    <w:p w14:paraId="34515EB1">
      <w:pPr>
        <w:numPr>
          <w:ilvl w:val="0"/>
          <w:numId w:val="2"/>
        </w:numPr>
        <w:spacing w:line="580" w:lineRule="exact"/>
        <w:ind w:firstLine="640" w:firstLineChars="200"/>
        <w:rPr>
          <w:rFonts w:hint="eastAsia"/>
          <w:sz w:val="32"/>
        </w:rPr>
      </w:pPr>
      <w:r>
        <w:rPr>
          <w:rFonts w:hint="eastAsia"/>
          <w:sz w:val="32"/>
        </w:rPr>
        <w:t>起草单位、协作单位情况</w:t>
      </w:r>
    </w:p>
    <w:p w14:paraId="3DCC17E2">
      <w:pPr>
        <w:numPr>
          <w:ilvl w:val="0"/>
          <w:numId w:val="0"/>
        </w:numPr>
        <w:spacing w:line="580" w:lineRule="exact"/>
        <w:ind w:firstLine="640"/>
        <w:rPr>
          <w:rFonts w:hint="eastAsia" w:ascii="宋体" w:hAnsi="宋体" w:eastAsia="宋体" w:cs="宋体"/>
          <w:sz w:val="32"/>
          <w:szCs w:val="32"/>
          <w:lang w:val="zh-CN" w:bidi="zh-CN"/>
        </w:rPr>
      </w:pPr>
      <w:r>
        <w:rPr>
          <w:rFonts w:hint="eastAsia" w:ascii="宋体" w:hAnsi="宋体" w:eastAsia="宋体" w:cs="宋体"/>
          <w:sz w:val="32"/>
          <w:szCs w:val="32"/>
          <w:lang w:val="zh-CN" w:bidi="zh-CN"/>
        </w:rPr>
        <w:t>《</w:t>
      </w:r>
      <w:bookmarkStart w:id="2" w:name="OLE_LINK5"/>
      <w:r>
        <w:rPr>
          <w:rFonts w:hint="eastAsia" w:ascii="宋体" w:hAnsi="宋体" w:eastAsia="宋体" w:cs="宋体"/>
          <w:sz w:val="32"/>
          <w:szCs w:val="32"/>
          <w:lang w:val="zh-CN" w:bidi="zh-CN"/>
        </w:rPr>
        <w:t>农业投入品经营流通与溯源回收监管一体化系统技术规范</w:t>
      </w:r>
      <w:bookmarkEnd w:id="2"/>
      <w:r>
        <w:rPr>
          <w:rFonts w:hint="eastAsia" w:ascii="宋体" w:hAnsi="宋体" w:eastAsia="宋体" w:cs="宋体"/>
          <w:sz w:val="32"/>
          <w:szCs w:val="32"/>
          <w:lang w:val="zh-CN" w:bidi="zh-CN"/>
        </w:rPr>
        <w:t>》由</w:t>
      </w:r>
      <w:r>
        <w:rPr>
          <w:rFonts w:hint="eastAsia" w:ascii="宋体" w:hAnsi="宋体" w:eastAsia="宋体" w:cs="宋体"/>
          <w:sz w:val="32"/>
          <w:szCs w:val="32"/>
          <w:lang w:val="zh-CN" w:eastAsia="zh-CN" w:bidi="zh-CN"/>
        </w:rPr>
        <w:t>河北农业大学</w:t>
      </w:r>
      <w:r>
        <w:rPr>
          <w:rFonts w:hint="eastAsia" w:ascii="宋体" w:hAnsi="宋体" w:eastAsia="宋体" w:cs="宋体"/>
          <w:sz w:val="32"/>
          <w:szCs w:val="32"/>
          <w:lang w:val="zh-CN" w:bidi="zh-CN"/>
        </w:rPr>
        <w:t>提出</w:t>
      </w:r>
      <w:r>
        <w:rPr>
          <w:rFonts w:hint="eastAsia" w:ascii="宋体" w:hAnsi="宋体" w:cs="宋体"/>
          <w:sz w:val="32"/>
          <w:szCs w:val="32"/>
          <w:lang w:val="en-US" w:bidi="zh-CN"/>
        </w:rPr>
        <w:t>并</w:t>
      </w:r>
      <w:r>
        <w:rPr>
          <w:rFonts w:hint="eastAsia"/>
          <w:sz w:val="32"/>
          <w:lang w:val="en-US" w:eastAsia="zh-CN"/>
        </w:rPr>
        <w:t>起草，北京艾格地赞农业科技有限公司和北京威斯得农业科技有限公司</w:t>
      </w:r>
      <w:r>
        <w:rPr>
          <w:rFonts w:hint="eastAsia" w:ascii="宋体" w:hAnsi="宋体" w:eastAsia="宋体" w:cs="宋体"/>
          <w:sz w:val="32"/>
          <w:szCs w:val="32"/>
          <w:lang w:val="zh-CN" w:bidi="zh-CN"/>
        </w:rPr>
        <w:t>共同</w:t>
      </w:r>
      <w:r>
        <w:rPr>
          <w:rFonts w:hint="eastAsia" w:ascii="宋体" w:hAnsi="宋体" w:cs="宋体"/>
          <w:sz w:val="32"/>
          <w:szCs w:val="32"/>
          <w:lang w:val="en-US" w:bidi="zh-CN"/>
        </w:rPr>
        <w:t>协作</w:t>
      </w:r>
      <w:r>
        <w:rPr>
          <w:rFonts w:hint="eastAsia" w:ascii="宋体" w:hAnsi="宋体" w:eastAsia="宋体" w:cs="宋体"/>
          <w:sz w:val="32"/>
          <w:szCs w:val="32"/>
          <w:lang w:val="zh-CN" w:bidi="zh-CN"/>
        </w:rPr>
        <w:t>承担了具体的编制工作。</w:t>
      </w:r>
    </w:p>
    <w:p w14:paraId="54C33474">
      <w:pPr>
        <w:numPr>
          <w:ilvl w:val="0"/>
          <w:numId w:val="0"/>
        </w:numPr>
        <w:spacing w:line="580" w:lineRule="exact"/>
        <w:ind w:firstLine="640"/>
        <w:rPr>
          <w:rFonts w:hint="eastAsia" w:ascii="宋体" w:hAnsi="宋体" w:eastAsia="宋体" w:cs="宋体"/>
          <w:sz w:val="32"/>
          <w:szCs w:val="32"/>
          <w:lang w:val="zh-CN" w:bidi="zh-CN"/>
        </w:rPr>
      </w:pPr>
      <w:r>
        <w:rPr>
          <w:rFonts w:hint="eastAsia" w:ascii="宋体" w:hAnsi="宋体" w:eastAsia="宋体" w:cs="宋体"/>
          <w:sz w:val="32"/>
          <w:szCs w:val="32"/>
          <w:lang w:val="zh-CN" w:bidi="zh-CN"/>
        </w:rPr>
        <w:t>项目承担单位河北农业大学是河北省人民政府与教育部、农业农村部、国家林业和草原局分别共建的省属重点骨干大学，教育部卓越工程师、卓越农林人才教育培养计划实施高校，河北省“双一流”建设高校。学校拥有1个国家重点（培育）学科，3个部级重点学科，4个河北省强势特色学科（农学、园艺、林学、食品），16个省级重点学科，形成了以农业学科为优势，多学科协调发展的格局。拥有8个博士后科研流动站；11个一级学科博士点，1个专业学位博士点；24个一级学科硕士点，12个专业学位硕士点。农业科学、环境与生态学学科进入ESI全球排名前1%。建有农业生态环境交叉学科博士点，项目组成员具有深厚的农业生态环境背景，与北京艾格地赞农业科技有限公司、北京威斯得农业科技有限公司具有多年的合作经验，科研力量，团队力量和技术力量雄厚，科研基础设施完善为项目的开展提供了必要条件和保障。</w:t>
      </w:r>
    </w:p>
    <w:p w14:paraId="38320381">
      <w:pPr>
        <w:spacing w:line="580" w:lineRule="exact"/>
        <w:ind w:firstLine="640" w:firstLineChars="200"/>
        <w:rPr>
          <w:rFonts w:ascii="黑体" w:hAnsi="黑体" w:eastAsia="黑体"/>
          <w:sz w:val="32"/>
        </w:rPr>
      </w:pPr>
      <w:r>
        <w:rPr>
          <w:rFonts w:hint="eastAsia" w:ascii="黑体" w:hAnsi="黑体" w:eastAsia="黑体"/>
          <w:sz w:val="32"/>
        </w:rPr>
        <w:t>二、制（修）订标准的必要性、目的和意义</w:t>
      </w:r>
    </w:p>
    <w:p w14:paraId="16E870FC">
      <w:pPr>
        <w:numPr>
          <w:ilvl w:val="0"/>
          <w:numId w:val="0"/>
        </w:numPr>
        <w:spacing w:line="580" w:lineRule="exact"/>
        <w:ind w:firstLine="640"/>
        <w:rPr>
          <w:rFonts w:hint="eastAsia" w:ascii="宋体" w:hAnsi="宋体" w:eastAsia="宋体" w:cs="宋体"/>
          <w:kern w:val="2"/>
          <w:sz w:val="32"/>
          <w:szCs w:val="32"/>
          <w:lang w:val="zh-CN" w:bidi="zh-CN"/>
        </w:rPr>
      </w:pPr>
      <w:r>
        <w:rPr>
          <w:rFonts w:hint="eastAsia" w:ascii="宋体" w:hAnsi="宋体" w:eastAsia="宋体" w:cs="宋体"/>
          <w:kern w:val="2"/>
          <w:sz w:val="32"/>
          <w:szCs w:val="32"/>
          <w:lang w:val="zh-CN" w:bidi="zh-CN"/>
        </w:rPr>
        <w:t>农业投入品（种子、化肥、农药、农膜等）的使用在保障粮食生产、稳定粮食产量和促进农民增收方面具有重要的作用，然而目前农业投入品包装物溯源与回收障碍极大限制了粮食安全生产的目标。农资经营是连接农业生产和使用的关键枢纽，是维护市场秩序、科学推广应用的核心环节，经营水平和经营能力的高低对保障绿色生产起着至关重要的作用。</w:t>
      </w:r>
      <w:r>
        <w:rPr>
          <w:rFonts w:hint="default" w:ascii="宋体" w:hAnsi="宋体" w:eastAsia="宋体" w:cs="宋体"/>
          <w:sz w:val="32"/>
          <w:szCs w:val="32"/>
          <w:lang w:val="en-US" w:eastAsia="zh-CN" w:bidi="zh-CN"/>
        </w:rPr>
        <w:t>用于指导农业投入品的生产、销售、流通、监管、溯源、包装废弃物回收与处理，确保投入品的闭</w:t>
      </w:r>
      <w:r>
        <w:rPr>
          <w:rFonts w:hint="eastAsia" w:ascii="宋体" w:hAnsi="宋体" w:cs="宋体"/>
          <w:sz w:val="32"/>
          <w:szCs w:val="32"/>
          <w:lang w:val="en-US" w:eastAsia="zh-CN" w:bidi="zh-CN"/>
        </w:rPr>
        <w:t>环</w:t>
      </w:r>
      <w:r>
        <w:rPr>
          <w:rFonts w:hint="default" w:ascii="宋体" w:hAnsi="宋体" w:eastAsia="宋体" w:cs="宋体"/>
          <w:sz w:val="32"/>
          <w:szCs w:val="32"/>
          <w:lang w:val="en-US" w:eastAsia="zh-CN" w:bidi="zh-CN"/>
        </w:rPr>
        <w:t>化管控，为雄安新区的高质量生态农业发展奠定基础。</w:t>
      </w:r>
    </w:p>
    <w:p w14:paraId="61D4D6C5">
      <w:pPr>
        <w:ind w:firstLine="640" w:firstLineChars="200"/>
        <w:rPr>
          <w:rFonts w:hint="eastAsia" w:ascii="宋体" w:hAnsi="宋体" w:eastAsia="宋体" w:cs="宋体"/>
          <w:sz w:val="32"/>
          <w:szCs w:val="32"/>
          <w:lang w:val="zh-CN" w:bidi="zh-CN"/>
        </w:rPr>
      </w:pPr>
      <w:r>
        <w:rPr>
          <w:rFonts w:hint="eastAsia" w:ascii="宋体" w:hAnsi="宋体" w:eastAsia="宋体" w:cs="宋体"/>
          <w:sz w:val="32"/>
          <w:szCs w:val="32"/>
          <w:lang w:val="zh-CN" w:bidi="zh-CN"/>
        </w:rPr>
        <w:t>2020年，农业农村部分别颁布的《关于化肥包装废弃物回收处理的指导意见》和《农药包装废弃物回收处理管理办法》强调建立健全农药、化肥等农业投入品的回收处理体系，基于此，2022年2月18日，河北省农业农村厅印发《河北省农药包装废弃物回收处理工作方案》要求推动建立回收处理体系，完善省农药包装废弃物回收监测系统，全面推进农药包装废弃物回收处理工作开展，全省农药包装废弃物回收率达到60%以上。</w:t>
      </w:r>
    </w:p>
    <w:p w14:paraId="75FB8A85">
      <w:pPr>
        <w:ind w:firstLine="640" w:firstLineChars="200"/>
        <w:rPr>
          <w:rFonts w:hint="eastAsia" w:ascii="宋体" w:hAnsi="宋体" w:eastAsia="宋体" w:cs="宋体"/>
          <w:sz w:val="32"/>
          <w:szCs w:val="32"/>
          <w:lang w:val="zh-CN" w:bidi="zh-CN"/>
        </w:rPr>
      </w:pPr>
      <w:r>
        <w:rPr>
          <w:rFonts w:hint="eastAsia" w:ascii="宋体" w:hAnsi="宋体" w:eastAsia="宋体" w:cs="宋体"/>
          <w:sz w:val="32"/>
          <w:szCs w:val="32"/>
          <w:lang w:val="zh-CN" w:bidi="zh-CN"/>
        </w:rPr>
        <w:t>农资是农业生产的基础，四大投入品（化肥、农药、种子、农膜）事关粮食和重要农产品稳产保供，事关农村社会稳定和农民切身利益</w:t>
      </w:r>
      <w:r>
        <w:rPr>
          <w:rFonts w:hint="eastAsia" w:ascii="宋体" w:hAnsi="宋体" w:cs="宋体"/>
          <w:sz w:val="32"/>
          <w:szCs w:val="32"/>
          <w:lang w:val="zh-CN" w:bidi="zh-CN"/>
        </w:rPr>
        <w:t>、事关土壤健康</w:t>
      </w:r>
      <w:r>
        <w:rPr>
          <w:rFonts w:hint="eastAsia" w:ascii="宋体" w:hAnsi="宋体" w:eastAsia="宋体" w:cs="宋体"/>
          <w:sz w:val="32"/>
          <w:szCs w:val="32"/>
          <w:lang w:val="zh-CN" w:bidi="zh-CN"/>
        </w:rPr>
        <w:t>。一直以来，我国高度重视农资质量安全工作。</w:t>
      </w:r>
      <w:r>
        <w:rPr>
          <w:rFonts w:hint="eastAsia" w:ascii="宋体" w:hAnsi="宋体" w:eastAsia="宋体" w:cs="宋体"/>
          <w:sz w:val="32"/>
          <w:szCs w:val="32"/>
          <w:lang w:val="en-US" w:bidi="zh-CN"/>
        </w:rPr>
        <w:t>2024</w:t>
      </w:r>
      <w:r>
        <w:rPr>
          <w:rFonts w:hint="eastAsia" w:ascii="宋体" w:hAnsi="宋体" w:eastAsia="宋体" w:cs="宋体"/>
          <w:sz w:val="32"/>
          <w:szCs w:val="32"/>
          <w:lang w:val="zh-CN" w:bidi="zh-CN"/>
        </w:rPr>
        <w:t>年4月，农业农村部、最高人民法院、最高人民检察院、公安部等七部门联合印发《2024年全国农资打假和监管工作要点》，加强农资生产、流通环节监管，严格整治不合格产品，严厉打击假冒伪劣行为，净化农资市场，维护农民权益，保障国家粮食安全。</w:t>
      </w:r>
    </w:p>
    <w:p w14:paraId="53AF7688">
      <w:pPr>
        <w:ind w:firstLine="640" w:firstLineChars="200"/>
        <w:rPr>
          <w:rFonts w:hint="eastAsia" w:ascii="宋体" w:hAnsi="宋体" w:eastAsia="宋体" w:cs="宋体"/>
          <w:sz w:val="32"/>
          <w:szCs w:val="32"/>
        </w:rPr>
      </w:pPr>
      <w:r>
        <w:rPr>
          <w:rFonts w:hint="eastAsia" w:ascii="宋体" w:hAnsi="宋体" w:eastAsia="宋体" w:cs="宋体"/>
          <w:sz w:val="32"/>
          <w:szCs w:val="32"/>
          <w:lang w:val="zh-CN" w:bidi="zh-CN"/>
        </w:rPr>
        <w:t>生态作为雄安新区高质量发展的前提，创新农业投入品经营监管制度和模式，</w:t>
      </w:r>
      <w:r>
        <w:rPr>
          <w:rFonts w:hint="eastAsia" w:ascii="宋体" w:hAnsi="宋体" w:eastAsia="宋体" w:cs="宋体"/>
          <w:sz w:val="32"/>
          <w:szCs w:val="32"/>
        </w:rPr>
        <w:t>全面提升对其管理能力和水平，保障新区农产品质量和生态环境安全，加强源头管理，针对农资经营人员学历偏低、年龄老化和电脑操作不流畅等问题，严把经营、回收和使用关,从标准上下功夫，规范农资经营行为，以“轻松备案、扫码入库、实名购销、精准追溯”为目标，进行农业投入品购销实名制系统规范化建设，对加快农业投入品二维码溯源与农药监管数据互通，实现农业投入品的全生命周期数据可追溯与回收监管，全面推进雄安新区农业投入品实名制购买工作的智能管控和可视化展示，实现对农</w:t>
      </w:r>
      <w:r>
        <w:rPr>
          <w:rFonts w:hint="eastAsia" w:ascii="宋体" w:hAnsi="宋体" w:eastAsia="宋体" w:cs="宋体"/>
          <w:sz w:val="32"/>
          <w:szCs w:val="32"/>
          <w:lang w:eastAsia="zh-CN"/>
        </w:rPr>
        <w:t>业投入品</w:t>
      </w:r>
      <w:r>
        <w:rPr>
          <w:rFonts w:hint="eastAsia" w:ascii="宋体" w:hAnsi="宋体" w:eastAsia="宋体" w:cs="宋体"/>
          <w:sz w:val="32"/>
          <w:szCs w:val="32"/>
        </w:rPr>
        <w:t>的“生产－订购－销售－监管－回收－处理”闭环管理，</w:t>
      </w:r>
      <w:r>
        <w:rPr>
          <w:rFonts w:hint="eastAsia" w:ascii="宋体" w:hAnsi="宋体" w:eastAsia="宋体" w:cs="宋体"/>
          <w:sz w:val="32"/>
          <w:szCs w:val="32"/>
          <w:lang w:eastAsia="zh-CN"/>
        </w:rPr>
        <w:t>使其</w:t>
      </w:r>
      <w:r>
        <w:rPr>
          <w:rFonts w:hint="eastAsia" w:ascii="宋体" w:hAnsi="宋体" w:eastAsia="宋体" w:cs="宋体"/>
          <w:sz w:val="32"/>
          <w:szCs w:val="32"/>
        </w:rPr>
        <w:t>市场准入严格化、过程管理智能化、农资监管实名化、多方权责明晰化、销售溯源实时化，</w:t>
      </w:r>
      <w:r>
        <w:rPr>
          <w:rFonts w:hint="eastAsia" w:ascii="宋体" w:hAnsi="宋体" w:eastAsia="宋体" w:cs="宋体"/>
          <w:sz w:val="32"/>
          <w:szCs w:val="32"/>
          <w:lang w:eastAsia="zh-CN"/>
        </w:rPr>
        <w:t>对</w:t>
      </w:r>
      <w:r>
        <w:rPr>
          <w:rFonts w:hint="eastAsia" w:ascii="宋体" w:hAnsi="宋体" w:eastAsia="宋体" w:cs="宋体"/>
          <w:sz w:val="32"/>
          <w:szCs w:val="32"/>
        </w:rPr>
        <w:t>促进</w:t>
      </w:r>
      <w:r>
        <w:rPr>
          <w:rFonts w:hint="eastAsia" w:ascii="宋体" w:hAnsi="宋体" w:eastAsia="宋体" w:cs="宋体"/>
          <w:sz w:val="32"/>
          <w:szCs w:val="32"/>
          <w:lang w:eastAsia="zh-CN"/>
        </w:rPr>
        <w:t>雄安新区现代农业的生态</w:t>
      </w:r>
      <w:r>
        <w:rPr>
          <w:rFonts w:hint="eastAsia" w:ascii="宋体" w:hAnsi="宋体" w:eastAsia="宋体" w:cs="宋体"/>
          <w:sz w:val="32"/>
          <w:szCs w:val="32"/>
        </w:rPr>
        <w:t>可持续</w:t>
      </w:r>
      <w:r>
        <w:rPr>
          <w:rFonts w:hint="eastAsia" w:ascii="宋体" w:hAnsi="宋体" w:eastAsia="宋体" w:cs="宋体"/>
          <w:sz w:val="32"/>
          <w:szCs w:val="32"/>
          <w:lang w:eastAsia="zh-CN"/>
        </w:rPr>
        <w:t>健康</w:t>
      </w:r>
      <w:r>
        <w:rPr>
          <w:rFonts w:hint="eastAsia" w:ascii="宋体" w:hAnsi="宋体" w:eastAsia="宋体" w:cs="宋体"/>
          <w:sz w:val="32"/>
          <w:szCs w:val="32"/>
        </w:rPr>
        <w:t>发展具有重要的意义。</w:t>
      </w:r>
    </w:p>
    <w:p w14:paraId="3BBFAC77">
      <w:pPr>
        <w:spacing w:line="580" w:lineRule="exact"/>
        <w:ind w:firstLine="640" w:firstLineChars="200"/>
        <w:rPr>
          <w:rFonts w:ascii="黑体" w:hAnsi="黑体" w:eastAsia="黑体"/>
          <w:sz w:val="32"/>
        </w:rPr>
      </w:pPr>
      <w:r>
        <w:rPr>
          <w:rFonts w:hint="eastAsia" w:ascii="黑体" w:hAnsi="黑体" w:eastAsia="黑体"/>
          <w:sz w:val="32"/>
        </w:rPr>
        <w:t>三、</w:t>
      </w:r>
      <w:bookmarkStart w:id="3" w:name="OLE_LINK6"/>
      <w:r>
        <w:rPr>
          <w:rFonts w:hint="eastAsia" w:ascii="黑体" w:hAnsi="黑体" w:eastAsia="黑体"/>
          <w:sz w:val="32"/>
        </w:rPr>
        <w:t>主要起草过程</w:t>
      </w:r>
      <w:bookmarkEnd w:id="3"/>
    </w:p>
    <w:p w14:paraId="5C1918F3">
      <w:pPr>
        <w:numPr>
          <w:ilvl w:val="0"/>
          <w:numId w:val="0"/>
        </w:numPr>
        <w:spacing w:line="580" w:lineRule="exact"/>
        <w:ind w:firstLine="640"/>
        <w:rPr>
          <w:rFonts w:hint="eastAsia"/>
          <w:sz w:val="32"/>
          <w:lang w:eastAsia="zh-CN"/>
        </w:rPr>
      </w:pPr>
      <w:r>
        <w:rPr>
          <w:rFonts w:hint="eastAsia"/>
          <w:sz w:val="32"/>
          <w:lang w:val="en-US" w:eastAsia="zh-CN"/>
        </w:rPr>
        <w:t>1.</w:t>
      </w:r>
      <w:r>
        <w:rPr>
          <w:rFonts w:hint="eastAsia"/>
          <w:sz w:val="32"/>
        </w:rPr>
        <w:t>预研阶段</w:t>
      </w:r>
      <w:r>
        <w:rPr>
          <w:rFonts w:hint="eastAsia"/>
          <w:sz w:val="32"/>
          <w:lang w:eastAsia="zh-CN"/>
        </w:rPr>
        <w:t>：查阅相关资料，调研新区农资经营主体现状</w:t>
      </w:r>
      <w:r>
        <w:rPr>
          <w:rFonts w:hint="eastAsia"/>
          <w:sz w:val="32"/>
          <w:lang w:eastAsia="zh-CN"/>
        </w:rPr>
        <w:tab/>
      </w:r>
      <w:r>
        <w:rPr>
          <w:rFonts w:hint="eastAsia"/>
          <w:sz w:val="32"/>
          <w:lang w:val="en-US" w:eastAsia="zh-CN"/>
        </w:rPr>
        <w:t>,</w:t>
      </w:r>
      <w:r>
        <w:rPr>
          <w:rFonts w:hint="eastAsia"/>
          <w:sz w:val="32"/>
          <w:lang w:eastAsia="zh-CN"/>
        </w:rPr>
        <w:t>汇编新区农业投入品“进-销-用-回”现状。以《国家农业绿色发展先行区整建制全要素全链条推进农业面源污染综合防治实施方案》为指导，聚焦农业投入品“源头减量、全量利用、末端治理”目标，明确技术规范需与农业面源污染治理要求协同‌。结合《关于加快推进农产品质量安全追溯体系建设的意见》，提出全生命周期可追溯机制设计，强化生产、流通、回收环节数据互通‌。</w:t>
      </w:r>
    </w:p>
    <w:p w14:paraId="54D43102">
      <w:pPr>
        <w:numPr>
          <w:ilvl w:val="0"/>
          <w:numId w:val="0"/>
        </w:numPr>
        <w:spacing w:line="580" w:lineRule="exact"/>
        <w:ind w:firstLine="640"/>
        <w:rPr>
          <w:rFonts w:hint="default" w:eastAsia="宋体"/>
          <w:sz w:val="32"/>
          <w:lang w:val="en-US" w:eastAsia="zh-CN"/>
        </w:rPr>
      </w:pPr>
      <w:r>
        <w:rPr>
          <w:rFonts w:hint="eastAsia"/>
          <w:sz w:val="32"/>
          <w:lang w:val="en-US" w:eastAsia="zh-CN"/>
        </w:rPr>
        <w:t>2.</w:t>
      </w:r>
      <w:r>
        <w:rPr>
          <w:rFonts w:hint="eastAsia"/>
          <w:sz w:val="32"/>
        </w:rPr>
        <w:t>立项阶段</w:t>
      </w:r>
      <w:r>
        <w:rPr>
          <w:rFonts w:hint="eastAsia"/>
          <w:sz w:val="32"/>
          <w:lang w:eastAsia="zh-CN"/>
        </w:rPr>
        <w:t>：</w:t>
      </w:r>
      <w:r>
        <w:rPr>
          <w:rFonts w:hint="eastAsia"/>
          <w:sz w:val="32"/>
          <w:lang w:val="en-US" w:eastAsia="zh-CN"/>
        </w:rPr>
        <w:t>组建专项工作组，整合农业农村、市场监管、生态环境等部门人力资源，建立组织保障机制。优化资金使用途径，探索“财政补贴+市场化运营”模式，提升农资企业参与积极性。确定技术路线，开展风险评估，明确预期成果与推进计划。</w:t>
      </w:r>
    </w:p>
    <w:p w14:paraId="644886F0">
      <w:pPr>
        <w:numPr>
          <w:ilvl w:val="0"/>
          <w:numId w:val="0"/>
        </w:numPr>
        <w:spacing w:line="580" w:lineRule="exact"/>
        <w:ind w:firstLine="640"/>
        <w:rPr>
          <w:rFonts w:hint="eastAsia" w:eastAsia="宋体"/>
          <w:sz w:val="32"/>
          <w:lang w:eastAsia="zh-CN"/>
        </w:rPr>
      </w:pPr>
      <w:r>
        <w:rPr>
          <w:rFonts w:hint="eastAsia"/>
          <w:sz w:val="32"/>
          <w:lang w:val="en-US" w:eastAsia="zh-CN"/>
        </w:rPr>
        <w:t>3.</w:t>
      </w:r>
      <w:r>
        <w:rPr>
          <w:rFonts w:hint="eastAsia"/>
          <w:sz w:val="32"/>
        </w:rPr>
        <w:t>起草阶段</w:t>
      </w:r>
      <w:r>
        <w:rPr>
          <w:rFonts w:hint="eastAsia"/>
          <w:sz w:val="32"/>
          <w:lang w:eastAsia="zh-CN"/>
        </w:rPr>
        <w:t>：</w:t>
      </w:r>
      <w:r>
        <w:rPr>
          <w:rFonts w:hint="eastAsia" w:ascii="宋体" w:hAnsi="宋体" w:eastAsia="宋体" w:cs="宋体"/>
          <w:sz w:val="32"/>
          <w:szCs w:val="32"/>
          <w:lang w:val="zh-CN" w:bidi="zh-CN"/>
        </w:rPr>
        <w:t>课题组近年来一直从事</w:t>
      </w:r>
      <w:r>
        <w:rPr>
          <w:rFonts w:hint="eastAsia" w:ascii="宋体" w:hAnsi="宋体" w:eastAsia="宋体" w:cs="宋体"/>
          <w:sz w:val="32"/>
          <w:szCs w:val="32"/>
          <w:lang w:val="zh-CN" w:eastAsia="zh-CN" w:bidi="zh-CN"/>
        </w:rPr>
        <w:t>农</w:t>
      </w:r>
      <w:r>
        <w:rPr>
          <w:rFonts w:hint="eastAsia" w:ascii="宋体" w:hAnsi="宋体" w:cs="宋体"/>
          <w:sz w:val="32"/>
          <w:szCs w:val="32"/>
          <w:lang w:val="zh-CN" w:eastAsia="zh-CN" w:bidi="zh-CN"/>
        </w:rPr>
        <w:t>业</w:t>
      </w:r>
      <w:r>
        <w:rPr>
          <w:rFonts w:hint="eastAsia" w:ascii="宋体" w:hAnsi="宋体" w:eastAsia="宋体" w:cs="宋体"/>
          <w:sz w:val="32"/>
          <w:szCs w:val="32"/>
          <w:lang w:val="zh-CN" w:eastAsia="zh-CN" w:bidi="zh-CN"/>
        </w:rPr>
        <w:t>生态系统环境方面</w:t>
      </w:r>
      <w:r>
        <w:rPr>
          <w:rFonts w:hint="eastAsia" w:ascii="宋体" w:hAnsi="宋体" w:eastAsia="宋体" w:cs="宋体"/>
          <w:sz w:val="32"/>
          <w:szCs w:val="32"/>
          <w:lang w:val="zh-CN" w:bidi="zh-CN"/>
        </w:rPr>
        <w:t>研究，</w:t>
      </w:r>
      <w:r>
        <w:rPr>
          <w:rFonts w:hint="eastAsia" w:ascii="宋体" w:hAnsi="宋体" w:eastAsia="宋体" w:cs="宋体"/>
          <w:sz w:val="32"/>
          <w:szCs w:val="32"/>
          <w:lang w:val="zh-CN" w:eastAsia="zh-CN" w:bidi="zh-CN"/>
        </w:rPr>
        <w:t>长期</w:t>
      </w:r>
      <w:r>
        <w:rPr>
          <w:rFonts w:hint="eastAsia" w:ascii="宋体" w:hAnsi="宋体" w:eastAsia="宋体" w:cs="宋体"/>
          <w:sz w:val="32"/>
          <w:szCs w:val="32"/>
          <w:lang w:val="zh-CN" w:bidi="zh-CN"/>
        </w:rPr>
        <w:t>奔赴各省、市、县区现场指导企业、</w:t>
      </w:r>
      <w:r>
        <w:rPr>
          <w:rFonts w:hint="eastAsia" w:ascii="宋体" w:hAnsi="宋体" w:eastAsia="宋体" w:cs="宋体"/>
          <w:sz w:val="32"/>
          <w:szCs w:val="32"/>
          <w:lang w:val="zh-CN" w:eastAsia="zh-CN" w:bidi="zh-CN"/>
        </w:rPr>
        <w:t>农</w:t>
      </w:r>
      <w:r>
        <w:rPr>
          <w:rFonts w:hint="eastAsia" w:ascii="宋体" w:hAnsi="宋体" w:eastAsia="宋体" w:cs="宋体"/>
          <w:sz w:val="32"/>
          <w:szCs w:val="32"/>
          <w:lang w:val="zh-CN" w:bidi="zh-CN"/>
        </w:rPr>
        <w:t>户进行技术指导，在</w:t>
      </w:r>
      <w:r>
        <w:rPr>
          <w:rFonts w:hint="eastAsia" w:ascii="宋体" w:hAnsi="宋体" w:eastAsia="宋体" w:cs="宋体"/>
          <w:sz w:val="32"/>
          <w:szCs w:val="32"/>
          <w:lang w:val="zh-CN" w:eastAsia="zh-CN" w:bidi="zh-CN"/>
        </w:rPr>
        <w:t>农业生态环境</w:t>
      </w:r>
      <w:r>
        <w:rPr>
          <w:rFonts w:hint="eastAsia" w:ascii="宋体" w:hAnsi="宋体" w:eastAsia="宋体" w:cs="宋体"/>
          <w:sz w:val="32"/>
          <w:szCs w:val="32"/>
          <w:lang w:val="zh-CN" w:bidi="zh-CN"/>
        </w:rPr>
        <w:t>研究领域取得了多项研究成果</w:t>
      </w:r>
      <w:r>
        <w:rPr>
          <w:rFonts w:hint="eastAsia" w:ascii="宋体" w:hAnsi="宋体" w:cs="宋体"/>
          <w:sz w:val="32"/>
          <w:szCs w:val="32"/>
          <w:lang w:val="zh-CN" w:bidi="zh-CN"/>
        </w:rPr>
        <w:t>，</w:t>
      </w:r>
      <w:r>
        <w:rPr>
          <w:rFonts w:hint="eastAsia" w:ascii="宋体" w:hAnsi="宋体" w:eastAsia="宋体" w:cs="宋体"/>
          <w:sz w:val="32"/>
          <w:szCs w:val="32"/>
          <w:lang w:val="zh-CN" w:bidi="zh-CN"/>
        </w:rPr>
        <w:t>掌握农业投入品经营流通与溯源回收监管过程中的关键技术，</w:t>
      </w:r>
      <w:r>
        <w:rPr>
          <w:rFonts w:hint="default" w:ascii="宋体" w:hAnsi="宋体" w:eastAsia="宋体" w:cs="宋体"/>
          <w:sz w:val="32"/>
          <w:szCs w:val="32"/>
          <w:lang w:val="en-US" w:eastAsia="zh-CN" w:bidi="zh-CN"/>
        </w:rPr>
        <w:t>为标准的制定提供了大量的实践技术资料。</w:t>
      </w:r>
      <w:r>
        <w:rPr>
          <w:rFonts w:hint="eastAsia" w:ascii="宋体" w:hAnsi="宋体" w:eastAsia="宋体" w:cs="宋体"/>
          <w:sz w:val="32"/>
          <w:szCs w:val="32"/>
          <w:lang w:val="zh-CN" w:bidi="zh-CN"/>
        </w:rPr>
        <w:t>最终形成《农业投入品经营流通与溯源回收监管一体化系统技术规范》草案。</w:t>
      </w:r>
      <w:r>
        <w:rPr>
          <w:rFonts w:hint="default" w:ascii="宋体" w:hAnsi="宋体" w:eastAsia="宋体" w:cs="宋体"/>
          <w:sz w:val="32"/>
          <w:szCs w:val="32"/>
          <w:lang w:val="en-US" w:eastAsia="zh-CN" w:bidi="zh-CN"/>
        </w:rPr>
        <w:t>规定了农业投入品经营流通与溯源回收监管一体化系统的总体要求、功能要求、技术要求、管理要求、安全要求、运行维护要求。</w:t>
      </w:r>
    </w:p>
    <w:p w14:paraId="760D4D2C">
      <w:pPr>
        <w:ind w:firstLine="640" w:firstLineChars="200"/>
        <w:rPr>
          <w:rFonts w:hint="eastAsia" w:ascii="宋体" w:hAnsi="宋体" w:eastAsia="宋体" w:cs="宋体"/>
          <w:sz w:val="32"/>
          <w:szCs w:val="32"/>
          <w:lang w:val="zh-CN" w:bidi="zh-CN"/>
        </w:rPr>
      </w:pPr>
      <w:r>
        <w:rPr>
          <w:rFonts w:hint="eastAsia"/>
          <w:sz w:val="32"/>
          <w:lang w:val="en-US" w:eastAsia="zh-CN"/>
        </w:rPr>
        <w:t>4.</w:t>
      </w:r>
      <w:r>
        <w:rPr>
          <w:rFonts w:hint="eastAsia"/>
          <w:sz w:val="32"/>
        </w:rPr>
        <w:t>征求意见阶段</w:t>
      </w:r>
      <w:r>
        <w:rPr>
          <w:rFonts w:hint="eastAsia"/>
          <w:sz w:val="32"/>
          <w:lang w:eastAsia="zh-CN"/>
        </w:rPr>
        <w:t>：</w:t>
      </w:r>
      <w:r>
        <w:rPr>
          <w:rFonts w:hint="eastAsia" w:ascii="宋体" w:hAnsi="宋体" w:eastAsia="宋体" w:cs="宋体"/>
          <w:sz w:val="32"/>
          <w:szCs w:val="32"/>
          <w:lang w:val="zh-CN" w:bidi="zh-CN"/>
        </w:rPr>
        <w:t>202</w:t>
      </w:r>
      <w:r>
        <w:rPr>
          <w:rFonts w:hint="eastAsia" w:ascii="宋体" w:hAnsi="宋体" w:eastAsia="宋体" w:cs="宋体"/>
          <w:sz w:val="32"/>
          <w:szCs w:val="32"/>
          <w:lang w:val="zh-CN" w:eastAsia="zh-CN" w:bidi="zh-CN"/>
        </w:rPr>
        <w:t>5</w:t>
      </w:r>
      <w:r>
        <w:rPr>
          <w:rFonts w:hint="eastAsia" w:ascii="宋体" w:hAnsi="宋体" w:eastAsia="宋体" w:cs="宋体"/>
          <w:sz w:val="32"/>
          <w:szCs w:val="32"/>
          <w:lang w:val="zh-CN" w:bidi="zh-CN"/>
        </w:rPr>
        <w:t>年</w:t>
      </w:r>
      <w:r>
        <w:rPr>
          <w:rFonts w:hint="eastAsia" w:ascii="宋体" w:hAnsi="宋体" w:eastAsia="宋体" w:cs="宋体"/>
          <w:sz w:val="32"/>
          <w:szCs w:val="32"/>
          <w:lang w:val="zh-CN" w:eastAsia="zh-CN" w:bidi="zh-CN"/>
        </w:rPr>
        <w:t>3</w:t>
      </w:r>
      <w:r>
        <w:rPr>
          <w:rFonts w:hint="eastAsia" w:ascii="宋体" w:hAnsi="宋体" w:eastAsia="宋体" w:cs="宋体"/>
          <w:sz w:val="32"/>
          <w:szCs w:val="32"/>
          <w:lang w:val="zh-CN" w:bidi="zh-CN"/>
        </w:rPr>
        <w:t>月，依据</w:t>
      </w:r>
      <w:r>
        <w:rPr>
          <w:rFonts w:hint="eastAsia" w:ascii="宋体" w:hAnsi="宋体" w:eastAsia="宋体" w:cs="宋体"/>
          <w:sz w:val="32"/>
          <w:szCs w:val="32"/>
          <w:lang w:val="zh-CN" w:eastAsia="zh-CN" w:bidi="zh-CN"/>
        </w:rPr>
        <w:t>雄安新区管理委员会综合执法局</w:t>
      </w:r>
      <w:r>
        <w:rPr>
          <w:rFonts w:hint="eastAsia" w:ascii="宋体" w:hAnsi="宋体" w:eastAsia="宋体" w:cs="宋体"/>
          <w:sz w:val="32"/>
          <w:szCs w:val="32"/>
          <w:lang w:val="zh-CN" w:bidi="zh-CN"/>
        </w:rPr>
        <w:t>《关于下达</w:t>
      </w:r>
      <w:r>
        <w:rPr>
          <w:rFonts w:hint="eastAsia" w:ascii="宋体" w:hAnsi="宋体" w:eastAsia="宋体" w:cs="宋体"/>
          <w:sz w:val="32"/>
          <w:szCs w:val="32"/>
          <w:lang w:val="zh-CN" w:eastAsia="zh-CN" w:bidi="zh-CN"/>
        </w:rPr>
        <w:t>雄安新区企业跨省市迁移一件事服务规范等23项雄安新区地方标准制定基目计划的通知</w:t>
      </w:r>
      <w:r>
        <w:rPr>
          <w:rFonts w:hint="eastAsia" w:ascii="宋体" w:hAnsi="宋体" w:eastAsia="宋体" w:cs="宋体"/>
          <w:sz w:val="32"/>
          <w:szCs w:val="32"/>
          <w:lang w:val="zh-CN" w:bidi="zh-CN"/>
        </w:rPr>
        <w:t>》 )的通知要求，在</w:t>
      </w:r>
      <w:r>
        <w:rPr>
          <w:rFonts w:hint="eastAsia" w:ascii="宋体" w:hAnsi="宋体" w:eastAsia="宋体" w:cs="宋体"/>
          <w:sz w:val="32"/>
          <w:szCs w:val="32"/>
          <w:lang w:val="zh-CN" w:eastAsia="zh-CN" w:bidi="zh-CN"/>
        </w:rPr>
        <w:t>中国雄安网</w:t>
      </w:r>
      <w:r>
        <w:rPr>
          <w:rFonts w:hint="eastAsia" w:ascii="宋体" w:hAnsi="宋体" w:eastAsia="宋体" w:cs="宋体"/>
          <w:sz w:val="32"/>
          <w:szCs w:val="32"/>
          <w:lang w:val="zh-CN" w:bidi="zh-CN"/>
        </w:rPr>
        <w:t>公共服务平台公开征求意见1个月，进一步完善标准文本，形成标准送审稿。</w:t>
      </w:r>
    </w:p>
    <w:p w14:paraId="452EEA74">
      <w:pPr>
        <w:ind w:firstLine="640" w:firstLineChars="200"/>
        <w:rPr>
          <w:rFonts w:hint="eastAsia" w:eastAsia="宋体"/>
          <w:sz w:val="32"/>
          <w:lang w:val="en-US" w:eastAsia="zh-CN"/>
        </w:rPr>
      </w:pPr>
      <w:r>
        <w:rPr>
          <w:rFonts w:hint="eastAsia" w:ascii="宋体" w:hAnsi="宋体" w:eastAsia="宋体" w:cs="宋体"/>
          <w:sz w:val="32"/>
          <w:szCs w:val="32"/>
          <w:lang w:val="zh-CN" w:bidi="zh-CN"/>
        </w:rPr>
        <w:t>通过征求从事农业投入品生产、</w:t>
      </w:r>
      <w:r>
        <w:rPr>
          <w:rFonts w:hint="eastAsia" w:ascii="宋体" w:hAnsi="宋体" w:eastAsia="宋体" w:cs="宋体"/>
          <w:sz w:val="32"/>
          <w:szCs w:val="32"/>
          <w:lang w:val="zh-CN" w:eastAsia="zh-CN" w:bidi="zh-CN"/>
        </w:rPr>
        <w:t>监管、回收</w:t>
      </w:r>
      <w:r>
        <w:rPr>
          <w:rFonts w:hint="eastAsia" w:ascii="宋体" w:hAnsi="宋体" w:eastAsia="宋体" w:cs="宋体"/>
          <w:sz w:val="32"/>
          <w:szCs w:val="32"/>
          <w:lang w:val="zh-CN" w:bidi="zh-CN"/>
        </w:rPr>
        <w:t>方面的专家和常年从事农业投入品</w:t>
      </w:r>
      <w:r>
        <w:rPr>
          <w:rFonts w:hint="eastAsia" w:ascii="宋体" w:hAnsi="宋体" w:eastAsia="宋体" w:cs="宋体"/>
          <w:sz w:val="32"/>
          <w:szCs w:val="32"/>
          <w:lang w:val="zh-CN" w:eastAsia="zh-CN" w:bidi="zh-CN"/>
        </w:rPr>
        <w:t>经营流通农资企业</w:t>
      </w:r>
      <w:r>
        <w:rPr>
          <w:rFonts w:hint="eastAsia" w:ascii="宋体" w:hAnsi="宋体" w:eastAsia="宋体" w:cs="宋体"/>
          <w:sz w:val="32"/>
          <w:szCs w:val="32"/>
          <w:lang w:val="zh-CN" w:bidi="zh-CN"/>
        </w:rPr>
        <w:t>的农民专家的意见，提出了具有可操作性的建设意见，形成</w:t>
      </w:r>
      <w:r>
        <w:rPr>
          <w:rFonts w:hint="eastAsia" w:ascii="宋体" w:hAnsi="宋体" w:eastAsia="宋体" w:cs="宋体"/>
          <w:sz w:val="32"/>
          <w:szCs w:val="32"/>
          <w:lang w:val="zh-CN" w:eastAsia="zh-CN" w:bidi="zh-CN"/>
        </w:rPr>
        <w:t>规范</w:t>
      </w:r>
      <w:r>
        <w:rPr>
          <w:rFonts w:hint="eastAsia" w:ascii="宋体" w:hAnsi="宋体" w:eastAsia="宋体" w:cs="宋体"/>
          <w:sz w:val="32"/>
          <w:szCs w:val="32"/>
          <w:lang w:val="zh-CN" w:bidi="zh-CN"/>
        </w:rPr>
        <w:t>征求意见稿，进一步完善了规</w:t>
      </w:r>
      <w:r>
        <w:rPr>
          <w:rFonts w:hint="eastAsia" w:ascii="宋体" w:hAnsi="宋体" w:eastAsia="宋体" w:cs="宋体"/>
          <w:sz w:val="32"/>
          <w:szCs w:val="32"/>
          <w:lang w:val="zh-CN" w:eastAsia="zh-CN" w:bidi="zh-CN"/>
        </w:rPr>
        <w:t>范</w:t>
      </w:r>
      <w:r>
        <w:rPr>
          <w:rFonts w:hint="eastAsia" w:ascii="宋体" w:hAnsi="宋体" w:eastAsia="宋体" w:cs="宋体"/>
          <w:sz w:val="32"/>
          <w:szCs w:val="32"/>
          <w:lang w:val="zh-CN" w:bidi="zh-CN"/>
        </w:rPr>
        <w:t>的编制体系和技术内容。</w:t>
      </w:r>
    </w:p>
    <w:p w14:paraId="4A376C3A">
      <w:pPr>
        <w:numPr>
          <w:ilvl w:val="0"/>
          <w:numId w:val="0"/>
        </w:numPr>
        <w:spacing w:line="580" w:lineRule="exact"/>
        <w:ind w:firstLine="640"/>
        <w:rPr>
          <w:rFonts w:hint="eastAsia"/>
          <w:sz w:val="32"/>
        </w:rPr>
      </w:pPr>
      <w:r>
        <w:rPr>
          <w:rFonts w:hint="eastAsia"/>
          <w:sz w:val="32"/>
          <w:lang w:val="en-US" w:eastAsia="zh-CN"/>
        </w:rPr>
        <w:t>5.</w:t>
      </w:r>
      <w:r>
        <w:rPr>
          <w:rFonts w:hint="eastAsia"/>
          <w:sz w:val="32"/>
        </w:rPr>
        <w:t>审查阶段</w:t>
      </w:r>
      <w:r>
        <w:rPr>
          <w:rFonts w:hint="eastAsia"/>
          <w:sz w:val="32"/>
          <w:lang w:eastAsia="zh-CN"/>
        </w:rPr>
        <w:t>：审查阶段通过标准合规性校验、试点效能验证、跨部门协作审查及公众意见整合，确保技术规范兼具政策适配性、技术先进性和实践可行性，为后续规模化应用奠定基础‌</w:t>
      </w:r>
    </w:p>
    <w:p w14:paraId="437EC160">
      <w:pPr>
        <w:numPr>
          <w:ilvl w:val="0"/>
          <w:numId w:val="3"/>
        </w:numPr>
        <w:spacing w:line="580" w:lineRule="exact"/>
        <w:ind w:firstLine="640" w:firstLineChars="200"/>
        <w:rPr>
          <w:rFonts w:hint="eastAsia" w:ascii="黑体" w:hAnsi="黑体" w:eastAsia="黑体"/>
          <w:sz w:val="32"/>
        </w:rPr>
      </w:pPr>
      <w:r>
        <w:rPr>
          <w:rFonts w:hint="eastAsia" w:ascii="黑体" w:hAnsi="黑体" w:eastAsia="黑体"/>
          <w:sz w:val="32"/>
        </w:rPr>
        <w:t>制（修）订标准的原则和依据，与现行法律、法规、标准的关系</w:t>
      </w:r>
    </w:p>
    <w:p w14:paraId="5B801C5C">
      <w:pPr>
        <w:spacing w:line="580" w:lineRule="exact"/>
        <w:ind w:firstLine="640" w:firstLineChars="200"/>
        <w:rPr>
          <w:rFonts w:hint="eastAsia" w:ascii="黑体" w:hAnsi="黑体" w:eastAsia="黑体"/>
          <w:sz w:val="32"/>
        </w:rPr>
      </w:pPr>
      <w:r>
        <w:rPr>
          <w:rFonts w:hint="eastAsia"/>
          <w:sz w:val="32"/>
          <w:lang w:val="en-US" w:eastAsia="zh-CN"/>
        </w:rPr>
        <w:t>1.</w:t>
      </w:r>
      <w:r>
        <w:rPr>
          <w:rFonts w:hint="eastAsia"/>
          <w:sz w:val="32"/>
        </w:rPr>
        <w:t>基本原则：本标准按照《GB/T 1.1—2020标准化工作导则 第1部分：标准化文件的结构和起草规则》和《GB/T 20001.6—2017标准编写规则 第6部分：规程标准》中规定的起草原则进行编写。遵循可操作性</w:t>
      </w:r>
      <w:r>
        <w:rPr>
          <w:rFonts w:hint="eastAsia"/>
          <w:sz w:val="32"/>
          <w:lang w:eastAsia="zh-CN"/>
        </w:rPr>
        <w:t>、</w:t>
      </w:r>
      <w:r>
        <w:rPr>
          <w:rFonts w:hint="eastAsia"/>
          <w:sz w:val="32"/>
        </w:rPr>
        <w:t>可追溯性的原则。</w:t>
      </w:r>
    </w:p>
    <w:p w14:paraId="0BB98D3F">
      <w:pPr>
        <w:spacing w:line="580" w:lineRule="exact"/>
        <w:ind w:firstLine="640" w:firstLineChars="200"/>
        <w:rPr>
          <w:rFonts w:hint="eastAsia"/>
          <w:sz w:val="32"/>
        </w:rPr>
      </w:pPr>
      <w:r>
        <w:rPr>
          <w:rFonts w:hint="eastAsia"/>
          <w:sz w:val="32"/>
          <w:lang w:val="en-US" w:eastAsia="zh-CN"/>
        </w:rPr>
        <w:t>2.</w:t>
      </w:r>
      <w:r>
        <w:rPr>
          <w:rFonts w:hint="eastAsia"/>
          <w:sz w:val="32"/>
        </w:rPr>
        <w:t>指导思想：以</w:t>
      </w:r>
      <w:r>
        <w:rPr>
          <w:rFonts w:hint="eastAsia"/>
          <w:sz w:val="32"/>
          <w:lang w:eastAsia="zh-CN"/>
        </w:rPr>
        <w:t>生态安全为</w:t>
      </w:r>
      <w:r>
        <w:rPr>
          <w:rFonts w:hint="eastAsia"/>
          <w:sz w:val="32"/>
        </w:rPr>
        <w:t>目的，积极推广</w:t>
      </w:r>
      <w:bookmarkStart w:id="4" w:name="OLE_LINK7"/>
      <w:r>
        <w:rPr>
          <w:rFonts w:hint="eastAsia"/>
          <w:sz w:val="32"/>
        </w:rPr>
        <w:t>农业投入品经营流通与溯源回收监管一体化系统</w:t>
      </w:r>
      <w:bookmarkEnd w:id="4"/>
      <w:r>
        <w:rPr>
          <w:rFonts w:hint="eastAsia"/>
          <w:sz w:val="32"/>
        </w:rPr>
        <w:t>技术规范，保障</w:t>
      </w:r>
      <w:r>
        <w:rPr>
          <w:rFonts w:hint="eastAsia"/>
          <w:sz w:val="32"/>
          <w:lang w:eastAsia="zh-CN"/>
        </w:rPr>
        <w:t>农业投入品</w:t>
      </w:r>
      <w:r>
        <w:rPr>
          <w:rFonts w:hint="eastAsia"/>
          <w:sz w:val="32"/>
        </w:rPr>
        <w:t>品质，杜绝假冒伪劣现象，提升产业效益，保证</w:t>
      </w:r>
      <w:r>
        <w:rPr>
          <w:rFonts w:hint="eastAsia"/>
          <w:sz w:val="32"/>
          <w:lang w:eastAsia="zh-CN"/>
        </w:rPr>
        <w:t>农业投入品</w:t>
      </w:r>
      <w:r>
        <w:rPr>
          <w:rFonts w:hint="eastAsia"/>
          <w:sz w:val="32"/>
        </w:rPr>
        <w:t>质量“安全、有效、稳定、可控”。</w:t>
      </w:r>
    </w:p>
    <w:p w14:paraId="73CFA1DE">
      <w:pPr>
        <w:spacing w:line="580" w:lineRule="exact"/>
        <w:ind w:firstLine="640" w:firstLineChars="200"/>
        <w:rPr>
          <w:rFonts w:hint="eastAsia"/>
          <w:sz w:val="32"/>
        </w:rPr>
      </w:pPr>
      <w:r>
        <w:rPr>
          <w:rFonts w:hint="eastAsia"/>
          <w:sz w:val="32"/>
          <w:lang w:val="en-US" w:eastAsia="zh-CN"/>
        </w:rPr>
        <w:t>3.</w:t>
      </w:r>
      <w:r>
        <w:rPr>
          <w:rFonts w:hint="eastAsia"/>
          <w:sz w:val="32"/>
        </w:rPr>
        <w:t>本建设规范的制定是对当前现代农业发展中四大类农业投入品（种子、农膜、农药、化肥）的闭环经营流通监管建设的标准化规定，也是对现行的《农药管理条例》中农药经营主体标准化、规范化、信息化建设的补充。</w:t>
      </w:r>
    </w:p>
    <w:p w14:paraId="322622FE">
      <w:pPr>
        <w:spacing w:line="580" w:lineRule="exact"/>
        <w:ind w:firstLine="640" w:firstLineChars="200"/>
        <w:rPr>
          <w:rFonts w:ascii="黑体" w:hAnsi="黑体" w:eastAsia="黑体"/>
          <w:sz w:val="32"/>
        </w:rPr>
      </w:pPr>
      <w:r>
        <w:rPr>
          <w:rFonts w:hint="eastAsia" w:ascii="黑体" w:hAnsi="黑体" w:eastAsia="黑体"/>
          <w:sz w:val="32"/>
        </w:rPr>
        <w:t>五、主要技术内容说明</w:t>
      </w:r>
    </w:p>
    <w:p w14:paraId="0BDB6BC4">
      <w:pPr>
        <w:spacing w:line="580" w:lineRule="exact"/>
        <w:ind w:firstLine="640" w:firstLineChars="200"/>
        <w:rPr>
          <w:rFonts w:hint="eastAsia"/>
          <w:sz w:val="32"/>
        </w:rPr>
      </w:pPr>
      <w:r>
        <w:rPr>
          <w:rFonts w:hint="eastAsia"/>
          <w:sz w:val="32"/>
        </w:rPr>
        <w:t>包括技术指标、参数、公式、性能要求、试验方法、检验规则等的依据（包括试验、统计数据）；地方标准修订项目还应当列出和原标准主要差异情况。</w:t>
      </w:r>
    </w:p>
    <w:p w14:paraId="6C32929B">
      <w:pPr>
        <w:spacing w:line="580" w:lineRule="exact"/>
        <w:ind w:firstLine="640" w:firstLineChars="200"/>
        <w:rPr>
          <w:rFonts w:hint="eastAsia"/>
          <w:sz w:val="32"/>
        </w:rPr>
      </w:pPr>
      <w:r>
        <w:rPr>
          <w:rFonts w:hint="eastAsia"/>
          <w:sz w:val="32"/>
        </w:rPr>
        <w:t>本项目规定了农业投入品（种子、化肥、农药、农膜等）的监管端用户、农资经营端用户、农户购买端的规范和行为，适用于农业生产过程中不同农业投入品全流程规范化管理与追溯。针对农业投入品（种子、化肥、农药、农膜等）的监管端用户、农资经营端用户、农户购买端的规范和行为，完成以下主要技术内容：</w:t>
      </w:r>
    </w:p>
    <w:p w14:paraId="15DCD409">
      <w:pPr>
        <w:spacing w:line="580" w:lineRule="exact"/>
        <w:ind w:firstLine="640" w:firstLineChars="200"/>
        <w:rPr>
          <w:rFonts w:hint="eastAsia"/>
          <w:sz w:val="32"/>
        </w:rPr>
      </w:pPr>
      <w:r>
        <w:rPr>
          <w:rFonts w:hint="eastAsia"/>
          <w:sz w:val="32"/>
          <w:lang w:val="en-US" w:eastAsia="zh-CN"/>
        </w:rPr>
        <w:t>1.</w:t>
      </w:r>
      <w:r>
        <w:rPr>
          <w:rFonts w:hint="eastAsia"/>
          <w:sz w:val="32"/>
        </w:rPr>
        <w:t xml:space="preserve">农业投入品的规范化管理 </w:t>
      </w:r>
    </w:p>
    <w:p w14:paraId="2288935E">
      <w:pPr>
        <w:spacing w:line="580" w:lineRule="exact"/>
        <w:ind w:firstLine="640" w:firstLineChars="200"/>
        <w:rPr>
          <w:rFonts w:hint="eastAsia"/>
          <w:sz w:val="32"/>
        </w:rPr>
      </w:pPr>
      <w:r>
        <w:rPr>
          <w:rFonts w:hint="eastAsia"/>
          <w:sz w:val="32"/>
        </w:rPr>
        <w:t>种子、化肥、农药、农膜等源头生产厂家登记证号唯一，产品合格，在进货渠道上与中国农药网及满足相关投入品生产厂商的企业数据库有效对接，保证产品质量，源头可追溯。</w:t>
      </w:r>
    </w:p>
    <w:p w14:paraId="63B06F77">
      <w:pPr>
        <w:spacing w:line="580" w:lineRule="exact"/>
        <w:ind w:firstLine="640" w:firstLineChars="200"/>
        <w:rPr>
          <w:rFonts w:hint="eastAsia"/>
          <w:sz w:val="32"/>
        </w:rPr>
      </w:pPr>
      <w:r>
        <w:rPr>
          <w:rFonts w:hint="eastAsia"/>
          <w:sz w:val="32"/>
          <w:lang w:val="en-US" w:eastAsia="zh-CN"/>
        </w:rPr>
        <w:t>2.</w:t>
      </w:r>
      <w:r>
        <w:rPr>
          <w:rFonts w:hint="eastAsia"/>
          <w:sz w:val="32"/>
        </w:rPr>
        <w:t xml:space="preserve"> 经营端的销售实名监管 </w:t>
      </w:r>
    </w:p>
    <w:p w14:paraId="47BABCCA">
      <w:pPr>
        <w:spacing w:line="580" w:lineRule="exact"/>
        <w:ind w:firstLine="640" w:firstLineChars="200"/>
        <w:rPr>
          <w:rFonts w:hint="eastAsia"/>
          <w:sz w:val="32"/>
        </w:rPr>
      </w:pPr>
      <w:r>
        <w:rPr>
          <w:rFonts w:hint="eastAsia"/>
          <w:sz w:val="32"/>
        </w:rPr>
        <w:t>实名制监管的核心环节是经营端，严格执行</w:t>
      </w:r>
      <w:r>
        <w:rPr>
          <w:rFonts w:hint="eastAsia"/>
          <w:sz w:val="32"/>
          <w:lang w:eastAsia="zh-CN"/>
        </w:rPr>
        <w:t>经营端用户在政府相关部门的备案登记与用户审核确认制，</w:t>
      </w:r>
      <w:r>
        <w:rPr>
          <w:rFonts w:hint="eastAsia"/>
          <w:sz w:val="32"/>
        </w:rPr>
        <w:t>购买者的实名登记程序，完备的进销存管理，满足农资经营户日常业务管理，满足经营户业务经营规范化、操作简单化标准，一方面购买者在自己的移动端用小程序注册备案，另一方面在经营端购买时刷脸认证，或身份证读取等实施实名身份信息入库。另一方面对已售出的种子、化肥、农药、农膜等包装物加强回收的备案实名管理，实现购买者人、证、商品三</w:t>
      </w:r>
      <w:r>
        <w:rPr>
          <w:rFonts w:hint="eastAsia"/>
          <w:sz w:val="32"/>
          <w:lang w:eastAsia="zh-CN"/>
        </w:rPr>
        <w:t>端</w:t>
      </w:r>
      <w:r>
        <w:rPr>
          <w:rFonts w:hint="eastAsia"/>
          <w:sz w:val="32"/>
        </w:rPr>
        <w:t>合一，满足销售流通环节全程实名监控。</w:t>
      </w:r>
    </w:p>
    <w:p w14:paraId="67F6C5C1">
      <w:pPr>
        <w:spacing w:line="580" w:lineRule="exact"/>
        <w:ind w:firstLine="640" w:firstLineChars="200"/>
        <w:rPr>
          <w:rFonts w:hint="eastAsia"/>
          <w:sz w:val="32"/>
        </w:rPr>
      </w:pPr>
      <w:r>
        <w:rPr>
          <w:rFonts w:hint="eastAsia"/>
          <w:sz w:val="32"/>
          <w:lang w:val="en-US" w:eastAsia="zh-CN"/>
        </w:rPr>
        <w:t>3.</w:t>
      </w:r>
      <w:r>
        <w:rPr>
          <w:rFonts w:hint="eastAsia"/>
          <w:sz w:val="32"/>
        </w:rPr>
        <w:t>农业投入品回收实名监管</w:t>
      </w:r>
    </w:p>
    <w:p w14:paraId="3BF4C619">
      <w:pPr>
        <w:spacing w:line="580" w:lineRule="exact"/>
        <w:ind w:firstLine="640" w:firstLineChars="200"/>
        <w:rPr>
          <w:rFonts w:hint="eastAsia"/>
          <w:sz w:val="32"/>
        </w:rPr>
      </w:pPr>
      <w:r>
        <w:rPr>
          <w:rFonts w:hint="eastAsia"/>
          <w:sz w:val="32"/>
        </w:rPr>
        <w:t>种子、化肥、农药、农膜等包装物回收者工商注册实名制，送还时实名制登记送还者信息，满足送还者、所送还包装物真正实名制监管标准。同时，在送否包装物时进行积分同步兑换计算，制定积分兑换规则。</w:t>
      </w:r>
    </w:p>
    <w:p w14:paraId="46D6AB79">
      <w:pPr>
        <w:spacing w:line="580" w:lineRule="exact"/>
        <w:ind w:firstLine="640" w:firstLineChars="200"/>
        <w:rPr>
          <w:rFonts w:hint="eastAsia"/>
          <w:sz w:val="32"/>
        </w:rPr>
      </w:pPr>
      <w:r>
        <w:rPr>
          <w:rFonts w:hint="eastAsia"/>
          <w:sz w:val="32"/>
          <w:lang w:val="en-US" w:eastAsia="zh-CN"/>
        </w:rPr>
        <w:t>4.</w:t>
      </w:r>
      <w:r>
        <w:rPr>
          <w:rFonts w:hint="eastAsia"/>
          <w:sz w:val="32"/>
        </w:rPr>
        <w:t>政府监管端实名监管</w:t>
      </w:r>
    </w:p>
    <w:p w14:paraId="56444F2C">
      <w:pPr>
        <w:spacing w:line="580" w:lineRule="exact"/>
        <w:ind w:firstLine="640" w:firstLineChars="200"/>
        <w:rPr>
          <w:rFonts w:hint="eastAsia"/>
          <w:sz w:val="32"/>
        </w:rPr>
      </w:pPr>
      <w:r>
        <w:rPr>
          <w:rFonts w:hint="eastAsia"/>
          <w:sz w:val="32"/>
        </w:rPr>
        <w:t>政府部门监管端用户实名制注册，满足监管环节实名制标准，政府部门监管端统一设置市区县不同行政区域级别各自的包装物回收管理制度，满足分权管理标准，智能汇总分析数据使之可视化，满足分析智能化、监管实时化、数据可视化标准。</w:t>
      </w:r>
    </w:p>
    <w:p w14:paraId="6E7AC016">
      <w:pPr>
        <w:spacing w:line="580" w:lineRule="exact"/>
        <w:ind w:firstLine="640" w:firstLineChars="200"/>
        <w:rPr>
          <w:rFonts w:hint="eastAsia"/>
          <w:sz w:val="32"/>
        </w:rPr>
      </w:pPr>
      <w:r>
        <w:rPr>
          <w:rFonts w:hint="eastAsia"/>
          <w:sz w:val="32"/>
          <w:lang w:val="en-US" w:eastAsia="zh-CN"/>
        </w:rPr>
        <w:t>5.</w:t>
      </w:r>
      <w:r>
        <w:rPr>
          <w:rFonts w:hint="eastAsia"/>
          <w:sz w:val="32"/>
        </w:rPr>
        <w:t>购销实名制系统运行环境</w:t>
      </w:r>
    </w:p>
    <w:p w14:paraId="2BFE568C">
      <w:pPr>
        <w:spacing w:line="580" w:lineRule="exact"/>
        <w:ind w:firstLine="640" w:firstLineChars="200"/>
        <w:rPr>
          <w:rFonts w:hint="eastAsia"/>
          <w:sz w:val="32"/>
        </w:rPr>
      </w:pPr>
      <w:r>
        <w:rPr>
          <w:rFonts w:hint="eastAsia"/>
          <w:sz w:val="32"/>
        </w:rPr>
        <w:t>满足系统稳定运行、低成本、数据安全的软硬一体化基本运</w:t>
      </w:r>
      <w:r>
        <w:rPr>
          <w:rFonts w:hint="eastAsia"/>
          <w:sz w:val="32"/>
          <w:lang w:val="en-US" w:eastAsia="zh-CN"/>
        </w:rPr>
        <w:t>行</w:t>
      </w:r>
      <w:r>
        <w:rPr>
          <w:rFonts w:hint="eastAsia"/>
          <w:sz w:val="32"/>
        </w:rPr>
        <w:t>环境和通用技术要求，满足多用户角色同时使用的数据实时互通的通用标准。</w:t>
      </w:r>
    </w:p>
    <w:p w14:paraId="4AD6CE5A">
      <w:pPr>
        <w:spacing w:line="580" w:lineRule="exact"/>
        <w:ind w:firstLine="640" w:firstLineChars="200"/>
        <w:rPr>
          <w:rFonts w:ascii="黑体" w:hAnsi="黑体" w:eastAsia="黑体"/>
          <w:sz w:val="32"/>
        </w:rPr>
      </w:pPr>
      <w:r>
        <w:rPr>
          <w:rFonts w:hint="eastAsia" w:ascii="黑体" w:hAnsi="黑体" w:eastAsia="黑体"/>
          <w:sz w:val="32"/>
        </w:rPr>
        <w:t>六、采标情况</w:t>
      </w:r>
    </w:p>
    <w:p w14:paraId="4BE07FEC">
      <w:pPr>
        <w:spacing w:line="580" w:lineRule="exact"/>
        <w:ind w:firstLine="640" w:firstLineChars="200"/>
        <w:rPr>
          <w:rFonts w:hint="eastAsia"/>
          <w:sz w:val="32"/>
        </w:rPr>
      </w:pPr>
      <w:r>
        <w:rPr>
          <w:rFonts w:hint="eastAsia"/>
          <w:sz w:val="32"/>
        </w:rPr>
        <w:t>采用国际标准或国外先进标准的，说明采标程度，以及与国际、国外同类标准水平的对比情况。</w:t>
      </w:r>
    </w:p>
    <w:p w14:paraId="6146050E">
      <w:pPr>
        <w:spacing w:line="580" w:lineRule="exact"/>
        <w:ind w:firstLine="640" w:firstLineChars="200"/>
        <w:rPr>
          <w:rFonts w:hint="eastAsia"/>
          <w:sz w:val="32"/>
        </w:rPr>
      </w:pPr>
      <w:r>
        <w:rPr>
          <w:rFonts w:hint="eastAsia"/>
          <w:sz w:val="32"/>
        </w:rPr>
        <w:t>1.国外标准情况</w:t>
      </w:r>
    </w:p>
    <w:p w14:paraId="25D62F59">
      <w:pPr>
        <w:spacing w:line="580" w:lineRule="exact"/>
        <w:ind w:firstLine="640" w:firstLineChars="200"/>
        <w:rPr>
          <w:rFonts w:hint="eastAsia"/>
          <w:sz w:val="32"/>
        </w:rPr>
      </w:pPr>
      <w:r>
        <w:rPr>
          <w:rFonts w:hint="eastAsia"/>
          <w:sz w:val="32"/>
        </w:rPr>
        <w:t>种子、化肥、农药、农膜等农业投入品不仅是重要的农林业生产物资，也是农产品质量安全和环境污染的主要风险因子，因此，各国对农药都实现严格的管理。农业投入品管理涉及生产、经营、储运、广告、使用、国际贸易和废弃物处置等领域和行为，由于各国农业投入品生产和使用、管理历史、技术和资源等的差异，所采用的管理制度也有所不同。比如，1905年法国颁布了《农药管理法》，成为全球第一个对农药实现法制管理的国家。2013年国际粮农组织和世界卫生组织联合颁布了《国际农药管理行为守则》，要求对农药实现全生命周期管理，以避免或减少农药对人、动物和环境的各种不利影响。迄今为止，欧美发达国家农药管理历史长，法规健全，制度全面，方法有效，体系完整，逐步形成了符合市场经济体系的现代农药管理体制，而巴西、阿根廷和泰国等众多发展中国家对农药的管理亦效仿欧美发达国家而建立了较为全面的管理制度。</w:t>
      </w:r>
    </w:p>
    <w:p w14:paraId="0E8F2FCF">
      <w:pPr>
        <w:spacing w:line="580" w:lineRule="exact"/>
        <w:ind w:firstLine="640" w:firstLineChars="200"/>
        <w:rPr>
          <w:rFonts w:hint="eastAsia"/>
          <w:sz w:val="32"/>
        </w:rPr>
      </w:pPr>
      <w:r>
        <w:rPr>
          <w:rFonts w:hint="eastAsia"/>
          <w:sz w:val="32"/>
        </w:rPr>
        <w:t>2.国内标准情况</w:t>
      </w:r>
    </w:p>
    <w:p w14:paraId="4AF0B3C7">
      <w:pPr>
        <w:spacing w:line="580" w:lineRule="exact"/>
        <w:ind w:firstLine="640" w:firstLineChars="200"/>
        <w:rPr>
          <w:rFonts w:hint="eastAsia"/>
          <w:sz w:val="32"/>
        </w:rPr>
      </w:pPr>
      <w:r>
        <w:rPr>
          <w:rFonts w:hint="eastAsia"/>
          <w:sz w:val="32"/>
        </w:rPr>
        <w:t xml:space="preserve">我国通过建立多项农业投入品管理措施已连续多年实现了农药、化肥等使用量的负增长，就区域而言，在农业投入品监控管理方面却差异较大。此外，中国的农药、化肥流通的监管存在着重许可、轻监管，重管理、轻服务，重处罚、轻规范，对许可审批各部门抓得紧，但对于事后监管、使用指导和风险防控等重视不够，使农药、化肥等管理断层、脱节，没有形成完整的管理链条，不能有效杜绝各种违法行为和安全问题，总体上管理制度相对健全，但不完整，对各种农业投入品的潜在风险和违法行为还不能进行全程管理；缺乏全流程规范体系建设，虽然各省也都针对此问题出台了一系列农业投入品购销实名制监管的举措，但均处于发展建设阶段，还没有实现系统有效的全程管理，从而控制违法生产，避免产生各种安全风险。 </w:t>
      </w:r>
    </w:p>
    <w:p w14:paraId="267819A5">
      <w:pPr>
        <w:spacing w:line="580" w:lineRule="exact"/>
        <w:ind w:firstLine="640" w:firstLineChars="200"/>
        <w:rPr>
          <w:rFonts w:hint="eastAsia"/>
          <w:sz w:val="32"/>
        </w:rPr>
      </w:pPr>
      <w:r>
        <w:rPr>
          <w:rFonts w:hint="eastAsia"/>
          <w:sz w:val="32"/>
        </w:rPr>
        <w:t>3.存在问题</w:t>
      </w:r>
    </w:p>
    <w:p w14:paraId="289454C2">
      <w:pPr>
        <w:spacing w:line="580" w:lineRule="exact"/>
        <w:ind w:firstLine="640" w:firstLineChars="200"/>
        <w:rPr>
          <w:rFonts w:hint="eastAsia"/>
          <w:sz w:val="32"/>
        </w:rPr>
      </w:pPr>
      <w:r>
        <w:rPr>
          <w:rFonts w:hint="eastAsia"/>
          <w:sz w:val="32"/>
        </w:rPr>
        <w:t>一是农业投入品供销实名制体系还不完善。大部分标准主要集中在相关茶农的术语、符号与标志、农业机械供应服务等环节，而且比较零散，还不能覆盖农业投入品供应服务的整个环节。二是农业投入品供销实名制系统覆盖面不全。农业大户、农业专业化合作社等快速发展，对农药、化肥等供应服务的需求也呈现出多元化趋势。三是农业投入品供销体系与现代农药供应服务不匹配。随着信息化的快速发展，新区的农药、化肥等供应主体也在电商网络销售方面取得了一定的成绩，但是涉及电商网络平台的农药供应标准还比较缺乏。</w:t>
      </w:r>
    </w:p>
    <w:p w14:paraId="42F2DDCD">
      <w:pPr>
        <w:spacing w:line="580" w:lineRule="exact"/>
        <w:ind w:firstLine="640" w:firstLineChars="200"/>
        <w:rPr>
          <w:rFonts w:ascii="黑体" w:hAnsi="黑体" w:eastAsia="黑体"/>
          <w:sz w:val="32"/>
        </w:rPr>
      </w:pPr>
      <w:r>
        <w:rPr>
          <w:rFonts w:hint="eastAsia" w:ascii="黑体" w:hAnsi="黑体" w:eastAsia="黑体"/>
          <w:sz w:val="32"/>
          <w:lang w:val="en-US" w:eastAsia="zh-CN"/>
        </w:rPr>
        <w:t>七</w:t>
      </w:r>
      <w:r>
        <w:rPr>
          <w:rFonts w:hint="eastAsia" w:ascii="黑体" w:hAnsi="黑体" w:eastAsia="黑体"/>
          <w:sz w:val="32"/>
        </w:rPr>
        <w:t>、重大意见分歧的处理经过、依据和结果</w:t>
      </w:r>
    </w:p>
    <w:p w14:paraId="4390EB83">
      <w:pPr>
        <w:spacing w:line="580" w:lineRule="exact"/>
        <w:ind w:firstLine="640" w:firstLineChars="200"/>
        <w:rPr>
          <w:rFonts w:hint="eastAsia"/>
          <w:sz w:val="32"/>
        </w:rPr>
      </w:pPr>
      <w:r>
        <w:rPr>
          <w:rFonts w:hint="eastAsia"/>
          <w:sz w:val="32"/>
        </w:rPr>
        <w:t>在标准制定过程中，经常与相关</w:t>
      </w:r>
      <w:r>
        <w:rPr>
          <w:rFonts w:hint="eastAsia"/>
          <w:sz w:val="32"/>
          <w:lang w:eastAsia="zh-CN"/>
        </w:rPr>
        <w:t>农业投入品管控</w:t>
      </w:r>
      <w:r>
        <w:rPr>
          <w:rFonts w:hint="eastAsia"/>
          <w:sz w:val="32"/>
        </w:rPr>
        <w:t>专家进行沟通，标准文本在征求意见过程中，共发出《</w:t>
      </w:r>
      <w:r>
        <w:rPr>
          <w:rFonts w:hint="eastAsia"/>
          <w:sz w:val="32"/>
          <w:lang w:eastAsia="zh-CN"/>
        </w:rPr>
        <w:t>雄安新区</w:t>
      </w:r>
      <w:r>
        <w:rPr>
          <w:rFonts w:hint="eastAsia"/>
          <w:sz w:val="32"/>
        </w:rPr>
        <w:t>地方标准（征求意见稿）反馈意见表》20份，反馈修改建议6份，没有重大分歧意见。</w:t>
      </w:r>
      <w:r>
        <w:rPr>
          <w:rFonts w:hint="eastAsia"/>
          <w:sz w:val="32"/>
          <w:lang w:eastAsia="zh-CN"/>
        </w:rPr>
        <w:t>中国雄安网</w:t>
      </w:r>
      <w:r>
        <w:rPr>
          <w:rFonts w:hint="eastAsia"/>
          <w:sz w:val="32"/>
        </w:rPr>
        <w:t>信息公共服务平台公示1个月，未收到反馈意见。</w:t>
      </w:r>
    </w:p>
    <w:p w14:paraId="532267A6">
      <w:pPr>
        <w:spacing w:line="580" w:lineRule="exact"/>
        <w:ind w:firstLine="640" w:firstLineChars="200"/>
        <w:rPr>
          <w:rFonts w:ascii="黑体" w:hAnsi="黑体" w:eastAsia="黑体"/>
          <w:sz w:val="32"/>
        </w:rPr>
      </w:pPr>
      <w:r>
        <w:rPr>
          <w:rFonts w:hint="eastAsia" w:ascii="黑体" w:hAnsi="黑体" w:eastAsia="黑体"/>
          <w:sz w:val="32"/>
          <w:lang w:val="en-US" w:eastAsia="zh-CN"/>
        </w:rPr>
        <w:t>八</w:t>
      </w:r>
      <w:r>
        <w:rPr>
          <w:rFonts w:hint="eastAsia" w:ascii="黑体" w:hAnsi="黑体" w:eastAsia="黑体"/>
          <w:sz w:val="32"/>
        </w:rPr>
        <w:t>、标准性质的建议说明</w:t>
      </w:r>
    </w:p>
    <w:p w14:paraId="52B94D40">
      <w:pPr>
        <w:spacing w:line="580" w:lineRule="exact"/>
        <w:ind w:firstLine="640" w:firstLineChars="200"/>
        <w:rPr>
          <w:rFonts w:hint="eastAsia"/>
          <w:sz w:val="32"/>
          <w:lang w:val="en-US" w:eastAsia="zh-CN"/>
        </w:rPr>
      </w:pPr>
      <w:bookmarkStart w:id="5" w:name="OLE_LINK2"/>
      <w:r>
        <w:rPr>
          <w:rFonts w:hint="eastAsia"/>
          <w:sz w:val="32"/>
        </w:rPr>
        <w:t>建议审批发布为</w:t>
      </w:r>
      <w:r>
        <w:rPr>
          <w:rFonts w:hint="eastAsia"/>
          <w:sz w:val="32"/>
          <w:lang w:eastAsia="zh-CN"/>
        </w:rPr>
        <w:t>推荐</w:t>
      </w:r>
      <w:r>
        <w:rPr>
          <w:rFonts w:hint="eastAsia"/>
          <w:sz w:val="32"/>
        </w:rPr>
        <w:t>性标准</w:t>
      </w:r>
      <w:r>
        <w:rPr>
          <w:rFonts w:hint="eastAsia"/>
          <w:sz w:val="32"/>
          <w:lang w:eastAsia="zh-CN"/>
        </w:rPr>
        <w:t>，</w:t>
      </w:r>
      <w:r>
        <w:rPr>
          <w:rFonts w:hint="eastAsia"/>
          <w:sz w:val="32"/>
        </w:rPr>
        <w:t>理由</w:t>
      </w:r>
      <w:r>
        <w:rPr>
          <w:rFonts w:hint="eastAsia"/>
          <w:sz w:val="32"/>
          <w:lang w:eastAsia="zh-CN"/>
        </w:rPr>
        <w:t>如下：</w:t>
      </w:r>
      <w:bookmarkEnd w:id="5"/>
    </w:p>
    <w:p w14:paraId="0E6C5CF8">
      <w:pPr>
        <w:spacing w:line="580" w:lineRule="exact"/>
        <w:ind w:firstLine="640" w:firstLineChars="200"/>
        <w:rPr>
          <w:rFonts w:hint="eastAsia"/>
          <w:sz w:val="32"/>
        </w:rPr>
      </w:pPr>
      <w:r>
        <w:rPr>
          <w:rFonts w:hint="eastAsia"/>
          <w:sz w:val="32"/>
        </w:rPr>
        <w:t>本标准编制填补了</w:t>
      </w:r>
      <w:r>
        <w:rPr>
          <w:rFonts w:hint="eastAsia"/>
          <w:sz w:val="32"/>
          <w:lang w:eastAsia="zh-CN"/>
        </w:rPr>
        <w:t>雄安新区</w:t>
      </w:r>
      <w:r>
        <w:rPr>
          <w:rFonts w:hint="eastAsia"/>
          <w:sz w:val="32"/>
        </w:rPr>
        <w:t>农业投入品经营流通与溯源回收监管一体化系统</w:t>
      </w:r>
      <w:r>
        <w:rPr>
          <w:rFonts w:hint="eastAsia"/>
          <w:sz w:val="32"/>
          <w:lang w:eastAsia="zh-CN"/>
        </w:rPr>
        <w:t>技术规范</w:t>
      </w:r>
      <w:r>
        <w:rPr>
          <w:rFonts w:hint="eastAsia"/>
          <w:sz w:val="32"/>
        </w:rPr>
        <w:t>的空白，对推进</w:t>
      </w:r>
      <w:r>
        <w:rPr>
          <w:rFonts w:hint="eastAsia"/>
          <w:sz w:val="32"/>
          <w:lang w:eastAsia="zh-CN"/>
        </w:rPr>
        <w:t>农业投入品监管、流通、溯源、执法</w:t>
      </w:r>
      <w:r>
        <w:rPr>
          <w:rFonts w:hint="eastAsia"/>
          <w:sz w:val="32"/>
        </w:rPr>
        <w:t>具有促进作用。</w:t>
      </w:r>
    </w:p>
    <w:p w14:paraId="13215AA1">
      <w:pPr>
        <w:spacing w:line="580" w:lineRule="exact"/>
        <w:ind w:firstLine="640" w:firstLineChars="200"/>
        <w:rPr>
          <w:rFonts w:hint="eastAsia"/>
          <w:sz w:val="32"/>
        </w:rPr>
      </w:pPr>
      <w:r>
        <w:rPr>
          <w:rFonts w:hint="eastAsia"/>
          <w:sz w:val="32"/>
          <w:lang w:val="en-US" w:eastAsia="zh-CN"/>
        </w:rPr>
        <w:t>1.</w:t>
      </w:r>
      <w:r>
        <w:rPr>
          <w:rFonts w:hint="eastAsia"/>
          <w:sz w:val="32"/>
        </w:rPr>
        <w:t>‌保障</w:t>
      </w:r>
      <w:r>
        <w:rPr>
          <w:rFonts w:hint="eastAsia"/>
          <w:sz w:val="32"/>
          <w:lang w:val="en-US" w:eastAsia="zh-CN"/>
        </w:rPr>
        <w:t>雄安新区</w:t>
      </w:r>
      <w:r>
        <w:rPr>
          <w:rFonts w:hint="eastAsia"/>
          <w:sz w:val="32"/>
        </w:rPr>
        <w:t>农产品质量安全‌</w:t>
      </w:r>
    </w:p>
    <w:p w14:paraId="4A04695B">
      <w:pPr>
        <w:spacing w:line="580" w:lineRule="exact"/>
        <w:ind w:firstLine="640" w:firstLineChars="200"/>
        <w:rPr>
          <w:rFonts w:hint="eastAsia"/>
          <w:sz w:val="32"/>
        </w:rPr>
      </w:pPr>
      <w:r>
        <w:rPr>
          <w:rFonts w:hint="eastAsia"/>
          <w:sz w:val="32"/>
        </w:rPr>
        <w:t>建立统一的技术规范可有效实现农业投入品源头追溯、流向监控、责任界定，从源头遏制违禁品流通</w:t>
      </w:r>
      <w:r>
        <w:rPr>
          <w:rFonts w:hint="eastAsia"/>
          <w:sz w:val="32"/>
          <w:lang w:eastAsia="zh-CN"/>
        </w:rPr>
        <w:t>，</w:t>
      </w:r>
      <w:r>
        <w:rPr>
          <w:rFonts w:hint="eastAsia"/>
          <w:sz w:val="32"/>
        </w:rPr>
        <w:t>提升质量安全监管效能‌。</w:t>
      </w:r>
    </w:p>
    <w:p w14:paraId="6F7AEB6B">
      <w:pPr>
        <w:spacing w:line="580" w:lineRule="exact"/>
        <w:ind w:firstLine="640" w:firstLineChars="200"/>
        <w:rPr>
          <w:rFonts w:hint="eastAsia"/>
          <w:sz w:val="32"/>
        </w:rPr>
      </w:pPr>
      <w:r>
        <w:rPr>
          <w:rFonts w:hint="eastAsia"/>
          <w:sz w:val="32"/>
          <w:lang w:val="en-US" w:eastAsia="zh-CN"/>
        </w:rPr>
        <w:t>2.</w:t>
      </w:r>
      <w:r>
        <w:rPr>
          <w:rFonts w:hint="eastAsia"/>
          <w:sz w:val="32"/>
        </w:rPr>
        <w:t>‌促进</w:t>
      </w:r>
      <w:r>
        <w:rPr>
          <w:rFonts w:hint="eastAsia"/>
          <w:sz w:val="32"/>
          <w:lang w:val="en-US" w:eastAsia="zh-CN"/>
        </w:rPr>
        <w:t>雄安新区</w:t>
      </w:r>
      <w:r>
        <w:rPr>
          <w:rFonts w:hint="eastAsia"/>
          <w:sz w:val="32"/>
        </w:rPr>
        <w:t>绿色农业发展‌</w:t>
      </w:r>
    </w:p>
    <w:p w14:paraId="0646FDE9">
      <w:pPr>
        <w:spacing w:line="580" w:lineRule="exact"/>
        <w:ind w:firstLine="640" w:firstLineChars="200"/>
        <w:rPr>
          <w:rFonts w:hint="eastAsia"/>
          <w:sz w:val="32"/>
        </w:rPr>
      </w:pPr>
      <w:r>
        <w:rPr>
          <w:rFonts w:hint="eastAsia"/>
          <w:sz w:val="32"/>
        </w:rPr>
        <w:t>该规范与农业绿色转型目标相契合，通过精准管控投入品流通与回收，减少农业面源污染，推动资源集约利用和产业低碳循环‌。</w:t>
      </w:r>
    </w:p>
    <w:p w14:paraId="6428421D">
      <w:pPr>
        <w:spacing w:line="580" w:lineRule="exact"/>
        <w:ind w:firstLine="640" w:firstLineChars="200"/>
        <w:rPr>
          <w:rFonts w:hint="eastAsia"/>
          <w:sz w:val="32"/>
        </w:rPr>
      </w:pPr>
      <w:r>
        <w:rPr>
          <w:rFonts w:hint="eastAsia"/>
          <w:sz w:val="32"/>
          <w:lang w:val="en-US" w:eastAsia="zh-CN"/>
        </w:rPr>
        <w:t>3.</w:t>
      </w:r>
      <w:r>
        <w:rPr>
          <w:rFonts w:hint="eastAsia"/>
          <w:sz w:val="32"/>
        </w:rPr>
        <w:t>‌支撑农村流通体系高质量发展‌</w:t>
      </w:r>
    </w:p>
    <w:p w14:paraId="0C4BF45F">
      <w:pPr>
        <w:spacing w:line="580" w:lineRule="exact"/>
        <w:ind w:firstLine="640" w:firstLineChars="200"/>
        <w:rPr>
          <w:rFonts w:hint="eastAsia"/>
          <w:sz w:val="32"/>
        </w:rPr>
      </w:pPr>
      <w:r>
        <w:rPr>
          <w:rFonts w:hint="eastAsia"/>
          <w:sz w:val="32"/>
        </w:rPr>
        <w:t>当前农村流通体系存在设施短板和监管断点，统一技术规范可打通工业品下乡与农产品出村进城的堵点，提升流通效率‌。</w:t>
      </w:r>
    </w:p>
    <w:p w14:paraId="35F19F9C">
      <w:pPr>
        <w:spacing w:line="580" w:lineRule="exact"/>
        <w:ind w:firstLine="640" w:firstLineChars="200"/>
        <w:rPr>
          <w:rFonts w:ascii="黑体" w:hAnsi="黑体" w:eastAsia="黑体"/>
          <w:sz w:val="32"/>
        </w:rPr>
      </w:pPr>
      <w:r>
        <w:rPr>
          <w:rFonts w:hint="eastAsia" w:ascii="黑体" w:hAnsi="黑体" w:eastAsia="黑体"/>
          <w:sz w:val="32"/>
          <w:lang w:val="en-US" w:eastAsia="zh-CN"/>
        </w:rPr>
        <w:t>九</w:t>
      </w:r>
      <w:r>
        <w:rPr>
          <w:rFonts w:hint="eastAsia" w:ascii="黑体" w:hAnsi="黑体" w:eastAsia="黑体"/>
          <w:sz w:val="32"/>
        </w:rPr>
        <w:t>、贯彻标准的措施建议</w:t>
      </w:r>
    </w:p>
    <w:p w14:paraId="33ADD74A">
      <w:pPr>
        <w:spacing w:line="580" w:lineRule="exact"/>
        <w:ind w:firstLine="640" w:firstLineChars="200"/>
        <w:rPr>
          <w:rFonts w:hint="eastAsia" w:eastAsia="宋体"/>
          <w:sz w:val="32"/>
          <w:lang w:eastAsia="zh-CN"/>
        </w:rPr>
      </w:pPr>
      <w:r>
        <w:rPr>
          <w:rFonts w:hint="eastAsia"/>
          <w:sz w:val="32"/>
        </w:rPr>
        <w:t>充分结合雄安新区智慧城市建设和数字农业发展定位，通过技术创新与制度创新双轮驱动，构建具有雄安特色的现代农业投入品监管体系，可为全国农业绿色发展提供示范样板。标准实施后，由农业技术部门负责标准的宣</w:t>
      </w:r>
      <w:r>
        <w:rPr>
          <w:rFonts w:hint="eastAsia"/>
          <w:sz w:val="32"/>
          <w:lang w:eastAsia="zh-CN"/>
        </w:rPr>
        <w:t>传</w:t>
      </w:r>
      <w:r>
        <w:rPr>
          <w:rFonts w:hint="eastAsia"/>
          <w:sz w:val="32"/>
        </w:rPr>
        <w:t>培训，通过媒体进行大力宣传，举办农业投入品经营流通与溯源回收监管一体化系统技术规范讲解标准；利用</w:t>
      </w:r>
      <w:r>
        <w:rPr>
          <w:rFonts w:hint="eastAsia"/>
          <w:sz w:val="32"/>
          <w:lang w:eastAsia="zh-CN"/>
        </w:rPr>
        <w:t>官方网站、学术研讨会、专题培训等多维平台</w:t>
      </w:r>
      <w:r>
        <w:rPr>
          <w:rFonts w:hint="eastAsia"/>
          <w:sz w:val="32"/>
        </w:rPr>
        <w:t>授课讲解</w:t>
      </w:r>
      <w:r>
        <w:rPr>
          <w:rFonts w:hint="eastAsia"/>
          <w:sz w:val="32"/>
          <w:lang w:eastAsia="zh-CN"/>
        </w:rPr>
        <w:t>规范</w:t>
      </w:r>
      <w:r>
        <w:rPr>
          <w:rFonts w:hint="eastAsia"/>
          <w:sz w:val="32"/>
        </w:rPr>
        <w:t>。</w:t>
      </w:r>
      <w:r>
        <w:rPr>
          <w:rFonts w:hint="eastAsia"/>
          <w:sz w:val="32"/>
          <w:lang w:eastAsia="zh-CN"/>
        </w:rPr>
        <w:t>未来可从以下几方面入手：</w:t>
      </w:r>
    </w:p>
    <w:p w14:paraId="12B61375">
      <w:pPr>
        <w:numPr>
          <w:ilvl w:val="0"/>
          <w:numId w:val="4"/>
        </w:numPr>
        <w:spacing w:line="580" w:lineRule="exact"/>
        <w:ind w:firstLine="640" w:firstLineChars="200"/>
        <w:rPr>
          <w:rFonts w:hint="eastAsia"/>
          <w:sz w:val="32"/>
          <w:lang w:eastAsia="zh-CN"/>
        </w:rPr>
      </w:pPr>
      <w:r>
        <w:rPr>
          <w:rFonts w:hint="eastAsia"/>
          <w:sz w:val="32"/>
          <w:lang w:eastAsia="zh-CN"/>
        </w:rPr>
        <w:t>技术体系</w:t>
      </w:r>
    </w:p>
    <w:p w14:paraId="5D693ECB">
      <w:pPr>
        <w:numPr>
          <w:numId w:val="0"/>
        </w:numPr>
        <w:spacing w:line="580" w:lineRule="exact"/>
        <w:ind w:firstLine="640" w:firstLineChars="200"/>
        <w:rPr>
          <w:rFonts w:hint="eastAsia" w:eastAsia="宋体"/>
          <w:sz w:val="32"/>
          <w:lang w:eastAsia="zh-CN"/>
        </w:rPr>
      </w:pPr>
      <w:r>
        <w:rPr>
          <w:rFonts w:hint="eastAsia"/>
          <w:sz w:val="32"/>
          <w:lang w:val="en-US" w:eastAsia="zh-CN"/>
        </w:rPr>
        <w:t>1.</w:t>
      </w:r>
      <w:r>
        <w:rPr>
          <w:rFonts w:hint="eastAsia"/>
          <w:sz w:val="32"/>
        </w:rPr>
        <w:t>智能化追溯</w:t>
      </w:r>
      <w:r>
        <w:rPr>
          <w:rFonts w:hint="eastAsia"/>
          <w:sz w:val="32"/>
          <w:lang w:eastAsia="zh-CN"/>
        </w:rPr>
        <w:t>。</w:t>
      </w:r>
      <w:r>
        <w:rPr>
          <w:rFonts w:hint="eastAsia"/>
          <w:sz w:val="32"/>
        </w:rPr>
        <w:t>构建基于区块链的农业投入品全生命周期追溯平台，实现化肥、农药、农膜等投入品的生产-流通-使用-回收全链条数据存证</w:t>
      </w:r>
      <w:r>
        <w:rPr>
          <w:rFonts w:hint="eastAsia"/>
          <w:sz w:val="32"/>
          <w:lang w:eastAsia="zh-CN"/>
        </w:rPr>
        <w:t>；</w:t>
      </w:r>
      <w:r>
        <w:rPr>
          <w:rFonts w:hint="eastAsia"/>
          <w:sz w:val="32"/>
        </w:rPr>
        <w:t>开发专用追溯标识技术，采用"一物双码"（二维码+RFID）复合标签，兼容传统扫码设备和智能终端读取</w:t>
      </w:r>
      <w:r>
        <w:rPr>
          <w:rFonts w:hint="eastAsia"/>
          <w:sz w:val="32"/>
          <w:lang w:eastAsia="zh-CN"/>
        </w:rPr>
        <w:t>；</w:t>
      </w:r>
      <w:r>
        <w:rPr>
          <w:rFonts w:hint="eastAsia"/>
          <w:sz w:val="32"/>
        </w:rPr>
        <w:t>建立GIS空间数据库，整合新区农业用地、经营主体、回收网点等空间数据，实现投入品流向动态监控</w:t>
      </w:r>
      <w:r>
        <w:rPr>
          <w:rFonts w:hint="eastAsia"/>
          <w:sz w:val="32"/>
          <w:lang w:eastAsia="zh-CN"/>
        </w:rPr>
        <w:t>。</w:t>
      </w:r>
    </w:p>
    <w:p w14:paraId="0CE80C12">
      <w:pPr>
        <w:spacing w:line="580" w:lineRule="exact"/>
        <w:ind w:firstLine="640" w:firstLineChars="200"/>
        <w:rPr>
          <w:rFonts w:hint="eastAsia"/>
          <w:sz w:val="32"/>
        </w:rPr>
      </w:pPr>
      <w:r>
        <w:rPr>
          <w:rFonts w:hint="eastAsia"/>
          <w:sz w:val="32"/>
          <w:lang w:val="en-US" w:eastAsia="zh-CN"/>
        </w:rPr>
        <w:t>2.</w:t>
      </w:r>
      <w:r>
        <w:rPr>
          <w:rFonts w:hint="eastAsia"/>
          <w:sz w:val="32"/>
        </w:rPr>
        <w:t>物联网监测</w:t>
      </w:r>
      <w:r>
        <w:rPr>
          <w:rFonts w:hint="eastAsia"/>
          <w:sz w:val="32"/>
          <w:lang w:eastAsia="zh-CN"/>
        </w:rPr>
        <w:t>。</w:t>
      </w:r>
      <w:r>
        <w:rPr>
          <w:rFonts w:hint="eastAsia"/>
          <w:sz w:val="32"/>
        </w:rPr>
        <w:t>在农资经营门店部署智能监控终端，实时采集进销存数据</w:t>
      </w:r>
      <w:r>
        <w:rPr>
          <w:rFonts w:hint="eastAsia"/>
          <w:sz w:val="32"/>
          <w:lang w:eastAsia="zh-CN"/>
        </w:rPr>
        <w:t>；</w:t>
      </w:r>
      <w:r>
        <w:rPr>
          <w:rFonts w:hint="eastAsia"/>
          <w:sz w:val="32"/>
        </w:rPr>
        <w:t>在重点农田设置环境传感器网络，监测农药残留、地膜残留等指标</w:t>
      </w:r>
      <w:r>
        <w:rPr>
          <w:rFonts w:hint="eastAsia"/>
          <w:sz w:val="32"/>
          <w:lang w:eastAsia="zh-CN"/>
        </w:rPr>
        <w:t>；</w:t>
      </w:r>
      <w:r>
        <w:rPr>
          <w:rFonts w:hint="eastAsia"/>
          <w:sz w:val="32"/>
        </w:rPr>
        <w:t>应用5G+边缘计算技术，实现农业投入品使用数据的实时传输与预处理</w:t>
      </w:r>
      <w:r>
        <w:rPr>
          <w:rFonts w:hint="eastAsia"/>
          <w:sz w:val="32"/>
          <w:lang w:eastAsia="zh-CN"/>
        </w:rPr>
        <w:t>。</w:t>
      </w:r>
    </w:p>
    <w:p w14:paraId="6511C150">
      <w:pPr>
        <w:spacing w:line="580" w:lineRule="exact"/>
        <w:ind w:firstLine="640" w:firstLineChars="200"/>
        <w:rPr>
          <w:rFonts w:hint="eastAsia" w:eastAsia="宋体"/>
          <w:sz w:val="32"/>
          <w:lang w:eastAsia="zh-CN"/>
        </w:rPr>
      </w:pPr>
      <w:r>
        <w:rPr>
          <w:rFonts w:hint="eastAsia"/>
          <w:sz w:val="32"/>
          <w:lang w:val="en-US" w:eastAsia="zh-CN"/>
        </w:rPr>
        <w:t>3.</w:t>
      </w:r>
      <w:r>
        <w:rPr>
          <w:rFonts w:hint="eastAsia"/>
          <w:sz w:val="32"/>
        </w:rPr>
        <w:t>大数据分析</w:t>
      </w:r>
      <w:r>
        <w:rPr>
          <w:rFonts w:hint="eastAsia"/>
          <w:sz w:val="32"/>
          <w:lang w:eastAsia="zh-CN"/>
        </w:rPr>
        <w:t>。</w:t>
      </w:r>
      <w:r>
        <w:rPr>
          <w:rFonts w:hint="eastAsia"/>
          <w:sz w:val="32"/>
        </w:rPr>
        <w:t>开发决策支持系统，为监管部门提供可视化分析看板和智能决策建议</w:t>
      </w:r>
      <w:r>
        <w:rPr>
          <w:rFonts w:hint="eastAsia"/>
          <w:sz w:val="32"/>
          <w:lang w:eastAsia="zh-CN"/>
        </w:rPr>
        <w:t>，</w:t>
      </w:r>
      <w:r>
        <w:rPr>
          <w:rFonts w:hint="eastAsia"/>
          <w:sz w:val="32"/>
        </w:rPr>
        <w:t>建立投入品使用效能评估体系，量化分析不同种植模式的投入品利用效率</w:t>
      </w:r>
      <w:r>
        <w:rPr>
          <w:rFonts w:hint="eastAsia"/>
          <w:sz w:val="32"/>
          <w:lang w:eastAsia="zh-CN"/>
        </w:rPr>
        <w:t>。</w:t>
      </w:r>
    </w:p>
    <w:p w14:paraId="434370A6">
      <w:pPr>
        <w:spacing w:line="580" w:lineRule="exact"/>
        <w:ind w:firstLine="640" w:firstLineChars="200"/>
        <w:rPr>
          <w:rFonts w:hint="eastAsia" w:eastAsia="宋体"/>
          <w:sz w:val="32"/>
          <w:lang w:eastAsia="zh-CN"/>
        </w:rPr>
      </w:pPr>
      <w:r>
        <w:rPr>
          <w:rFonts w:hint="eastAsia"/>
          <w:sz w:val="32"/>
          <w:lang w:eastAsia="zh-CN"/>
        </w:rPr>
        <w:t>（二）管理体系</w:t>
      </w:r>
    </w:p>
    <w:p w14:paraId="65B3443F">
      <w:pPr>
        <w:spacing w:line="580" w:lineRule="exact"/>
        <w:ind w:firstLine="640" w:firstLineChars="200"/>
        <w:rPr>
          <w:rFonts w:hint="eastAsia" w:eastAsia="宋体"/>
          <w:sz w:val="32"/>
          <w:lang w:eastAsia="zh-CN"/>
        </w:rPr>
      </w:pPr>
      <w:r>
        <w:rPr>
          <w:rFonts w:hint="eastAsia"/>
          <w:sz w:val="32"/>
          <w:lang w:val="en-US" w:eastAsia="zh-CN"/>
        </w:rPr>
        <w:t>1.</w:t>
      </w:r>
      <w:r>
        <w:rPr>
          <w:rFonts w:hint="eastAsia"/>
          <w:sz w:val="32"/>
        </w:rPr>
        <w:t>监管体系</w:t>
      </w:r>
      <w:r>
        <w:rPr>
          <w:rFonts w:hint="eastAsia"/>
          <w:sz w:val="32"/>
          <w:lang w:eastAsia="zh-CN"/>
        </w:rPr>
        <w:t>。</w:t>
      </w:r>
      <w:r>
        <w:rPr>
          <w:rFonts w:hint="eastAsia"/>
          <w:sz w:val="32"/>
        </w:rPr>
        <w:t>建立"市-县-乡"三级联动的数字化监管网络，明确各级监管职责</w:t>
      </w:r>
      <w:r>
        <w:rPr>
          <w:rFonts w:hint="eastAsia"/>
          <w:sz w:val="32"/>
          <w:lang w:eastAsia="zh-CN"/>
        </w:rPr>
        <w:t>，</w:t>
      </w:r>
      <w:r>
        <w:rPr>
          <w:rFonts w:hint="eastAsia"/>
          <w:sz w:val="32"/>
        </w:rPr>
        <w:t>实施农资经营主体分级管理制度，根据信用评级实施差异化监管</w:t>
      </w:r>
      <w:r>
        <w:rPr>
          <w:rFonts w:hint="eastAsia"/>
          <w:sz w:val="32"/>
          <w:lang w:eastAsia="zh-CN"/>
        </w:rPr>
        <w:t>，</w:t>
      </w:r>
      <w:r>
        <w:rPr>
          <w:rFonts w:hint="eastAsia"/>
          <w:sz w:val="32"/>
        </w:rPr>
        <w:t>建立跨部门数据共享机制，整合农业农村、市场监管等部门数据</w:t>
      </w:r>
      <w:r>
        <w:rPr>
          <w:rFonts w:hint="eastAsia"/>
          <w:sz w:val="32"/>
          <w:lang w:eastAsia="zh-CN"/>
        </w:rPr>
        <w:t>。</w:t>
      </w:r>
    </w:p>
    <w:p w14:paraId="2FF3BB21">
      <w:pPr>
        <w:spacing w:line="580" w:lineRule="exact"/>
        <w:ind w:firstLine="640" w:firstLineChars="200"/>
        <w:rPr>
          <w:rFonts w:hint="eastAsia"/>
          <w:sz w:val="32"/>
          <w:lang w:eastAsia="zh-CN"/>
        </w:rPr>
      </w:pPr>
      <w:r>
        <w:rPr>
          <w:rFonts w:hint="eastAsia"/>
          <w:sz w:val="32"/>
          <w:lang w:val="en-US" w:eastAsia="zh-CN"/>
        </w:rPr>
        <w:t>2.</w:t>
      </w:r>
      <w:r>
        <w:rPr>
          <w:rFonts w:hint="eastAsia"/>
          <w:sz w:val="32"/>
        </w:rPr>
        <w:t>运营模式</w:t>
      </w:r>
      <w:r>
        <w:rPr>
          <w:rFonts w:hint="eastAsia"/>
          <w:sz w:val="32"/>
          <w:lang w:eastAsia="zh-CN"/>
        </w:rPr>
        <w:t>。</w:t>
      </w:r>
      <w:r>
        <w:rPr>
          <w:rFonts w:hint="eastAsia"/>
          <w:sz w:val="32"/>
        </w:rPr>
        <w:t>推行"押金制"回收模式，通过经济杠杆促进农药</w:t>
      </w:r>
      <w:r>
        <w:rPr>
          <w:rFonts w:hint="eastAsia"/>
          <w:sz w:val="32"/>
          <w:lang w:eastAsia="zh-CN"/>
        </w:rPr>
        <w:t>、化肥</w:t>
      </w:r>
      <w:r>
        <w:rPr>
          <w:rFonts w:hint="eastAsia"/>
          <w:sz w:val="32"/>
        </w:rPr>
        <w:t>包装废弃物</w:t>
      </w:r>
      <w:r>
        <w:rPr>
          <w:rFonts w:hint="eastAsia"/>
          <w:sz w:val="32"/>
          <w:lang w:eastAsia="zh-CN"/>
        </w:rPr>
        <w:t>、</w:t>
      </w:r>
      <w:r>
        <w:rPr>
          <w:rFonts w:hint="eastAsia"/>
          <w:sz w:val="32"/>
        </w:rPr>
        <w:t>农膜</w:t>
      </w:r>
      <w:r>
        <w:rPr>
          <w:rFonts w:hint="eastAsia"/>
          <w:sz w:val="32"/>
          <w:lang w:eastAsia="zh-CN"/>
        </w:rPr>
        <w:t>等</w:t>
      </w:r>
      <w:r>
        <w:rPr>
          <w:rFonts w:hint="eastAsia"/>
          <w:sz w:val="32"/>
        </w:rPr>
        <w:t>回收</w:t>
      </w:r>
      <w:r>
        <w:rPr>
          <w:rFonts w:hint="eastAsia"/>
          <w:sz w:val="32"/>
          <w:lang w:eastAsia="zh-CN"/>
        </w:rPr>
        <w:t>，</w:t>
      </w:r>
      <w:r>
        <w:rPr>
          <w:rFonts w:hint="eastAsia"/>
          <w:sz w:val="32"/>
        </w:rPr>
        <w:t>建立农资经营与回收服务一体化站点，实现"销售+指导+回收"功能整合</w:t>
      </w:r>
      <w:r>
        <w:rPr>
          <w:rFonts w:hint="eastAsia"/>
          <w:sz w:val="32"/>
          <w:lang w:eastAsia="zh-CN"/>
        </w:rPr>
        <w:t>。</w:t>
      </w:r>
    </w:p>
    <w:p w14:paraId="39AA74CA">
      <w:pPr>
        <w:spacing w:line="580" w:lineRule="exact"/>
        <w:ind w:firstLine="640" w:firstLineChars="200"/>
        <w:rPr>
          <w:rFonts w:hint="eastAsia"/>
          <w:sz w:val="32"/>
          <w:lang w:eastAsia="zh-CN"/>
        </w:rPr>
      </w:pPr>
      <w:r>
        <w:rPr>
          <w:rFonts w:hint="eastAsia"/>
          <w:sz w:val="32"/>
          <w:lang w:val="en-US" w:eastAsia="zh-CN"/>
        </w:rPr>
        <w:t>3.</w:t>
      </w:r>
      <w:r>
        <w:rPr>
          <w:rFonts w:hint="eastAsia"/>
          <w:sz w:val="32"/>
        </w:rPr>
        <w:t>分阶段实施</w:t>
      </w:r>
      <w:r>
        <w:rPr>
          <w:rFonts w:hint="eastAsia"/>
          <w:sz w:val="32"/>
          <w:lang w:eastAsia="zh-CN"/>
        </w:rPr>
        <w:t>。</w:t>
      </w:r>
      <w:r>
        <w:rPr>
          <w:rFonts w:hint="eastAsia"/>
          <w:sz w:val="32"/>
        </w:rPr>
        <w:t>在容城、安新</w:t>
      </w:r>
      <w:r>
        <w:rPr>
          <w:rFonts w:hint="eastAsia"/>
          <w:sz w:val="32"/>
          <w:lang w:eastAsia="zh-CN"/>
        </w:rPr>
        <w:t>、雄县</w:t>
      </w:r>
      <w:r>
        <w:rPr>
          <w:rFonts w:hint="eastAsia"/>
          <w:sz w:val="32"/>
        </w:rPr>
        <w:t>选择3个乡镇开展系统试点，覆盖</w:t>
      </w:r>
      <w:r>
        <w:rPr>
          <w:rFonts w:hint="eastAsia"/>
          <w:sz w:val="32"/>
          <w:lang w:val="en-US" w:eastAsia="zh-CN"/>
        </w:rPr>
        <w:t>2</w:t>
      </w:r>
      <w:r>
        <w:rPr>
          <w:rFonts w:hint="eastAsia"/>
          <w:sz w:val="32"/>
        </w:rPr>
        <w:t>0家</w:t>
      </w:r>
      <w:r>
        <w:rPr>
          <w:rFonts w:hint="eastAsia"/>
          <w:sz w:val="32"/>
          <w:lang w:eastAsia="zh-CN"/>
        </w:rPr>
        <w:t>左右</w:t>
      </w:r>
      <w:r>
        <w:rPr>
          <w:rFonts w:hint="eastAsia"/>
          <w:sz w:val="32"/>
        </w:rPr>
        <w:t>农资店、</w:t>
      </w:r>
      <w:r>
        <w:rPr>
          <w:rFonts w:hint="eastAsia"/>
          <w:sz w:val="32"/>
          <w:lang w:val="en-US" w:eastAsia="zh-CN"/>
        </w:rPr>
        <w:t>5</w:t>
      </w:r>
      <w:r>
        <w:rPr>
          <w:rFonts w:hint="eastAsia"/>
          <w:sz w:val="32"/>
        </w:rPr>
        <w:t>0家新型经营主体</w:t>
      </w:r>
      <w:r>
        <w:rPr>
          <w:rFonts w:hint="eastAsia"/>
          <w:sz w:val="32"/>
          <w:lang w:eastAsia="zh-CN"/>
        </w:rPr>
        <w:t>，完成</w:t>
      </w:r>
      <w:r>
        <w:rPr>
          <w:rFonts w:hint="eastAsia"/>
          <w:sz w:val="32"/>
        </w:rPr>
        <w:t>基础数据采集平台建设，建立试点区域农业投入品数字台账</w:t>
      </w:r>
      <w:r>
        <w:rPr>
          <w:rFonts w:hint="eastAsia"/>
          <w:sz w:val="32"/>
          <w:lang w:eastAsia="zh-CN"/>
        </w:rPr>
        <w:t>，</w:t>
      </w:r>
      <w:r>
        <w:rPr>
          <w:rFonts w:hint="eastAsia"/>
          <w:sz w:val="32"/>
        </w:rPr>
        <w:t>开展操作培训，培养首批数字化监管人员和技术服务队伍</w:t>
      </w:r>
      <w:r>
        <w:rPr>
          <w:rFonts w:hint="eastAsia"/>
          <w:sz w:val="32"/>
          <w:lang w:eastAsia="zh-CN"/>
        </w:rPr>
        <w:t>，</w:t>
      </w:r>
      <w:r>
        <w:rPr>
          <w:rFonts w:hint="eastAsia"/>
          <w:sz w:val="32"/>
        </w:rPr>
        <w:t>建立投入品使用负面清单制度，实现高风险农药数字化管控</w:t>
      </w:r>
      <w:r>
        <w:rPr>
          <w:rFonts w:hint="eastAsia"/>
          <w:sz w:val="32"/>
          <w:lang w:eastAsia="zh-CN"/>
        </w:rPr>
        <w:t>，</w:t>
      </w:r>
      <w:r>
        <w:rPr>
          <w:rFonts w:hint="eastAsia"/>
          <w:sz w:val="32"/>
        </w:rPr>
        <w:t>形成可复制推广的"雄安标准"，建立京津冀农业投入品监管示范区</w:t>
      </w:r>
      <w:r>
        <w:rPr>
          <w:rFonts w:hint="eastAsia"/>
          <w:sz w:val="32"/>
          <w:lang w:eastAsia="zh-CN"/>
        </w:rPr>
        <w:t>。</w:t>
      </w:r>
    </w:p>
    <w:p w14:paraId="6033428C">
      <w:pPr>
        <w:spacing w:line="580" w:lineRule="exact"/>
        <w:ind w:firstLine="640" w:firstLineChars="200"/>
        <w:rPr>
          <w:rFonts w:hint="eastAsia"/>
          <w:sz w:val="32"/>
          <w:lang w:eastAsia="zh-CN"/>
        </w:rPr>
      </w:pPr>
      <w:r>
        <w:rPr>
          <w:rFonts w:hint="eastAsia"/>
          <w:sz w:val="32"/>
          <w:lang w:val="en-US" w:eastAsia="zh-CN"/>
        </w:rPr>
        <w:t>3.</w:t>
      </w:r>
      <w:r>
        <w:rPr>
          <w:rFonts w:hint="eastAsia"/>
          <w:sz w:val="32"/>
        </w:rPr>
        <w:t>保障措施</w:t>
      </w:r>
      <w:r>
        <w:rPr>
          <w:rFonts w:hint="eastAsia"/>
          <w:sz w:val="32"/>
          <w:lang w:eastAsia="zh-CN"/>
        </w:rPr>
        <w:t>。</w:t>
      </w:r>
      <w:r>
        <w:rPr>
          <w:rFonts w:hint="eastAsia"/>
          <w:sz w:val="32"/>
        </w:rPr>
        <w:t>与河北农业大学合作建立专项人才培养计划</w:t>
      </w:r>
      <w:r>
        <w:rPr>
          <w:rFonts w:hint="eastAsia"/>
          <w:sz w:val="32"/>
          <w:lang w:eastAsia="zh-CN"/>
        </w:rPr>
        <w:t>，提供</w:t>
      </w:r>
      <w:r>
        <w:rPr>
          <w:rFonts w:hint="eastAsia"/>
          <w:sz w:val="32"/>
        </w:rPr>
        <w:t>人才保障</w:t>
      </w:r>
      <w:r>
        <w:rPr>
          <w:rFonts w:hint="eastAsia"/>
          <w:sz w:val="32"/>
          <w:lang w:eastAsia="zh-CN"/>
        </w:rPr>
        <w:t>，</w:t>
      </w:r>
      <w:r>
        <w:rPr>
          <w:rFonts w:hint="eastAsia"/>
          <w:sz w:val="32"/>
        </w:rPr>
        <w:t>申请国家数字农业创新应用基地建设项目支持</w:t>
      </w:r>
      <w:r>
        <w:rPr>
          <w:rFonts w:hint="eastAsia"/>
          <w:sz w:val="32"/>
          <w:lang w:eastAsia="zh-CN"/>
        </w:rPr>
        <w:t>，</w:t>
      </w:r>
      <w:r>
        <w:rPr>
          <w:rFonts w:hint="eastAsia"/>
          <w:sz w:val="32"/>
        </w:rPr>
        <w:t>开展"绿色农资进万家"主题宣传活动</w:t>
      </w:r>
      <w:r>
        <w:rPr>
          <w:rFonts w:hint="eastAsia"/>
          <w:sz w:val="32"/>
          <w:lang w:eastAsia="zh-CN"/>
        </w:rPr>
        <w:t>等。</w:t>
      </w:r>
    </w:p>
    <w:p w14:paraId="0A3312B4">
      <w:pPr>
        <w:spacing w:line="580" w:lineRule="exact"/>
        <w:ind w:firstLine="640" w:firstLineChars="200"/>
        <w:rPr>
          <w:rFonts w:ascii="黑体" w:hAnsi="黑体" w:eastAsia="黑体"/>
          <w:sz w:val="32"/>
        </w:rPr>
      </w:pPr>
      <w:r>
        <w:rPr>
          <w:rFonts w:hint="eastAsia" w:ascii="黑体" w:hAnsi="黑体" w:eastAsia="黑体"/>
          <w:sz w:val="32"/>
          <w:lang w:val="en-US" w:eastAsia="zh-CN"/>
        </w:rPr>
        <w:t>十</w:t>
      </w:r>
      <w:r>
        <w:rPr>
          <w:rFonts w:hint="eastAsia" w:ascii="黑体" w:hAnsi="黑体" w:eastAsia="黑体"/>
          <w:sz w:val="32"/>
        </w:rPr>
        <w:t>、</w:t>
      </w:r>
      <w:bookmarkStart w:id="6" w:name="OLE_LINK3"/>
      <w:r>
        <w:rPr>
          <w:rFonts w:hint="eastAsia" w:ascii="黑体" w:hAnsi="黑体" w:eastAsia="黑体"/>
          <w:sz w:val="32"/>
        </w:rPr>
        <w:t>预期效益分析</w:t>
      </w:r>
      <w:bookmarkEnd w:id="6"/>
    </w:p>
    <w:p w14:paraId="3E634419">
      <w:pPr>
        <w:spacing w:line="580" w:lineRule="exact"/>
        <w:ind w:firstLine="640" w:firstLineChars="200"/>
        <w:rPr>
          <w:rFonts w:hint="eastAsia"/>
          <w:sz w:val="32"/>
        </w:rPr>
      </w:pPr>
      <w:r>
        <w:rPr>
          <w:rFonts w:hint="eastAsia"/>
          <w:sz w:val="32"/>
          <w:lang w:val="en-US" w:eastAsia="zh-CN"/>
        </w:rPr>
        <w:t>1.</w:t>
      </w:r>
      <w:r>
        <w:rPr>
          <w:rFonts w:hint="eastAsia"/>
          <w:sz w:val="32"/>
        </w:rPr>
        <w:t>经济效益</w:t>
      </w:r>
    </w:p>
    <w:p w14:paraId="2B131676">
      <w:pPr>
        <w:spacing w:line="580" w:lineRule="exact"/>
        <w:ind w:firstLine="640" w:firstLineChars="200"/>
        <w:rPr>
          <w:rFonts w:hint="eastAsia"/>
          <w:sz w:val="32"/>
        </w:rPr>
      </w:pPr>
      <w:r>
        <w:rPr>
          <w:rFonts w:hint="eastAsia"/>
          <w:sz w:val="32"/>
        </w:rPr>
        <w:t>‌降低流通与运营成本</w:t>
      </w:r>
      <w:r>
        <w:rPr>
          <w:rFonts w:hint="eastAsia"/>
          <w:sz w:val="32"/>
          <w:lang w:eastAsia="zh-CN"/>
        </w:rPr>
        <w:t>。</w:t>
      </w:r>
      <w:r>
        <w:rPr>
          <w:rFonts w:hint="eastAsia"/>
          <w:sz w:val="32"/>
        </w:rPr>
        <w:t>通过数字化管理减少人工统计和仓储损耗，农资经销环节运营效率</w:t>
      </w:r>
      <w:r>
        <w:rPr>
          <w:rFonts w:hint="eastAsia"/>
          <w:sz w:val="32"/>
          <w:lang w:val="en-US" w:eastAsia="zh-CN"/>
        </w:rPr>
        <w:t>预计</w:t>
      </w:r>
      <w:r>
        <w:rPr>
          <w:rFonts w:hint="eastAsia"/>
          <w:sz w:val="32"/>
        </w:rPr>
        <w:t>提升20%-30%，流通成本</w:t>
      </w:r>
      <w:r>
        <w:rPr>
          <w:rFonts w:hint="eastAsia"/>
          <w:sz w:val="32"/>
          <w:lang w:val="en-US" w:eastAsia="zh-CN"/>
        </w:rPr>
        <w:t>预计</w:t>
      </w:r>
      <w:r>
        <w:rPr>
          <w:rFonts w:hint="eastAsia"/>
          <w:sz w:val="32"/>
        </w:rPr>
        <w:t>下降15%-20%‌。精准用肥用药推荐技术降低农业生产成本，亩均收益增长10%-15%‌。‌促进产业升级与市场拓展</w:t>
      </w:r>
      <w:r>
        <w:rPr>
          <w:rFonts w:hint="eastAsia"/>
          <w:sz w:val="32"/>
          <w:lang w:eastAsia="zh-CN"/>
        </w:rPr>
        <w:t>，</w:t>
      </w:r>
      <w:r>
        <w:rPr>
          <w:rFonts w:hint="eastAsia"/>
          <w:sz w:val="32"/>
        </w:rPr>
        <w:t>提升产业链协同效率，推动农业产业集约化发展‌。</w:t>
      </w:r>
    </w:p>
    <w:p w14:paraId="2174DC54">
      <w:pPr>
        <w:spacing w:line="580" w:lineRule="exact"/>
        <w:ind w:firstLine="640" w:firstLineChars="200"/>
        <w:rPr>
          <w:rFonts w:hint="eastAsia"/>
          <w:sz w:val="32"/>
        </w:rPr>
      </w:pPr>
      <w:r>
        <w:rPr>
          <w:rFonts w:hint="eastAsia"/>
          <w:sz w:val="32"/>
          <w:lang w:val="en-US" w:eastAsia="zh-CN"/>
        </w:rPr>
        <w:t>2.</w:t>
      </w:r>
      <w:r>
        <w:rPr>
          <w:rFonts w:hint="eastAsia"/>
          <w:sz w:val="32"/>
        </w:rPr>
        <w:t>社会效益</w:t>
      </w:r>
    </w:p>
    <w:p w14:paraId="034CAA3B">
      <w:pPr>
        <w:spacing w:line="580" w:lineRule="exact"/>
        <w:ind w:firstLine="640" w:firstLineChars="200"/>
        <w:rPr>
          <w:rFonts w:hint="eastAsia"/>
          <w:sz w:val="32"/>
        </w:rPr>
      </w:pPr>
      <w:r>
        <w:rPr>
          <w:rFonts w:hint="eastAsia"/>
          <w:sz w:val="32"/>
        </w:rPr>
        <w:t>‌保障农产品质量安全</w:t>
      </w:r>
      <w:r>
        <w:rPr>
          <w:rFonts w:hint="eastAsia"/>
          <w:sz w:val="32"/>
          <w:lang w:eastAsia="zh-CN"/>
        </w:rPr>
        <w:t>。</w:t>
      </w:r>
      <w:r>
        <w:rPr>
          <w:rFonts w:hint="eastAsia"/>
          <w:sz w:val="32"/>
        </w:rPr>
        <w:t>全流程溯源体系覆盖生产、流通、回收环节，检测合格率</w:t>
      </w:r>
      <w:r>
        <w:rPr>
          <w:rFonts w:hint="eastAsia"/>
          <w:sz w:val="32"/>
          <w:lang w:val="en-US" w:eastAsia="zh-CN"/>
        </w:rPr>
        <w:t>预计</w:t>
      </w:r>
      <w:r>
        <w:rPr>
          <w:rFonts w:hint="eastAsia"/>
          <w:sz w:val="32"/>
        </w:rPr>
        <w:t>在98%以上，有效防范重大质量安全事故‌。跨部门协同监管机制强化执法能力，提升市场规范性‌。‌增强公众信任与区域品牌价值</w:t>
      </w:r>
      <w:r>
        <w:rPr>
          <w:rFonts w:hint="eastAsia"/>
          <w:sz w:val="32"/>
          <w:lang w:eastAsia="zh-CN"/>
        </w:rPr>
        <w:t>。</w:t>
      </w:r>
      <w:r>
        <w:rPr>
          <w:rFonts w:hint="eastAsia"/>
          <w:sz w:val="32"/>
        </w:rPr>
        <w:t>质量追溯信息透明化提高消费者信心，“安全农产品”区域公共品牌溢价能力</w:t>
      </w:r>
      <w:r>
        <w:rPr>
          <w:rFonts w:hint="eastAsia"/>
          <w:sz w:val="32"/>
          <w:lang w:val="en-US" w:eastAsia="zh-CN"/>
        </w:rPr>
        <w:t>预计</w:t>
      </w:r>
      <w:r>
        <w:rPr>
          <w:rFonts w:hint="eastAsia"/>
          <w:sz w:val="32"/>
        </w:rPr>
        <w:t>提升10%-20%‌。标准化回收体系减少农药包装废弃物污染，推动农村人居环境改善‌。</w:t>
      </w:r>
    </w:p>
    <w:p w14:paraId="0DE62803">
      <w:pPr>
        <w:spacing w:line="580" w:lineRule="exact"/>
        <w:ind w:firstLine="640" w:firstLineChars="200"/>
        <w:rPr>
          <w:rFonts w:hint="eastAsia"/>
          <w:sz w:val="32"/>
        </w:rPr>
      </w:pPr>
      <w:r>
        <w:rPr>
          <w:rFonts w:hint="eastAsia"/>
          <w:sz w:val="32"/>
          <w:lang w:val="en-US" w:eastAsia="zh-CN"/>
        </w:rPr>
        <w:t>3.</w:t>
      </w:r>
      <w:r>
        <w:rPr>
          <w:rFonts w:hint="eastAsia"/>
          <w:sz w:val="32"/>
        </w:rPr>
        <w:t>生态效益</w:t>
      </w:r>
    </w:p>
    <w:p w14:paraId="08EBA559">
      <w:pPr>
        <w:spacing w:line="580" w:lineRule="exact"/>
        <w:ind w:firstLine="640" w:firstLineChars="200"/>
        <w:rPr>
          <w:rFonts w:hint="eastAsia"/>
          <w:sz w:val="32"/>
        </w:rPr>
      </w:pPr>
      <w:r>
        <w:rPr>
          <w:rFonts w:hint="eastAsia"/>
          <w:sz w:val="32"/>
        </w:rPr>
        <w:t>‌减少环境污染与资源浪费</w:t>
      </w:r>
      <w:r>
        <w:rPr>
          <w:rFonts w:hint="eastAsia"/>
          <w:sz w:val="32"/>
          <w:lang w:eastAsia="zh-CN"/>
        </w:rPr>
        <w:t>。</w:t>
      </w:r>
      <w:r>
        <w:rPr>
          <w:rFonts w:hint="eastAsia"/>
          <w:sz w:val="32"/>
        </w:rPr>
        <w:t>废弃物闭环管理技术使农药包装回收率</w:t>
      </w:r>
      <w:r>
        <w:rPr>
          <w:rFonts w:hint="eastAsia"/>
          <w:sz w:val="32"/>
          <w:lang w:val="en-US" w:eastAsia="zh-CN"/>
        </w:rPr>
        <w:t>预计</w:t>
      </w:r>
      <w:r>
        <w:rPr>
          <w:rFonts w:hint="eastAsia"/>
          <w:sz w:val="32"/>
        </w:rPr>
        <w:t>提升至90%以上，降低土壤和水源污染风险</w:t>
      </w:r>
      <w:r>
        <w:rPr>
          <w:rFonts w:hint="eastAsia"/>
          <w:sz w:val="32"/>
          <w:lang w:eastAsia="zh-CN"/>
        </w:rPr>
        <w:t>，</w:t>
      </w:r>
      <w:r>
        <w:rPr>
          <w:rFonts w:hint="eastAsia"/>
          <w:sz w:val="32"/>
        </w:rPr>
        <w:t>精准配方推荐技术减少化肥农药过量使用，资源利用率</w:t>
      </w:r>
      <w:r>
        <w:rPr>
          <w:rFonts w:hint="eastAsia"/>
          <w:sz w:val="32"/>
          <w:lang w:val="en-US" w:eastAsia="zh-CN"/>
        </w:rPr>
        <w:t>预计</w:t>
      </w:r>
      <w:r>
        <w:rPr>
          <w:rFonts w:hint="eastAsia"/>
          <w:sz w:val="32"/>
        </w:rPr>
        <w:t>提高25%-30%‌。‌推动绿色低碳转型，碳排放强度</w:t>
      </w:r>
      <w:r>
        <w:rPr>
          <w:rFonts w:hint="eastAsia"/>
          <w:sz w:val="32"/>
          <w:lang w:val="en-US" w:eastAsia="zh-CN"/>
        </w:rPr>
        <w:t>预计</w:t>
      </w:r>
      <w:r>
        <w:rPr>
          <w:rFonts w:hint="eastAsia"/>
          <w:sz w:val="32"/>
        </w:rPr>
        <w:t>下降15%-20%‌。绿色生产模式推广助力生态农业规模化，促进乡村生态振兴‌。</w:t>
      </w:r>
    </w:p>
    <w:p w14:paraId="45C3AD88">
      <w:pPr>
        <w:ind w:firstLine="640" w:firstLineChars="200"/>
        <w:rPr>
          <w:rFonts w:hint="eastAsia" w:ascii="黑体" w:hAnsi="黑体" w:eastAsia="黑体" w:cs="宋体"/>
          <w:bCs/>
          <w:sz w:val="32"/>
          <w:szCs w:val="32"/>
          <w:lang w:val="zh-CN"/>
        </w:rPr>
      </w:pPr>
      <w:r>
        <w:rPr>
          <w:rFonts w:hint="eastAsia" w:ascii="黑体" w:hAnsi="黑体" w:eastAsia="黑体"/>
          <w:sz w:val="32"/>
        </w:rPr>
        <w:t>十</w:t>
      </w:r>
      <w:r>
        <w:rPr>
          <w:rFonts w:hint="eastAsia" w:ascii="黑体" w:hAnsi="黑体" w:eastAsia="黑体"/>
          <w:sz w:val="32"/>
          <w:lang w:val="en-US" w:eastAsia="zh-CN"/>
        </w:rPr>
        <w:t>一</w:t>
      </w:r>
      <w:r>
        <w:rPr>
          <w:rFonts w:hint="eastAsia" w:ascii="黑体" w:hAnsi="黑体" w:eastAsia="黑体"/>
          <w:sz w:val="32"/>
        </w:rPr>
        <w:t>、其他应予说明的事项。</w:t>
      </w:r>
    </w:p>
    <w:p w14:paraId="54418508">
      <w:pPr>
        <w:ind w:right="320" w:firstLine="640"/>
        <w:jc w:val="both"/>
        <w:rPr>
          <w:rFonts w:hint="eastAsia" w:ascii="仿宋_GB2312" w:eastAsia="宋体"/>
          <w:sz w:val="32"/>
          <w:szCs w:val="32"/>
          <w:lang w:val="en-US" w:eastAsia="zh-CN"/>
        </w:rPr>
      </w:pPr>
      <w:r>
        <w:rPr>
          <w:rFonts w:hint="eastAsia"/>
          <w:sz w:val="32"/>
        </w:rPr>
        <w:t>农业投入品经营流通与溯源回收监管一体化系统技术规范</w:t>
      </w:r>
      <w:r>
        <w:rPr>
          <w:rFonts w:hint="eastAsia"/>
          <w:sz w:val="32"/>
          <w:lang w:eastAsia="zh-CN"/>
        </w:rPr>
        <w:t>的实施是推进雄安现代生态农业的有效举措，需要分阶段逐步实施，需多部门联合推进。</w:t>
      </w:r>
      <w:bookmarkStart w:id="7" w:name="_GoBack"/>
      <w:bookmarkEnd w:id="7"/>
    </w:p>
    <w:p w14:paraId="40E7D019">
      <w:pPr>
        <w:ind w:right="320" w:firstLine="640"/>
        <w:jc w:val="both"/>
        <w:rPr>
          <w:rFonts w:hint="default" w:ascii="仿宋_GB2312" w:eastAsia="仿宋_GB2312"/>
          <w:sz w:val="32"/>
          <w:szCs w:val="32"/>
          <w:lang w:val="en-US" w:eastAsia="zh-CN"/>
        </w:rPr>
      </w:pPr>
    </w:p>
    <w:p w14:paraId="66725491">
      <w:pPr>
        <w:ind w:right="320" w:firstLine="640"/>
        <w:jc w:val="both"/>
        <w:rPr>
          <w:rFonts w:hint="default" w:ascii="仿宋_GB2312" w:eastAsia="仿宋_GB2312"/>
          <w:sz w:val="32"/>
          <w:szCs w:val="32"/>
          <w:lang w:val="en-US" w:eastAsia="zh-CN"/>
        </w:rPr>
      </w:pPr>
    </w:p>
    <w:p w14:paraId="6B09F17A">
      <w:pPr>
        <w:ind w:right="320" w:firstLine="640"/>
        <w:jc w:val="both"/>
        <w:rPr>
          <w:rFonts w:hint="default" w:ascii="仿宋_GB2312" w:eastAsia="仿宋_GB2312"/>
          <w:sz w:val="32"/>
          <w:szCs w:val="32"/>
          <w:lang w:val="en-US" w:eastAsia="zh-CN"/>
        </w:rPr>
      </w:pPr>
    </w:p>
    <w:p w14:paraId="5E245413">
      <w:pPr>
        <w:spacing w:line="580" w:lineRule="exact"/>
        <w:ind w:firstLine="640" w:firstLineChars="200"/>
        <w:jc w:val="right"/>
        <w:rPr>
          <w:rFonts w:hint="eastAsia"/>
          <w:sz w:val="32"/>
        </w:rPr>
      </w:pPr>
      <w:r>
        <w:rPr>
          <w:rFonts w:hint="eastAsia"/>
          <w:sz w:val="32"/>
        </w:rPr>
        <w:t>《农业投入品经营流通与溯源回收监管一体化系统技术规范</w:t>
      </w:r>
      <w:r>
        <w:rPr>
          <w:rFonts w:hint="eastAsia"/>
          <w:sz w:val="32"/>
          <w:lang w:eastAsia="zh-CN"/>
        </w:rPr>
        <w:t>（总）</w:t>
      </w:r>
      <w:r>
        <w:rPr>
          <w:rFonts w:hint="eastAsia"/>
          <w:sz w:val="32"/>
        </w:rPr>
        <w:t>》标准</w:t>
      </w:r>
      <w:r>
        <w:rPr>
          <w:rFonts w:hint="eastAsia"/>
          <w:sz w:val="32"/>
          <w:lang w:val="en-US" w:eastAsia="zh-CN"/>
        </w:rPr>
        <w:t>起草</w:t>
      </w:r>
      <w:r>
        <w:rPr>
          <w:rFonts w:hint="eastAsia"/>
          <w:sz w:val="32"/>
        </w:rPr>
        <w:t>组</w:t>
      </w:r>
    </w:p>
    <w:p w14:paraId="4B5A2124">
      <w:pPr>
        <w:spacing w:line="580" w:lineRule="exact"/>
        <w:ind w:firstLine="640" w:firstLineChars="200"/>
        <w:jc w:val="right"/>
        <w:rPr>
          <w:rFonts w:hint="default"/>
          <w:sz w:val="32"/>
          <w:lang w:val="en-US" w:eastAsia="zh-CN"/>
        </w:rPr>
      </w:pPr>
      <w:r>
        <w:rPr>
          <w:rFonts w:hint="eastAsia"/>
          <w:sz w:val="32"/>
        </w:rPr>
        <w:t>202</w:t>
      </w:r>
      <w:r>
        <w:rPr>
          <w:rFonts w:hint="eastAsia"/>
          <w:sz w:val="32"/>
          <w:lang w:val="en-US" w:eastAsia="zh-CN"/>
        </w:rPr>
        <w:t>5</w:t>
      </w:r>
      <w:r>
        <w:rPr>
          <w:rFonts w:hint="eastAsia"/>
          <w:sz w:val="32"/>
        </w:rPr>
        <w:t>年</w:t>
      </w:r>
      <w:r>
        <w:rPr>
          <w:rFonts w:hint="eastAsia"/>
          <w:sz w:val="32"/>
          <w:lang w:val="en-US" w:eastAsia="zh-CN"/>
        </w:rPr>
        <w:t>4</w:t>
      </w:r>
      <w:r>
        <w:rPr>
          <w:rFonts w:hint="eastAsia"/>
          <w:sz w:val="32"/>
        </w:rPr>
        <w:t>月</w:t>
      </w:r>
      <w:r>
        <w:rPr>
          <w:rFonts w:hint="eastAsia"/>
          <w:sz w:val="32"/>
          <w:lang w:val="en-US" w:eastAsia="zh-CN"/>
        </w:rPr>
        <w:t>15日</w:t>
      </w: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28589483"/>
      <w:docPartObj>
        <w:docPartGallery w:val="autotext"/>
      </w:docPartObj>
    </w:sdtPr>
    <w:sdtContent>
      <w:p w14:paraId="39D7B3C5">
        <w:pPr>
          <w:pStyle w:val="6"/>
          <w:jc w:val="center"/>
        </w:pPr>
        <w:r>
          <w:fldChar w:fldCharType="begin"/>
        </w:r>
        <w:r>
          <w:instrText xml:space="preserve">PAGE   \* MERGEFORMAT</w:instrText>
        </w:r>
        <w:r>
          <w:fldChar w:fldCharType="separate"/>
        </w:r>
        <w:r>
          <w:rPr>
            <w:lang w:val="zh-CN"/>
          </w:rPr>
          <w:t>6</w:t>
        </w:r>
        <w:r>
          <w:fldChar w:fldCharType="end"/>
        </w:r>
      </w:p>
    </w:sdtContent>
  </w:sdt>
  <w:p w14:paraId="23184CC8">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27C8BD"/>
    <w:multiLevelType w:val="singleLevel"/>
    <w:tmpl w:val="8627C8BD"/>
    <w:lvl w:ilvl="0" w:tentative="0">
      <w:start w:val="1"/>
      <w:numFmt w:val="chineseCounting"/>
      <w:suff w:val="nothing"/>
      <w:lvlText w:val="（%1）"/>
      <w:lvlJc w:val="left"/>
      <w:rPr>
        <w:rFonts w:hint="eastAsia"/>
      </w:rPr>
    </w:lvl>
  </w:abstractNum>
  <w:abstractNum w:abstractNumId="1">
    <w:nsid w:val="BD8511FD"/>
    <w:multiLevelType w:val="singleLevel"/>
    <w:tmpl w:val="BD8511FD"/>
    <w:lvl w:ilvl="0" w:tentative="0">
      <w:start w:val="2"/>
      <w:numFmt w:val="chineseCounting"/>
      <w:suff w:val="nothing"/>
      <w:lvlText w:val="（%1）"/>
      <w:lvlJc w:val="left"/>
      <w:rPr>
        <w:rFonts w:hint="eastAsia"/>
      </w:rPr>
    </w:lvl>
  </w:abstractNum>
  <w:abstractNum w:abstractNumId="2">
    <w:nsid w:val="F232DC46"/>
    <w:multiLevelType w:val="singleLevel"/>
    <w:tmpl w:val="F232DC46"/>
    <w:lvl w:ilvl="0" w:tentative="0">
      <w:start w:val="4"/>
      <w:numFmt w:val="chineseCounting"/>
      <w:suff w:val="nothing"/>
      <w:lvlText w:val="%1、"/>
      <w:lvlJc w:val="left"/>
      <w:rPr>
        <w:rFonts w:hint="eastAsia"/>
      </w:rPr>
    </w:lvl>
  </w:abstractNum>
  <w:abstractNum w:abstractNumId="3">
    <w:nsid w:val="1FC91163"/>
    <w:multiLevelType w:val="multilevel"/>
    <w:tmpl w:val="1FC91163"/>
    <w:lvl w:ilvl="0" w:tentative="0">
      <w:start w:val="1"/>
      <w:numFmt w:val="decimal"/>
      <w:pStyle w:val="21"/>
      <w:suff w:val="nothing"/>
      <w:lvlText w:val="%1　"/>
      <w:lvlJc w:val="left"/>
      <w:rPr>
        <w:rFonts w:hint="eastAsia" w:ascii="黑体" w:hAnsi="Times New Roman" w:eastAsia="黑体"/>
        <w:b w:val="0"/>
        <w:bCs w:val="0"/>
        <w:i w:val="0"/>
        <w:iCs w:val="0"/>
        <w:sz w:val="21"/>
        <w:szCs w:val="21"/>
      </w:rPr>
    </w:lvl>
    <w:lvl w:ilvl="1" w:tentative="0">
      <w:start w:val="1"/>
      <w:numFmt w:val="decimal"/>
      <w:pStyle w:val="20"/>
      <w:suff w:val="nothing"/>
      <w:lvlText w:val="%1.%2　"/>
      <w:lvlJc w:val="left"/>
      <w:rPr>
        <w:rFonts w:hint="eastAsia" w:ascii="黑体" w:hAnsi="Times New Roman" w:eastAsia="黑体"/>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2"/>
      <w:suff w:val="nothing"/>
      <w:lvlText w:val="%1.%2.%3　"/>
      <w:lvlJc w:val="left"/>
      <w:rPr>
        <w:rFonts w:hint="eastAsia" w:ascii="黑体" w:hAnsi="Times New Roman" w:eastAsia="黑体"/>
        <w:b w:val="0"/>
        <w:bCs w:val="0"/>
        <w:i w:val="0"/>
        <w:iCs w:val="0"/>
        <w:sz w:val="21"/>
        <w:szCs w:val="21"/>
      </w:rPr>
    </w:lvl>
    <w:lvl w:ilvl="3" w:tentative="0">
      <w:start w:val="1"/>
      <w:numFmt w:val="decimal"/>
      <w:pStyle w:val="23"/>
      <w:suff w:val="nothing"/>
      <w:lvlText w:val="%1.%2.%3.%4　"/>
      <w:lvlJc w:val="left"/>
      <w:rPr>
        <w:rFonts w:hint="eastAsia" w:ascii="黑体" w:hAnsi="Times New Roman" w:eastAsia="黑体"/>
        <w:b w:val="0"/>
        <w:bCs w:val="0"/>
        <w:i w:val="0"/>
        <w:iCs w:val="0"/>
        <w:sz w:val="21"/>
        <w:szCs w:val="21"/>
      </w:rPr>
    </w:lvl>
    <w:lvl w:ilvl="4" w:tentative="0">
      <w:start w:val="1"/>
      <w:numFmt w:val="decimal"/>
      <w:pStyle w:val="24"/>
      <w:suff w:val="nothing"/>
      <w:lvlText w:val="%1.%2.%3.%4.%5　"/>
      <w:lvlJc w:val="left"/>
      <w:rPr>
        <w:rFonts w:hint="eastAsia" w:ascii="黑体" w:hAnsi="Times New Roman" w:eastAsia="黑体"/>
        <w:b w:val="0"/>
        <w:bCs w:val="0"/>
        <w:i w:val="0"/>
        <w:iCs w:val="0"/>
        <w:sz w:val="21"/>
        <w:szCs w:val="21"/>
      </w:rPr>
    </w:lvl>
    <w:lvl w:ilvl="5" w:tentative="0">
      <w:start w:val="1"/>
      <w:numFmt w:val="decimal"/>
      <w:pStyle w:val="25"/>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xZmUwMzZmZTI0NGIxODQ4M2U3ZjkwMWM1NmUxZjcifQ=="/>
  </w:docVars>
  <w:rsids>
    <w:rsidRoot w:val="006450A9"/>
    <w:rsid w:val="0001037A"/>
    <w:rsid w:val="00013A02"/>
    <w:rsid w:val="00026735"/>
    <w:rsid w:val="00037E50"/>
    <w:rsid w:val="00046A18"/>
    <w:rsid w:val="00051D26"/>
    <w:rsid w:val="000542D9"/>
    <w:rsid w:val="00060264"/>
    <w:rsid w:val="001167F2"/>
    <w:rsid w:val="001670DB"/>
    <w:rsid w:val="00194352"/>
    <w:rsid w:val="001A127B"/>
    <w:rsid w:val="001B43D5"/>
    <w:rsid w:val="002008B5"/>
    <w:rsid w:val="0020558B"/>
    <w:rsid w:val="00212E11"/>
    <w:rsid w:val="00214520"/>
    <w:rsid w:val="00242D71"/>
    <w:rsid w:val="00244394"/>
    <w:rsid w:val="00276FB0"/>
    <w:rsid w:val="002B64F6"/>
    <w:rsid w:val="002F14DF"/>
    <w:rsid w:val="00301533"/>
    <w:rsid w:val="00317491"/>
    <w:rsid w:val="003457EF"/>
    <w:rsid w:val="00381C3A"/>
    <w:rsid w:val="003949F8"/>
    <w:rsid w:val="00394A4A"/>
    <w:rsid w:val="003B5EFF"/>
    <w:rsid w:val="003C2F02"/>
    <w:rsid w:val="003C7011"/>
    <w:rsid w:val="00415E55"/>
    <w:rsid w:val="00422181"/>
    <w:rsid w:val="004527EB"/>
    <w:rsid w:val="004B3CAE"/>
    <w:rsid w:val="004B739B"/>
    <w:rsid w:val="004C27F7"/>
    <w:rsid w:val="004E0524"/>
    <w:rsid w:val="004E3DB1"/>
    <w:rsid w:val="004F7A1C"/>
    <w:rsid w:val="00501241"/>
    <w:rsid w:val="0050336F"/>
    <w:rsid w:val="00514434"/>
    <w:rsid w:val="00584E38"/>
    <w:rsid w:val="00587599"/>
    <w:rsid w:val="005D6235"/>
    <w:rsid w:val="005E0C6B"/>
    <w:rsid w:val="005E56A0"/>
    <w:rsid w:val="00622627"/>
    <w:rsid w:val="00635448"/>
    <w:rsid w:val="006405A7"/>
    <w:rsid w:val="00643B42"/>
    <w:rsid w:val="00644035"/>
    <w:rsid w:val="006450A9"/>
    <w:rsid w:val="00670D2E"/>
    <w:rsid w:val="00686328"/>
    <w:rsid w:val="00687CC1"/>
    <w:rsid w:val="006A2001"/>
    <w:rsid w:val="006A38E3"/>
    <w:rsid w:val="006A447E"/>
    <w:rsid w:val="00721E3D"/>
    <w:rsid w:val="00731D45"/>
    <w:rsid w:val="00786166"/>
    <w:rsid w:val="007B2718"/>
    <w:rsid w:val="008004F9"/>
    <w:rsid w:val="00813F96"/>
    <w:rsid w:val="00832A8F"/>
    <w:rsid w:val="008432F9"/>
    <w:rsid w:val="00862205"/>
    <w:rsid w:val="00884A8A"/>
    <w:rsid w:val="00886625"/>
    <w:rsid w:val="008B5E6C"/>
    <w:rsid w:val="008B6558"/>
    <w:rsid w:val="008C6AAD"/>
    <w:rsid w:val="008E6FA4"/>
    <w:rsid w:val="008F0833"/>
    <w:rsid w:val="008F4C58"/>
    <w:rsid w:val="00901CAB"/>
    <w:rsid w:val="00923BB2"/>
    <w:rsid w:val="00933285"/>
    <w:rsid w:val="009341E5"/>
    <w:rsid w:val="009517C7"/>
    <w:rsid w:val="0095450A"/>
    <w:rsid w:val="00962A86"/>
    <w:rsid w:val="009D21BC"/>
    <w:rsid w:val="009D5076"/>
    <w:rsid w:val="00A140D4"/>
    <w:rsid w:val="00A26751"/>
    <w:rsid w:val="00A31B41"/>
    <w:rsid w:val="00A41045"/>
    <w:rsid w:val="00A44E68"/>
    <w:rsid w:val="00A64496"/>
    <w:rsid w:val="00A722DF"/>
    <w:rsid w:val="00AA0385"/>
    <w:rsid w:val="00AB032E"/>
    <w:rsid w:val="00AF1E78"/>
    <w:rsid w:val="00B52492"/>
    <w:rsid w:val="00B561C6"/>
    <w:rsid w:val="00B72A78"/>
    <w:rsid w:val="00B7690C"/>
    <w:rsid w:val="00B9407A"/>
    <w:rsid w:val="00BB46A1"/>
    <w:rsid w:val="00BE40CF"/>
    <w:rsid w:val="00BF6F41"/>
    <w:rsid w:val="00C21DD8"/>
    <w:rsid w:val="00C4568E"/>
    <w:rsid w:val="00C464BC"/>
    <w:rsid w:val="00C86C66"/>
    <w:rsid w:val="00C9214F"/>
    <w:rsid w:val="00CB46E9"/>
    <w:rsid w:val="00CB589F"/>
    <w:rsid w:val="00CC0C8D"/>
    <w:rsid w:val="00CD0CCE"/>
    <w:rsid w:val="00CD566B"/>
    <w:rsid w:val="00D00DD8"/>
    <w:rsid w:val="00D10964"/>
    <w:rsid w:val="00D114B5"/>
    <w:rsid w:val="00D53033"/>
    <w:rsid w:val="00D668BD"/>
    <w:rsid w:val="00D67D9F"/>
    <w:rsid w:val="00D70458"/>
    <w:rsid w:val="00D97966"/>
    <w:rsid w:val="00DA3641"/>
    <w:rsid w:val="00DA78B9"/>
    <w:rsid w:val="00DE471C"/>
    <w:rsid w:val="00E13EFE"/>
    <w:rsid w:val="00E17558"/>
    <w:rsid w:val="00E45092"/>
    <w:rsid w:val="00E74D78"/>
    <w:rsid w:val="00E8024D"/>
    <w:rsid w:val="00EA3143"/>
    <w:rsid w:val="00EC4851"/>
    <w:rsid w:val="00ED3EF8"/>
    <w:rsid w:val="00F051AB"/>
    <w:rsid w:val="00F11314"/>
    <w:rsid w:val="00F25F5B"/>
    <w:rsid w:val="00F30C61"/>
    <w:rsid w:val="00F313F6"/>
    <w:rsid w:val="00F43D59"/>
    <w:rsid w:val="00F6398B"/>
    <w:rsid w:val="00F65943"/>
    <w:rsid w:val="00F817EF"/>
    <w:rsid w:val="00F9213E"/>
    <w:rsid w:val="00FC710C"/>
    <w:rsid w:val="01F2533F"/>
    <w:rsid w:val="0D2210AE"/>
    <w:rsid w:val="0FEE5EBF"/>
    <w:rsid w:val="14C16F78"/>
    <w:rsid w:val="1FC55BF9"/>
    <w:rsid w:val="254653D3"/>
    <w:rsid w:val="2691017B"/>
    <w:rsid w:val="26E37CFF"/>
    <w:rsid w:val="2DE02E26"/>
    <w:rsid w:val="312C00A2"/>
    <w:rsid w:val="316B4522"/>
    <w:rsid w:val="32870EE7"/>
    <w:rsid w:val="32FC1822"/>
    <w:rsid w:val="37F82B51"/>
    <w:rsid w:val="3CC44087"/>
    <w:rsid w:val="4B384B05"/>
    <w:rsid w:val="4B9752DE"/>
    <w:rsid w:val="4B9F18C7"/>
    <w:rsid w:val="4D5659DD"/>
    <w:rsid w:val="50C67994"/>
    <w:rsid w:val="576A0C54"/>
    <w:rsid w:val="6280567E"/>
    <w:rsid w:val="6406749B"/>
    <w:rsid w:val="655645C6"/>
    <w:rsid w:val="6C071F2B"/>
    <w:rsid w:val="75555AAD"/>
    <w:rsid w:val="76BA0E58"/>
    <w:rsid w:val="7BCC0CE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nhideWhenUsed="0" w:uiPriority="0" w:semiHidden="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31"/>
    </w:pPr>
    <w:rPr>
      <w:rFonts w:ascii="Arial Unicode MS" w:hAnsi="Arial Unicode MS" w:eastAsia="Arial Unicode MS" w:cs="Arial Unicode MS"/>
      <w:sz w:val="17"/>
      <w:szCs w:val="17"/>
    </w:rPr>
  </w:style>
  <w:style w:type="paragraph" w:styleId="3">
    <w:name w:val="Plain Text"/>
    <w:basedOn w:val="1"/>
    <w:next w:val="4"/>
    <w:qFormat/>
    <w:uiPriority w:val="0"/>
    <w:rPr>
      <w:rFonts w:ascii="宋体" w:hAnsi="Courier New" w:cs="Courier New"/>
      <w:szCs w:val="21"/>
    </w:rPr>
  </w:style>
  <w:style w:type="paragraph" w:styleId="4">
    <w:name w:val="index 9"/>
    <w:basedOn w:val="1"/>
    <w:next w:val="1"/>
    <w:qFormat/>
    <w:uiPriority w:val="0"/>
    <w:pPr>
      <w:ind w:left="3360"/>
    </w:pPr>
    <w:rPr>
      <w:rFonts w:cs="等线"/>
      <w:szCs w:val="21"/>
    </w:rPr>
  </w:style>
  <w:style w:type="paragraph" w:styleId="5">
    <w:name w:val="Balloon Text"/>
    <w:basedOn w:val="1"/>
    <w:link w:val="30"/>
    <w:semiHidden/>
    <w:unhideWhenUsed/>
    <w:qFormat/>
    <w:uiPriority w:val="99"/>
    <w:rPr>
      <w:sz w:val="18"/>
      <w:szCs w:val="18"/>
    </w:r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rPr>
      <w:b/>
      <w:bCs/>
    </w:rPr>
  </w:style>
  <w:style w:type="character" w:styleId="12">
    <w:name w:val="Emphasis"/>
    <w:basedOn w:val="10"/>
    <w:qFormat/>
    <w:uiPriority w:val="20"/>
    <w:rPr>
      <w:i/>
      <w:iCs/>
    </w:rPr>
  </w:style>
  <w:style w:type="character" w:styleId="13">
    <w:name w:val="Hyperlink"/>
    <w:basedOn w:val="10"/>
    <w:semiHidden/>
    <w:unhideWhenUsed/>
    <w:qFormat/>
    <w:uiPriority w:val="99"/>
    <w:rPr>
      <w:color w:val="0000FF"/>
      <w:u w:val="single"/>
    </w:rPr>
  </w:style>
  <w:style w:type="paragraph" w:customStyle="1" w:styleId="1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kern w:val="0"/>
      <w:sz w:val="52"/>
      <w:szCs w:val="20"/>
      <w:lang w:val="en-US" w:eastAsia="zh-CN" w:bidi="ar-SA"/>
    </w:rPr>
  </w:style>
  <w:style w:type="paragraph" w:customStyle="1" w:styleId="15">
    <w:name w:val="Normal_2"/>
    <w:qFormat/>
    <w:uiPriority w:val="0"/>
    <w:pPr>
      <w:spacing w:before="120" w:after="240"/>
      <w:jc w:val="both"/>
    </w:pPr>
    <w:rPr>
      <w:rFonts w:asciiTheme="minorHAnsi" w:hAnsiTheme="minorHAnsi" w:eastAsiaTheme="minorHAnsi" w:cstheme="minorBidi"/>
      <w:kern w:val="0"/>
      <w:sz w:val="22"/>
      <w:szCs w:val="22"/>
      <w:lang w:val="ru-RU" w:eastAsia="en-US" w:bidi="ar-SA"/>
    </w:rPr>
  </w:style>
  <w:style w:type="paragraph" w:customStyle="1" w:styleId="16">
    <w:name w:val="段"/>
    <w:link w:val="17"/>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character" w:customStyle="1" w:styleId="17">
    <w:name w:val="段 Char"/>
    <w:link w:val="16"/>
    <w:qFormat/>
    <w:uiPriority w:val="0"/>
    <w:rPr>
      <w:rFonts w:ascii="宋体" w:hAnsi="Times New Roman" w:eastAsia="宋体" w:cs="Times New Roman"/>
      <w:kern w:val="0"/>
      <w:szCs w:val="20"/>
    </w:rPr>
  </w:style>
  <w:style w:type="character" w:customStyle="1" w:styleId="18">
    <w:name w:val="页眉 Char"/>
    <w:basedOn w:val="10"/>
    <w:link w:val="7"/>
    <w:qFormat/>
    <w:uiPriority w:val="99"/>
    <w:rPr>
      <w:rFonts w:ascii="Calibri" w:hAnsi="Calibri" w:eastAsia="宋体" w:cs="黑体"/>
      <w:sz w:val="18"/>
      <w:szCs w:val="18"/>
    </w:rPr>
  </w:style>
  <w:style w:type="character" w:customStyle="1" w:styleId="19">
    <w:name w:val="页脚 Char"/>
    <w:basedOn w:val="10"/>
    <w:link w:val="6"/>
    <w:qFormat/>
    <w:uiPriority w:val="99"/>
    <w:rPr>
      <w:rFonts w:ascii="Calibri" w:hAnsi="Calibri" w:eastAsia="宋体" w:cs="黑体"/>
      <w:sz w:val="18"/>
      <w:szCs w:val="18"/>
    </w:rPr>
  </w:style>
  <w:style w:type="paragraph" w:customStyle="1" w:styleId="20">
    <w:name w:val="一级条标题"/>
    <w:next w:val="16"/>
    <w:qFormat/>
    <w:uiPriority w:val="99"/>
    <w:pPr>
      <w:numPr>
        <w:ilvl w:val="1"/>
        <w:numId w:val="1"/>
      </w:numPr>
      <w:spacing w:beforeLines="50" w:afterLines="50"/>
      <w:outlineLvl w:val="2"/>
    </w:pPr>
    <w:rPr>
      <w:rFonts w:ascii="黑体" w:hAnsi="Times New Roman" w:eastAsia="黑体" w:cs="黑体"/>
      <w:kern w:val="0"/>
      <w:sz w:val="21"/>
      <w:szCs w:val="21"/>
      <w:lang w:val="en-US" w:eastAsia="zh-CN" w:bidi="ar-SA"/>
    </w:rPr>
  </w:style>
  <w:style w:type="paragraph" w:customStyle="1" w:styleId="21">
    <w:name w:val="章标题"/>
    <w:next w:val="16"/>
    <w:qFormat/>
    <w:uiPriority w:val="0"/>
    <w:pPr>
      <w:numPr>
        <w:ilvl w:val="0"/>
        <w:numId w:val="1"/>
      </w:numPr>
      <w:spacing w:beforeLines="100" w:afterLines="100"/>
      <w:jc w:val="both"/>
      <w:outlineLvl w:val="1"/>
    </w:pPr>
    <w:rPr>
      <w:rFonts w:ascii="黑体" w:hAnsi="Times New Roman" w:eastAsia="黑体" w:cs="黑体"/>
      <w:kern w:val="0"/>
      <w:sz w:val="21"/>
      <w:szCs w:val="21"/>
      <w:lang w:val="en-US" w:eastAsia="zh-CN" w:bidi="ar-SA"/>
    </w:rPr>
  </w:style>
  <w:style w:type="paragraph" w:customStyle="1" w:styleId="22">
    <w:name w:val="二级条标题"/>
    <w:basedOn w:val="20"/>
    <w:next w:val="16"/>
    <w:qFormat/>
    <w:uiPriority w:val="99"/>
    <w:pPr>
      <w:numPr>
        <w:ilvl w:val="2"/>
      </w:numPr>
      <w:spacing w:before="50" w:after="50"/>
      <w:outlineLvl w:val="3"/>
    </w:pPr>
  </w:style>
  <w:style w:type="paragraph" w:customStyle="1" w:styleId="23">
    <w:name w:val="三级条标题"/>
    <w:basedOn w:val="22"/>
    <w:next w:val="16"/>
    <w:qFormat/>
    <w:uiPriority w:val="99"/>
    <w:pPr>
      <w:numPr>
        <w:ilvl w:val="3"/>
      </w:numPr>
      <w:outlineLvl w:val="4"/>
    </w:pPr>
  </w:style>
  <w:style w:type="paragraph" w:customStyle="1" w:styleId="24">
    <w:name w:val="四级条标题"/>
    <w:basedOn w:val="23"/>
    <w:next w:val="16"/>
    <w:qFormat/>
    <w:uiPriority w:val="99"/>
    <w:pPr>
      <w:numPr>
        <w:ilvl w:val="4"/>
      </w:numPr>
      <w:outlineLvl w:val="5"/>
    </w:pPr>
  </w:style>
  <w:style w:type="paragraph" w:customStyle="1" w:styleId="25">
    <w:name w:val="五级条标题"/>
    <w:basedOn w:val="24"/>
    <w:next w:val="16"/>
    <w:qFormat/>
    <w:uiPriority w:val="99"/>
    <w:pPr>
      <w:numPr>
        <w:ilvl w:val="5"/>
      </w:numPr>
      <w:outlineLvl w:val="6"/>
    </w:pPr>
  </w:style>
  <w:style w:type="paragraph" w:styleId="26">
    <w:name w:val="List Paragraph"/>
    <w:basedOn w:val="1"/>
    <w:qFormat/>
    <w:uiPriority w:val="34"/>
    <w:pPr>
      <w:ind w:firstLine="420" w:firstLineChars="200"/>
    </w:pPr>
    <w:rPr>
      <w:rFonts w:ascii="Times New Roman" w:hAnsi="Times New Roman" w:cs="Times New Roman"/>
      <w:szCs w:val="24"/>
    </w:rPr>
  </w:style>
  <w:style w:type="character" w:customStyle="1" w:styleId="27">
    <w:name w:val="fontstyle01"/>
    <w:basedOn w:val="10"/>
    <w:qFormat/>
    <w:uiPriority w:val="0"/>
    <w:rPr>
      <w:rFonts w:hint="eastAsia" w:ascii="宋体" w:hAnsi="宋体" w:eastAsia="宋体"/>
      <w:color w:val="000000"/>
      <w:sz w:val="20"/>
      <w:szCs w:val="20"/>
    </w:rPr>
  </w:style>
  <w:style w:type="character" w:customStyle="1" w:styleId="28">
    <w:name w:val="NormalCharacter"/>
    <w:semiHidden/>
    <w:qFormat/>
    <w:uiPriority w:val="0"/>
  </w:style>
  <w:style w:type="paragraph" w:customStyle="1" w:styleId="29">
    <w:name w:val="Revision"/>
    <w:hidden/>
    <w:semiHidden/>
    <w:qFormat/>
    <w:uiPriority w:val="99"/>
    <w:rPr>
      <w:rFonts w:ascii="Calibri" w:hAnsi="Calibri" w:eastAsia="宋体" w:cs="黑体"/>
      <w:kern w:val="2"/>
      <w:sz w:val="21"/>
      <w:szCs w:val="22"/>
      <w:lang w:val="en-US" w:eastAsia="zh-CN" w:bidi="ar-SA"/>
    </w:rPr>
  </w:style>
  <w:style w:type="character" w:customStyle="1" w:styleId="30">
    <w:name w:val="批注框文本 Char"/>
    <w:basedOn w:val="10"/>
    <w:link w:val="5"/>
    <w:semiHidden/>
    <w:qFormat/>
    <w:uiPriority w:val="99"/>
    <w:rPr>
      <w:rFonts w:ascii="Calibri" w:hAnsi="Calibri" w:eastAsia="宋体" w:cs="黑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5226</Words>
  <Characters>5306</Characters>
  <Lines>24</Lines>
  <Paragraphs>6</Paragraphs>
  <TotalTime>4</TotalTime>
  <ScaleCrop>false</ScaleCrop>
  <LinksUpToDate>false</LinksUpToDate>
  <CharactersWithSpaces>5316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2020-11-17T03:37:00Z</dcterms:created>
  <dc:creator>lenovo</dc:creator>
  <cp:lastModifiedBy>觉醒</cp:lastModifiedBy>
  <dcterms:modified xsi:type="dcterms:W3CDTF">2025-04-15T02:49:16Z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DD97F922F7CD416D87DA73770729B96A_13</vt:lpwstr>
  </property>
  <property fmtid="{D5CDD505-2E9C-101B-9397-08002B2CF9AE}" pid="4" name="KSOTemplateDocerSaveRecord">
    <vt:lpwstr>eyJoZGlkIjoiNmY2NzU1MjVmYTk5NzZhYjRiNzI1MTMyOWI0OGIyMGQiLCJ1c2VySWQiOiI0NDYxOTcxMTIifQ==</vt:lpwstr>
  </property>
</Properties>
</file>