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19D55E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501A2950">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35B6028F">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点击此处添加ICS号</w:t>
            </w:r>
            <w:r>
              <w:rPr>
                <w:rFonts w:ascii="黑体" w:hAnsi="黑体" w:eastAsia="黑体"/>
                <w:sz w:val="21"/>
                <w:szCs w:val="21"/>
              </w:rPr>
              <w:fldChar w:fldCharType="end"/>
            </w:r>
            <w:bookmarkEnd w:id="0"/>
          </w:p>
        </w:tc>
      </w:tr>
      <w:tr w14:paraId="43FCD0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03AB1F66">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1914AB64">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点击此处添加CCS号</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6661"/>
      </w:tblGrid>
      <w:tr w14:paraId="0EA0830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6661" w:type="dxa"/>
          </w:tcPr>
          <w:p w14:paraId="3FB17C81">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     </w:t>
            </w:r>
            <w:r>
              <w:fldChar w:fldCharType="end"/>
            </w:r>
            <w:bookmarkEnd w:id="3"/>
          </w:p>
        </w:tc>
      </w:tr>
    </w:tbl>
    <w:p w14:paraId="1F9828D0">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ascii="黑体" w:eastAsia="黑体"/>
          <w:b w:val="0"/>
          <w:w w:val="100"/>
          <w:sz w:val="48"/>
        </w:rPr>
        <w:t>     </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3A8C5811">
      <w:pPr>
        <w:pStyle w:val="195"/>
      </w:pPr>
      <w:r>
        <w:t>DB</w:t>
      </w:r>
      <w:r>
        <w:fldChar w:fldCharType="begin">
          <w:ffData>
            <w:name w:val="文字1"/>
            <w:enabled/>
            <w:calcOnExit w:val="0"/>
            <w:textInput>
              <w:default w:val="XX"/>
            </w:textInput>
          </w:ffData>
        </w:fldChar>
      </w:r>
      <w:bookmarkStart w:id="5" w:name="文字1"/>
      <w:r>
        <w:instrText xml:space="preserve"> FORMTEXT </w:instrText>
      </w:r>
      <w:r>
        <w:fldChar w:fldCharType="separate"/>
      </w:r>
      <w:r>
        <w:t>XX</w:t>
      </w:r>
      <w:r>
        <w:fldChar w:fldCharType="end"/>
      </w:r>
      <w:bookmarkEnd w:id="5"/>
      <w:r>
        <w:rPr>
          <w:rFonts w:hint="eastAsia"/>
        </w:rPr>
        <w:t>/T</w:t>
      </w:r>
      <w:r>
        <w:t xml:space="preserve"> </w:t>
      </w:r>
      <w:r>
        <w:fldChar w:fldCharType="begin">
          <w:ffData>
            <w:name w:val="NSTD_CODE_F"/>
            <w:enabled/>
            <w:calcOnExit w:val="0"/>
            <w:textInput>
              <w:default w:val="XXXXX"/>
            </w:textInput>
          </w:ffData>
        </w:fldChar>
      </w:r>
      <w:bookmarkStart w:id="6" w:name="NSTD_CODE_F"/>
      <w:r>
        <w:instrText xml:space="preserve"> FORMTEXT </w:instrText>
      </w:r>
      <w:r>
        <w:fldChar w:fldCharType="separate"/>
      </w:r>
      <w:r>
        <w:t>XXXXX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14:paraId="0FC1538E">
      <w:pPr>
        <w:pStyle w:val="196"/>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bookmarkStart w:id="27" w:name="_GoBack"/>
      <w:bookmarkEnd w:id="27"/>
      <w:r>
        <w:rPr>
          <w:rFonts w:hAnsi="黑体"/>
        </w:rPr>
        <w:t>     </w:t>
      </w:r>
      <w:r>
        <w:rPr>
          <w:rFonts w:hAnsi="黑体"/>
        </w:rPr>
        <w:fldChar w:fldCharType="end"/>
      </w:r>
      <w:bookmarkEnd w:id="8"/>
    </w:p>
    <w:p w14:paraId="637E7897">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7B892ED3">
      <w:pPr>
        <w:pStyle w:val="50"/>
        <w:framePr w:w="9639" w:h="6976" w:hRule="exact" w:hSpace="0" w:vSpace="0" w:wrap="around" w:hAnchor="page" w:y="6408"/>
        <w:jc w:val="center"/>
        <w:rPr>
          <w:rFonts w:ascii="黑体" w:hAnsi="黑体" w:eastAsia="黑体"/>
          <w:b w:val="0"/>
          <w:bCs w:val="0"/>
          <w:w w:val="100"/>
        </w:rPr>
      </w:pPr>
    </w:p>
    <w:p w14:paraId="30EC35BA">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雄安甘薯质量分级</w:t>
      </w:r>
      <w:r>
        <w:fldChar w:fldCharType="end"/>
      </w:r>
      <w:bookmarkEnd w:id="9"/>
    </w:p>
    <w:p w14:paraId="48FBCE2C">
      <w:pPr>
        <w:framePr w:w="9639" w:h="6974" w:hRule="exact" w:wrap="around" w:vAnchor="page" w:hAnchor="page" w:x="1419" w:y="6408" w:anchorLock="1"/>
        <w:ind w:left="-1418"/>
      </w:pPr>
    </w:p>
    <w:p w14:paraId="6E65D1B6">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点击此处添加标准名称的英文译名</w:t>
      </w:r>
      <w:r>
        <w:rPr>
          <w:rFonts w:eastAsia="黑体"/>
          <w:szCs w:val="28"/>
        </w:rPr>
        <w:fldChar w:fldCharType="end"/>
      </w:r>
      <w:bookmarkEnd w:id="10"/>
    </w:p>
    <w:p w14:paraId="589F325F">
      <w:pPr>
        <w:framePr w:w="9639" w:h="6974" w:hRule="exact" w:wrap="around" w:vAnchor="page" w:hAnchor="page" w:x="1419" w:y="6408" w:anchorLock="1"/>
        <w:spacing w:line="760" w:lineRule="exact"/>
        <w:ind w:left="-1418"/>
      </w:pPr>
    </w:p>
    <w:p w14:paraId="327AAA89">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IN_STD_CODE"/>
            <w:enabled/>
            <w:calcOnExit w:val="0"/>
            <w:textInput>
              <w:default w:val="(点击此处添加与国际标准一致性程度的标识)"/>
            </w:textInput>
          </w:ffData>
        </w:fldChar>
      </w:r>
      <w:bookmarkStart w:id="11" w:name="IN_STD_CODE"/>
      <w:r>
        <w:rPr>
          <w:rFonts w:eastAsia="黑体"/>
          <w:szCs w:val="28"/>
        </w:rPr>
        <w:instrText xml:space="preserve"> FORMTEXT </w:instrText>
      </w:r>
      <w:r>
        <w:rPr>
          <w:rFonts w:eastAsia="黑体"/>
          <w:szCs w:val="28"/>
        </w:rPr>
        <w:fldChar w:fldCharType="separate"/>
      </w:r>
      <w:r>
        <w:rPr>
          <w:rFonts w:eastAsia="黑体"/>
          <w:szCs w:val="28"/>
        </w:rPr>
        <w:t>(点击此处添加与国际标准一致性程度的标识)</w:t>
      </w:r>
      <w:r>
        <w:rPr>
          <w:rFonts w:eastAsia="黑体"/>
          <w:szCs w:val="28"/>
        </w:rPr>
        <w:fldChar w:fldCharType="end"/>
      </w:r>
      <w:bookmarkEnd w:id="11"/>
    </w:p>
    <w:p w14:paraId="31BC76AA">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Pr>
          <w:sz w:val="24"/>
          <w:szCs w:val="28"/>
        </w:rPr>
        <w:instrText xml:space="preserve"> FORMDROPDOWN </w:instrText>
      </w:r>
      <w:r>
        <w:rPr>
          <w:sz w:val="24"/>
          <w:szCs w:val="28"/>
        </w:rPr>
        <w:fldChar w:fldCharType="separate"/>
      </w:r>
      <w:r>
        <w:rPr>
          <w:sz w:val="24"/>
          <w:szCs w:val="28"/>
        </w:rPr>
        <w:fldChar w:fldCharType="end"/>
      </w:r>
      <w:bookmarkEnd w:id="12"/>
    </w:p>
    <w:p w14:paraId="2C87D9F1">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3"/>
    </w:p>
    <w:p w14:paraId="7BBCD09E">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4" w:name="下拉2"/>
      <w:r>
        <w:rPr>
          <w:b/>
          <w:sz w:val="21"/>
          <w:szCs w:val="28"/>
        </w:rPr>
        <w:instrText xml:space="preserve"> FORMDROPDOWN </w:instrText>
      </w:r>
      <w:r>
        <w:rPr>
          <w:b/>
          <w:sz w:val="21"/>
          <w:szCs w:val="28"/>
        </w:rPr>
        <w:fldChar w:fldCharType="separate"/>
      </w:r>
      <w:r>
        <w:rPr>
          <w:b/>
          <w:sz w:val="21"/>
          <w:szCs w:val="28"/>
        </w:rPr>
        <w:fldChar w:fldCharType="end"/>
      </w:r>
      <w:bookmarkEnd w:id="14"/>
    </w:p>
    <w:p w14:paraId="22F6C673">
      <w:pPr>
        <w:pStyle w:val="193"/>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rPr>
          <w:rFonts w:hint="eastAsia"/>
        </w:rPr>
        <w:t>发布</w:t>
      </w:r>
    </w:p>
    <w:p w14:paraId="22E81454">
      <w:pPr>
        <w:pStyle w:val="194"/>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8"/>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20"/>
      <w:r>
        <w:rPr>
          <w:rFonts w:hint="eastAsia"/>
        </w:rPr>
        <w:t>实施</w:t>
      </w:r>
    </w:p>
    <w:p w14:paraId="51B04038">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1" w:name="fm"/>
      <w:r>
        <w:rPr>
          <w:rFonts w:hAnsi="黑体"/>
          <w:w w:val="100"/>
          <w:sz w:val="28"/>
        </w:rPr>
        <w:instrText xml:space="preserve"> FORMTEXT </w:instrText>
      </w:r>
      <w:r>
        <w:rPr>
          <w:rFonts w:hAnsi="黑体"/>
          <w:w w:val="100"/>
          <w:sz w:val="28"/>
        </w:rPr>
        <w:fldChar w:fldCharType="separate"/>
      </w:r>
      <w:r>
        <w:rPr>
          <w:rFonts w:hAnsi="黑体"/>
          <w:w w:val="100"/>
          <w:sz w:val="28"/>
        </w:rPr>
        <w:t>     </w:t>
      </w:r>
      <w:r>
        <w:rPr>
          <w:rFonts w:hAnsi="黑体"/>
          <w:w w:val="100"/>
          <w:sz w:val="28"/>
        </w:rPr>
        <w:fldChar w:fldCharType="end"/>
      </w:r>
      <w:bookmarkEnd w:id="21"/>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12174D07">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12A1519F">
      <w:pPr>
        <w:pStyle w:val="89"/>
        <w:spacing w:after="468"/>
      </w:pPr>
      <w:bookmarkStart w:id="22" w:name="BookMark2"/>
      <w:r>
        <w:rPr>
          <w:spacing w:val="320"/>
        </w:rPr>
        <w:t>前</w:t>
      </w:r>
      <w:r>
        <w:t>言</w:t>
      </w:r>
    </w:p>
    <w:p w14:paraId="5E466EC9">
      <w:pPr>
        <w:pStyle w:val="56"/>
        <w:ind w:firstLine="420"/>
      </w:pPr>
      <w:r>
        <w:rPr>
          <w:rFonts w:hint="eastAsia"/>
        </w:rPr>
        <w:t>本文件按照GB/T 1.1—2020《标准化工作导则  第1部分：标准化文件的结构和起草规则》的规定起草。</w:t>
      </w:r>
    </w:p>
    <w:p w14:paraId="5D1860AF">
      <w:pPr>
        <w:pStyle w:val="56"/>
        <w:ind w:firstLine="420"/>
      </w:pPr>
      <w:r>
        <w:rPr>
          <w:rFonts w:hint="eastAsia"/>
        </w:rPr>
        <w:t>本文件与其他文件的关系。</w:t>
      </w:r>
    </w:p>
    <w:p w14:paraId="2F513FDA">
      <w:pPr>
        <w:pStyle w:val="56"/>
        <w:ind w:firstLine="420"/>
      </w:pPr>
      <w:r>
        <w:rPr>
          <w:rFonts w:hint="eastAsia"/>
        </w:rPr>
        <w:t>本文件与代替文件的关系。</w:t>
      </w:r>
    </w:p>
    <w:p w14:paraId="7A8DD8EF">
      <w:pPr>
        <w:pStyle w:val="56"/>
        <w:ind w:firstLine="420"/>
      </w:pPr>
      <w:r>
        <w:rPr>
          <w:rFonts w:hint="eastAsia"/>
        </w:rPr>
        <w:t>本文件由XXXX提出并归口。</w:t>
      </w:r>
    </w:p>
    <w:p w14:paraId="4E5CD9A8">
      <w:pPr>
        <w:pStyle w:val="56"/>
        <w:ind w:firstLine="420"/>
      </w:pPr>
      <w:r>
        <w:rPr>
          <w:rFonts w:hint="eastAsia"/>
        </w:rPr>
        <w:t>本文件起草单位：</w:t>
      </w:r>
    </w:p>
    <w:p w14:paraId="64E9E887">
      <w:pPr>
        <w:pStyle w:val="56"/>
        <w:ind w:firstLine="420"/>
      </w:pPr>
      <w:r>
        <w:rPr>
          <w:rFonts w:hint="eastAsia"/>
        </w:rPr>
        <w:t>本文件主要起草人：</w:t>
      </w:r>
    </w:p>
    <w:p w14:paraId="531CF1B3">
      <w:pPr>
        <w:pStyle w:val="56"/>
        <w:ind w:firstLine="420"/>
      </w:pPr>
    </w:p>
    <w:p w14:paraId="2F198098">
      <w:pPr>
        <w:pStyle w:val="56"/>
        <w:ind w:firstLine="420"/>
        <w:sectPr>
          <w:headerReference r:id="rId11" w:type="default"/>
          <w:footerReference r:id="rId13" w:type="default"/>
          <w:headerReference r:id="rId12" w:type="even"/>
          <w:pgSz w:w="11906" w:h="16838"/>
          <w:pgMar w:top="567" w:right="1134" w:bottom="1134" w:left="1134" w:header="1418" w:footer="1134" w:gutter="284"/>
          <w:pgNumType w:fmt="upperRoman" w:start="1"/>
          <w:cols w:space="425" w:num="1"/>
          <w:formProt w:val="0"/>
          <w:docGrid w:type="lines" w:linePitch="312" w:charSpace="0"/>
        </w:sectPr>
      </w:pPr>
    </w:p>
    <w:bookmarkEnd w:id="22"/>
    <w:p w14:paraId="453E9AF8">
      <w:pPr>
        <w:pStyle w:val="89"/>
        <w:spacing w:after="468"/>
      </w:pPr>
      <w:bookmarkStart w:id="23" w:name="BookMark3"/>
      <w:r>
        <w:rPr>
          <w:spacing w:val="320"/>
        </w:rPr>
        <w:t>引</w:t>
      </w:r>
      <w:r>
        <w:t>言</w:t>
      </w:r>
    </w:p>
    <w:p w14:paraId="59C7CF71">
      <w:pPr>
        <w:pStyle w:val="56"/>
        <w:ind w:firstLine="420"/>
      </w:pPr>
      <w:r>
        <w:rPr>
          <w:rFonts w:hint="eastAsia"/>
        </w:rPr>
        <w:t>甘薯作为雄安新区特色农业产业的优势品类之一，具有种植面积大、储藏能力强、销售区域广、销售口碑好等优势。但长期以来，雄安新区尚无针对甘薯产品质量分级方面的标准，对于合同订立及产品交易方面缺乏相关依据，无法实现</w:t>
      </w:r>
      <w:r>
        <w:t>分等论价、按质论价、优质优价、劣质劣价，</w:t>
      </w:r>
      <w:r>
        <w:rPr>
          <w:rFonts w:hint="eastAsia"/>
        </w:rPr>
        <w:t>阻碍了雄安新区甘薯产业的进步和发展，不利于进一步发展区域品牌战略。</w:t>
      </w:r>
    </w:p>
    <w:p w14:paraId="264F824C">
      <w:pPr>
        <w:pStyle w:val="56"/>
        <w:ind w:firstLine="420"/>
      </w:pPr>
      <w:r>
        <w:rPr>
          <w:rFonts w:hint="eastAsia"/>
        </w:rPr>
        <w:t>2023年，为增强雄安新区雄县甘薯产业核心竞争力，打造区域甘薯产业品牌，专门成立了雄县甘薯产业协会，要求制定统一的生产标准和质量标准。2024年，</w:t>
      </w:r>
      <w:r>
        <w:t>为加快实施雄安新区品牌强农战略，</w:t>
      </w:r>
      <w:r>
        <w:rPr>
          <w:rFonts w:hint="eastAsia"/>
        </w:rPr>
        <w:t>助推“雄安甘薯”品牌发展，河北雄安新区管理委员会公共服务局专门发布实施了《“雄安甘薯”区域公用品牌使用管理办法（试行）》，有利于进一步增强“雄安甘薯”区域公用品牌市场竞争优势。</w:t>
      </w:r>
    </w:p>
    <w:p w14:paraId="39A5149C">
      <w:pPr>
        <w:pStyle w:val="56"/>
        <w:ind w:firstLine="420"/>
      </w:pPr>
      <w:r>
        <w:rPr>
          <w:rFonts w:hint="eastAsia"/>
        </w:rPr>
        <w:t>因此编制本标准，对于促进甘薯产业发展、品牌建设和效益提升，助推雄安新区农业高质量发展和乡村振兴战略的有效实施均具有十分重要的意义。</w:t>
      </w:r>
    </w:p>
    <w:p w14:paraId="5952799B">
      <w:pPr>
        <w:pStyle w:val="56"/>
        <w:ind w:firstLine="420"/>
      </w:pPr>
    </w:p>
    <w:p w14:paraId="6AC504A3">
      <w:pPr>
        <w:pStyle w:val="56"/>
        <w:ind w:firstLine="420"/>
        <w:sectPr>
          <w:pgSz w:w="11906" w:h="16838"/>
          <w:pgMar w:top="567" w:right="1134" w:bottom="1134" w:left="1134" w:header="1418" w:footer="1134" w:gutter="284"/>
          <w:pgNumType w:fmt="upperRoman"/>
          <w:cols w:space="425" w:num="1"/>
          <w:formProt w:val="0"/>
          <w:docGrid w:type="lines" w:linePitch="312" w:charSpace="0"/>
        </w:sectPr>
      </w:pPr>
    </w:p>
    <w:bookmarkEnd w:id="23"/>
    <w:p w14:paraId="61CEA60A">
      <w:pPr>
        <w:spacing w:line="20" w:lineRule="exact"/>
        <w:jc w:val="center"/>
        <w:rPr>
          <w:rFonts w:ascii="黑体" w:hAnsi="黑体" w:eastAsia="黑体"/>
          <w:sz w:val="32"/>
          <w:szCs w:val="32"/>
        </w:rPr>
      </w:pPr>
      <w:bookmarkStart w:id="24" w:name="BookMark4"/>
    </w:p>
    <w:p w14:paraId="7792BC78">
      <w:pPr>
        <w:spacing w:line="20" w:lineRule="exact"/>
        <w:jc w:val="center"/>
        <w:rPr>
          <w:rFonts w:ascii="黑体" w:hAnsi="黑体" w:eastAsia="黑体"/>
          <w:sz w:val="32"/>
          <w:szCs w:val="32"/>
        </w:rPr>
      </w:pPr>
    </w:p>
    <w:sdt>
      <w:sdtPr>
        <w:tag w:val="NEW_STAND_NAME"/>
        <w:id w:val="595910757"/>
        <w:lock w:val="sdtLocked"/>
        <w:placeholder>
          <w:docPart w:val="93F1F6BE9F8B49B582C0C938A0B20B27"/>
        </w:placeholder>
      </w:sdtPr>
      <w:sdtContent>
        <w:p w14:paraId="4BFE9B5A">
          <w:pPr>
            <w:pStyle w:val="177"/>
            <w:spacing w:before="312" w:beforeLines="100" w:after="686" w:afterLines="220"/>
          </w:pPr>
          <w:bookmarkStart w:id="25" w:name="NEW_STAND_NAME"/>
          <w:r>
            <w:rPr>
              <w:rFonts w:hint="eastAsia"/>
            </w:rPr>
            <w:t>雄安甘薯质量分级</w:t>
          </w:r>
        </w:p>
      </w:sdtContent>
    </w:sdt>
    <w:bookmarkEnd w:id="24"/>
    <w:bookmarkEnd w:id="25"/>
    <w:p w14:paraId="68DFD547">
      <w:pPr>
        <w:pStyle w:val="104"/>
        <w:spacing w:before="312" w:after="312"/>
      </w:pPr>
      <w:bookmarkStart w:id="26" w:name="BookMark5"/>
      <w:r>
        <w:rPr>
          <w:rFonts w:hint="eastAsia"/>
        </w:rPr>
        <w:t>范围</w:t>
      </w:r>
    </w:p>
    <w:p w14:paraId="2CD69187">
      <w:pPr>
        <w:pStyle w:val="56"/>
        <w:ind w:firstLine="420"/>
      </w:pPr>
      <w:r>
        <w:rPr>
          <w:rFonts w:hint="eastAsia"/>
        </w:rPr>
        <w:t>本文件规定了雄安新区甘薯物理特性的质量分级和规格等级要求，描述了相应的检测方法、检验规则、标签、包装、运输和贮藏，不涉及甘薯化学特性的质量分级。</w:t>
      </w:r>
    </w:p>
    <w:p w14:paraId="105961CB">
      <w:pPr>
        <w:pStyle w:val="56"/>
        <w:ind w:firstLine="420"/>
      </w:pPr>
      <w:r>
        <w:rPr>
          <w:rFonts w:hint="eastAsia"/>
        </w:rPr>
        <w:t>本文件适用于雄安新区烟薯和龙薯的质量分级，不适用于加工用甘薯。</w:t>
      </w:r>
    </w:p>
    <w:p w14:paraId="046C306B">
      <w:pPr>
        <w:pStyle w:val="104"/>
        <w:spacing w:before="312" w:after="312"/>
      </w:pPr>
      <w:r>
        <w:rPr>
          <w:rFonts w:hint="eastAsia"/>
        </w:rPr>
        <w:t>规范性引用文件</w:t>
      </w:r>
    </w:p>
    <w:sdt>
      <w:sdtPr>
        <w:rPr>
          <w:rFonts w:hint="eastAsia"/>
        </w:rPr>
        <w:id w:val="715848253"/>
        <w:placeholder>
          <w:docPart w:val="253A401B411F46329CB77713AAA92563"/>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49874C42">
          <w:pPr>
            <w:pStyle w:val="56"/>
            <w:ind w:firstLine="420"/>
            <w:rPr>
              <w:rFonts w:hint="eastAsia"/>
            </w:rPr>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4A888881"/>
    <w:p w14:paraId="7D12AAB9">
      <w:pPr>
        <w:pStyle w:val="56"/>
        <w:ind w:firstLine="420"/>
      </w:pPr>
      <w:r>
        <w:t xml:space="preserve">GB/T 32950 </w:t>
      </w:r>
      <w:r>
        <w:rPr>
          <w:rFonts w:hint="eastAsia"/>
        </w:rPr>
        <w:t xml:space="preserve"> 鲜活农产品标签标识</w:t>
      </w:r>
    </w:p>
    <w:p w14:paraId="69437313">
      <w:pPr>
        <w:pStyle w:val="56"/>
        <w:ind w:firstLine="420"/>
        <w:rPr>
          <w:rFonts w:hint="eastAsia"/>
        </w:rPr>
      </w:pPr>
      <w:r>
        <w:rPr>
          <w:rFonts w:hint="eastAsia"/>
        </w:rPr>
        <w:t>GB/T 10220-2012 感官分析 方法学 总论</w:t>
      </w:r>
    </w:p>
    <w:p w14:paraId="5FCB14B7">
      <w:pPr>
        <w:pStyle w:val="56"/>
        <w:ind w:firstLine="420"/>
        <w:rPr>
          <w:rFonts w:hint="eastAsia"/>
        </w:rPr>
      </w:pPr>
      <w:r>
        <w:rPr>
          <w:rFonts w:hint="eastAsia"/>
        </w:rPr>
        <w:t>GB/T 12315-2008 感官分析 方法学 排序法</w:t>
      </w:r>
    </w:p>
    <w:p w14:paraId="2ED58728">
      <w:pPr>
        <w:pStyle w:val="56"/>
        <w:ind w:firstLine="420"/>
        <w:rPr>
          <w:rFonts w:hint="eastAsia"/>
        </w:rPr>
      </w:pPr>
      <w:r>
        <w:rPr>
          <w:rFonts w:hint="eastAsia"/>
        </w:rPr>
        <w:t>GB/T 13868-2009 感官分析 建立感官分析实验室的一般导则</w:t>
      </w:r>
    </w:p>
    <w:p w14:paraId="163D6BAE">
      <w:pPr>
        <w:pStyle w:val="56"/>
        <w:ind w:firstLine="420"/>
        <w:rPr>
          <w:rFonts w:hint="eastAsia"/>
        </w:rPr>
      </w:pPr>
      <w:r>
        <w:rPr>
          <w:rFonts w:hint="eastAsia"/>
        </w:rPr>
        <w:t>GB/T 21172-2007 感官分析 食品感官质量控制导则</w:t>
      </w:r>
    </w:p>
    <w:p w14:paraId="0103A69D">
      <w:pPr>
        <w:pStyle w:val="56"/>
        <w:ind w:firstLine="420"/>
      </w:pPr>
      <w:r>
        <w:rPr>
          <w:rFonts w:hint="eastAsia"/>
        </w:rPr>
        <w:t>N</w:t>
      </w:r>
      <w:r>
        <w:t xml:space="preserve">Y/T 2642 </w:t>
      </w:r>
      <w:r>
        <w:rPr>
          <w:rFonts w:hint="eastAsia"/>
        </w:rPr>
        <w:t xml:space="preserve"> </w:t>
      </w:r>
      <w:r>
        <w:t xml:space="preserve"> </w:t>
      </w:r>
      <w:r>
        <w:rPr>
          <w:rFonts w:hint="eastAsia"/>
        </w:rPr>
        <w:t>甘薯等级规格</w:t>
      </w:r>
    </w:p>
    <w:p w14:paraId="17BA8419">
      <w:pPr>
        <w:pStyle w:val="56"/>
        <w:ind w:firstLine="420"/>
      </w:pPr>
      <w:r>
        <w:rPr>
          <w:rFonts w:hint="eastAsia"/>
        </w:rPr>
        <w:t>N</w:t>
      </w:r>
      <w:r>
        <w:t xml:space="preserve">Y/T 2789 </w:t>
      </w:r>
      <w:r>
        <w:rPr>
          <w:rFonts w:hint="eastAsia"/>
        </w:rPr>
        <w:t xml:space="preserve"> </w:t>
      </w:r>
      <w:r>
        <w:t xml:space="preserve"> </w:t>
      </w:r>
      <w:r>
        <w:rPr>
          <w:rFonts w:hint="eastAsia"/>
        </w:rPr>
        <w:t>薯类贮藏技术规范</w:t>
      </w:r>
    </w:p>
    <w:p w14:paraId="69E5F259">
      <w:pPr>
        <w:pStyle w:val="56"/>
        <w:ind w:firstLine="420"/>
      </w:pPr>
      <w:r>
        <w:t xml:space="preserve">NY/T 3339 </w:t>
      </w:r>
      <w:r>
        <w:rPr>
          <w:rFonts w:hint="eastAsia"/>
        </w:rPr>
        <w:t xml:space="preserve"> </w:t>
      </w:r>
      <w:r>
        <w:t xml:space="preserve"> </w:t>
      </w:r>
      <w:r>
        <w:rPr>
          <w:rFonts w:hint="eastAsia"/>
        </w:rPr>
        <w:t>甘薯贮运技术规程</w:t>
      </w:r>
    </w:p>
    <w:p w14:paraId="09A8C4E1">
      <w:pPr>
        <w:pStyle w:val="56"/>
        <w:ind w:firstLine="420"/>
      </w:pPr>
      <w:r>
        <w:rPr>
          <w:rFonts w:hint="eastAsia"/>
        </w:rPr>
        <w:t>T/CAQI 224-2021 鲜食甘薯等级规格</w:t>
      </w:r>
    </w:p>
    <w:p w14:paraId="3BDBE439">
      <w:pPr>
        <w:pStyle w:val="104"/>
        <w:numPr>
          <w:ilvl w:val="1"/>
          <w:numId w:val="0"/>
        </w:numPr>
        <w:spacing w:before="312" w:after="312"/>
      </w:pPr>
      <w:r>
        <w:rPr>
          <w:rFonts w:hint="eastAsia"/>
        </w:rPr>
        <w:t>3 术语和定义</w:t>
      </w:r>
    </w:p>
    <w:p w14:paraId="266754BB">
      <w:pPr>
        <w:spacing w:line="360" w:lineRule="auto"/>
        <w:rPr>
          <w:rFonts w:ascii="黑体" w:hAnsi="黑体" w:eastAsia="黑体"/>
        </w:rPr>
      </w:pPr>
      <w:r>
        <w:rPr>
          <w:rFonts w:ascii="黑体" w:hAnsi="黑体" w:eastAsia="黑体"/>
        </w:rPr>
        <w:t>3.1</w:t>
      </w:r>
      <w:r>
        <w:rPr>
          <w:rFonts w:hint="eastAsia" w:ascii="黑体" w:hAnsi="黑体" w:eastAsia="黑体"/>
        </w:rPr>
        <w:t>烟薯</w:t>
      </w:r>
      <w:r>
        <w:rPr>
          <w:rFonts w:ascii="黑体" w:hAnsi="黑体" w:eastAsia="黑体"/>
        </w:rPr>
        <w:t xml:space="preserve"> </w:t>
      </w:r>
    </w:p>
    <w:p w14:paraId="362777B7">
      <w:pPr>
        <w:pStyle w:val="56"/>
        <w:ind w:firstLine="420"/>
      </w:pPr>
      <w:r>
        <w:rPr>
          <w:rFonts w:hint="eastAsia"/>
        </w:rPr>
        <w:t>雄安地区种植的烟薯25号等红心甘薯品种，特征为高糖度、薯肉橙红（符合GB/T 21172-2007中“甜味强度”定义）。</w:t>
      </w:r>
    </w:p>
    <w:p w14:paraId="4EAD1712">
      <w:pPr>
        <w:spacing w:line="360" w:lineRule="auto"/>
        <w:rPr>
          <w:rFonts w:hint="eastAsia" w:ascii="黑体" w:hAnsi="黑体" w:eastAsia="黑体"/>
        </w:rPr>
      </w:pPr>
      <w:r>
        <w:rPr>
          <w:rFonts w:ascii="黑体" w:hAnsi="黑体" w:eastAsia="黑体"/>
        </w:rPr>
        <w:t>3.2</w:t>
      </w:r>
      <w:r>
        <w:rPr>
          <w:rFonts w:hint="eastAsia" w:ascii="黑体" w:hAnsi="黑体" w:eastAsia="黑体"/>
        </w:rPr>
        <w:t>龙薯</w:t>
      </w:r>
      <w:r>
        <w:rPr>
          <w:rFonts w:ascii="黑体" w:hAnsi="黑体" w:eastAsia="黑体"/>
        </w:rPr>
        <w:t xml:space="preserve"> </w:t>
      </w:r>
    </w:p>
    <w:p w14:paraId="0C5B5769">
      <w:pPr>
        <w:pStyle w:val="56"/>
        <w:ind w:firstLine="420"/>
        <w:rPr>
          <w:rFonts w:hint="eastAsia"/>
        </w:rPr>
      </w:pPr>
      <w:r>
        <w:rPr>
          <w:rFonts w:hint="eastAsia"/>
        </w:rPr>
        <w:t>龙薯：雄安地区种植的龙薯9号等黄心甘薯品种，特征为薯形匀称、质地细腻（符合GB/T 21172-2007中“质地均匀性”定义）。</w:t>
      </w:r>
    </w:p>
    <w:p w14:paraId="65DA2A0E">
      <w:pPr>
        <w:pStyle w:val="104"/>
        <w:numPr>
          <w:ilvl w:val="1"/>
          <w:numId w:val="0"/>
        </w:numPr>
        <w:spacing w:before="312" w:after="312"/>
      </w:pPr>
      <w:r>
        <w:t>4</w:t>
      </w:r>
      <w:r>
        <w:rPr>
          <w:rFonts w:hint="eastAsia"/>
        </w:rPr>
        <w:t xml:space="preserve"> 分级要求</w:t>
      </w:r>
    </w:p>
    <w:p w14:paraId="0EDFADB7">
      <w:pPr>
        <w:spacing w:line="360" w:lineRule="auto"/>
        <w:rPr>
          <w:rFonts w:ascii="黑体" w:hAnsi="黑体" w:eastAsia="黑体"/>
        </w:rPr>
      </w:pPr>
      <w:r>
        <w:rPr>
          <w:rFonts w:ascii="黑体" w:hAnsi="黑体" w:eastAsia="黑体"/>
        </w:rPr>
        <w:t>4</w:t>
      </w:r>
      <w:r>
        <w:rPr>
          <w:rFonts w:hint="eastAsia" w:ascii="黑体" w:hAnsi="黑体" w:eastAsia="黑体"/>
        </w:rPr>
        <w:t>.1 通用要求</w:t>
      </w:r>
    </w:p>
    <w:p w14:paraId="031EFE1C">
      <w:r>
        <w:rPr>
          <w:rFonts w:hint="eastAsia"/>
        </w:rPr>
        <w:t>生鲜状态：薯块完整，无腐烂、发芽、冻害；表面泥土≤总重2%（按GB/T 12315-2008抽样检测）。</w:t>
      </w:r>
    </w:p>
    <w:p w14:paraId="22B77AC9"/>
    <w:p w14:paraId="096468FC">
      <w:pPr>
        <w:spacing w:line="360" w:lineRule="auto"/>
        <w:rPr>
          <w:rFonts w:ascii="黑体" w:hAnsi="黑体" w:eastAsia="黑体"/>
        </w:rPr>
      </w:pPr>
      <w:r>
        <w:rPr>
          <w:rFonts w:ascii="黑体" w:hAnsi="黑体" w:eastAsia="黑体"/>
        </w:rPr>
        <w:t>4</w:t>
      </w:r>
      <w:r>
        <w:rPr>
          <w:rFonts w:hint="eastAsia" w:ascii="黑体" w:hAnsi="黑体" w:eastAsia="黑体"/>
        </w:rPr>
        <w:t>.2 烟薯分级指标</w:t>
      </w:r>
    </w:p>
    <w:tbl>
      <w:tblPr>
        <w:tblStyle w:val="27"/>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6"/>
        <w:gridCol w:w="2126"/>
        <w:gridCol w:w="1843"/>
        <w:gridCol w:w="1984"/>
        <w:gridCol w:w="1701"/>
      </w:tblGrid>
      <w:tr w14:paraId="3EED4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tcPr>
          <w:p w14:paraId="56D9918E">
            <w:pPr>
              <w:rPr>
                <w:b/>
              </w:rPr>
            </w:pPr>
            <w:r>
              <w:rPr>
                <w:rFonts w:hint="eastAsia"/>
                <w:b/>
              </w:rPr>
              <w:t>等级</w:t>
            </w:r>
          </w:p>
        </w:tc>
        <w:tc>
          <w:tcPr>
            <w:tcW w:w="2126" w:type="dxa"/>
          </w:tcPr>
          <w:p w14:paraId="35DEE7C5">
            <w:pPr>
              <w:rPr>
                <w:b/>
              </w:rPr>
            </w:pPr>
            <w:r>
              <w:rPr>
                <w:rFonts w:hint="eastAsia"/>
                <w:b/>
              </w:rPr>
              <w:t>单薯重（g）</w:t>
            </w:r>
          </w:p>
        </w:tc>
        <w:tc>
          <w:tcPr>
            <w:tcW w:w="1843" w:type="dxa"/>
          </w:tcPr>
          <w:p w14:paraId="36B14273">
            <w:pPr>
              <w:rPr>
                <w:b/>
              </w:rPr>
            </w:pPr>
            <w:r>
              <w:rPr>
                <w:rFonts w:hint="eastAsia"/>
                <w:b/>
              </w:rPr>
              <w:t>长度（cm）</w:t>
            </w:r>
          </w:p>
        </w:tc>
        <w:tc>
          <w:tcPr>
            <w:tcW w:w="1984" w:type="dxa"/>
          </w:tcPr>
          <w:p w14:paraId="24A5E3CB">
            <w:pPr>
              <w:rPr>
                <w:b/>
              </w:rPr>
            </w:pPr>
            <w:r>
              <w:rPr>
                <w:rFonts w:hint="eastAsia"/>
                <w:b/>
              </w:rPr>
              <w:t>生鲜外观要求</w:t>
            </w:r>
          </w:p>
        </w:tc>
        <w:tc>
          <w:tcPr>
            <w:tcW w:w="1701" w:type="dxa"/>
          </w:tcPr>
          <w:p w14:paraId="11F69CFF">
            <w:pPr>
              <w:rPr>
                <w:rFonts w:hint="eastAsia"/>
                <w:b/>
              </w:rPr>
            </w:pPr>
            <w:r>
              <w:rPr>
                <w:rFonts w:hint="eastAsia"/>
                <w:b/>
              </w:rPr>
              <w:t>气味要求</w:t>
            </w:r>
          </w:p>
        </w:tc>
      </w:tr>
      <w:tr w14:paraId="3528F8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tcPr>
          <w:p w14:paraId="24316A05">
            <w:r>
              <w:rPr>
                <w:rFonts w:hint="eastAsia"/>
              </w:rPr>
              <w:t>特级</w:t>
            </w:r>
          </w:p>
        </w:tc>
        <w:tc>
          <w:tcPr>
            <w:tcW w:w="2126" w:type="dxa"/>
          </w:tcPr>
          <w:p w14:paraId="4CBD51CD">
            <w:pPr>
              <w:rPr>
                <w:rFonts w:hint="default" w:eastAsia="宋体"/>
                <w:highlight w:val="none"/>
                <w:lang w:val="en-US" w:eastAsia="zh-CN"/>
              </w:rPr>
            </w:pPr>
            <w:r>
              <w:rPr>
                <w:rFonts w:hint="eastAsia"/>
                <w:highlight w:val="none"/>
                <w:lang w:val="en-US" w:eastAsia="zh-CN"/>
              </w:rPr>
              <w:t>300-600</w:t>
            </w:r>
          </w:p>
        </w:tc>
        <w:tc>
          <w:tcPr>
            <w:tcW w:w="1843" w:type="dxa"/>
          </w:tcPr>
          <w:p w14:paraId="0FB24B9D">
            <w:pPr>
              <w:rPr>
                <w:highlight w:val="none"/>
              </w:rPr>
            </w:pPr>
            <w:r>
              <w:rPr>
                <w:rFonts w:hint="eastAsia"/>
                <w:highlight w:val="none"/>
                <w:lang w:val="en-US" w:eastAsia="zh-CN"/>
              </w:rPr>
              <w:t>10-25</w:t>
            </w:r>
            <w:r>
              <w:rPr>
                <w:highlight w:val="none"/>
              </w:rPr>
              <w:t xml:space="preserve"> </w:t>
            </w:r>
          </w:p>
          <w:p w14:paraId="6B9F2D16">
            <w:pPr>
              <w:jc w:val="center"/>
              <w:rPr>
                <w:highlight w:val="none"/>
              </w:rPr>
            </w:pPr>
          </w:p>
        </w:tc>
        <w:tc>
          <w:tcPr>
            <w:tcW w:w="1984" w:type="dxa"/>
            <w:vAlign w:val="center"/>
          </w:tcPr>
          <w:p w14:paraId="33ADEDDF">
            <w:r>
              <w:rPr>
                <w:rFonts w:hint="eastAsia"/>
              </w:rPr>
              <w:t>表皮完整、光滑、无须根、无畸形、无开裂、无虫蚀、无发芽、无硬斑；无机械损伤</w:t>
            </w:r>
          </w:p>
        </w:tc>
        <w:tc>
          <w:tcPr>
            <w:tcW w:w="1701" w:type="dxa"/>
            <w:vAlign w:val="center"/>
          </w:tcPr>
          <w:p w14:paraId="437B7868">
            <w:r>
              <w:t>气味和滋味正常</w:t>
            </w:r>
          </w:p>
        </w:tc>
      </w:tr>
      <w:tr w14:paraId="7AFD4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tcPr>
          <w:p w14:paraId="1558927D">
            <w:r>
              <w:rPr>
                <w:rFonts w:hint="eastAsia"/>
              </w:rPr>
              <w:t>一级</w:t>
            </w:r>
          </w:p>
        </w:tc>
        <w:tc>
          <w:tcPr>
            <w:tcW w:w="2126" w:type="dxa"/>
          </w:tcPr>
          <w:p w14:paraId="0E43D6E6">
            <w:pPr>
              <w:rPr>
                <w:rFonts w:hint="default" w:eastAsia="宋体"/>
                <w:highlight w:val="none"/>
                <w:lang w:val="en-US" w:eastAsia="zh-CN"/>
              </w:rPr>
            </w:pPr>
            <w:r>
              <w:rPr>
                <w:rFonts w:hint="eastAsia"/>
                <w:highlight w:val="none"/>
                <w:lang w:val="en-US" w:eastAsia="zh-CN"/>
              </w:rPr>
              <w:t>150-300</w:t>
            </w:r>
            <w:r>
              <w:rPr>
                <w:rFonts w:hint="eastAsia"/>
                <w:highlight w:val="none"/>
              </w:rPr>
              <w:t>或</w:t>
            </w:r>
            <w:r>
              <w:rPr>
                <w:rFonts w:hint="eastAsia"/>
                <w:highlight w:val="none"/>
                <w:lang w:val="en-US" w:eastAsia="zh-CN"/>
              </w:rPr>
              <w:t>600-1000</w:t>
            </w:r>
          </w:p>
        </w:tc>
        <w:tc>
          <w:tcPr>
            <w:tcW w:w="1843" w:type="dxa"/>
          </w:tcPr>
          <w:p w14:paraId="79AA4FC1">
            <w:pPr>
              <w:rPr>
                <w:highlight w:val="none"/>
              </w:rPr>
            </w:pPr>
            <w:r>
              <w:rPr>
                <w:rFonts w:hint="eastAsia"/>
                <w:highlight w:val="none"/>
                <w:lang w:val="en-US" w:eastAsia="zh-CN"/>
              </w:rPr>
              <w:t>10-20</w:t>
            </w:r>
            <w:r>
              <w:rPr>
                <w:highlight w:val="none"/>
              </w:rPr>
              <w:t xml:space="preserve"> </w:t>
            </w:r>
          </w:p>
        </w:tc>
        <w:tc>
          <w:tcPr>
            <w:tcW w:w="1984" w:type="dxa"/>
          </w:tcPr>
          <w:p w14:paraId="41F1B1DB">
            <w:r>
              <w:rPr>
                <w:rFonts w:hint="eastAsia"/>
              </w:rPr>
              <w:t>表皮较完整、光滑、无须根、无明显的畸形、开裂、虫蚀、发芽、硬斑；允许≤2处表皮擦伤（每处≤1cm）</w:t>
            </w:r>
          </w:p>
        </w:tc>
        <w:tc>
          <w:tcPr>
            <w:tcW w:w="1701" w:type="dxa"/>
            <w:vAlign w:val="center"/>
          </w:tcPr>
          <w:p w14:paraId="30C6F476">
            <w:r>
              <w:t>气味和滋味</w:t>
            </w:r>
            <w:r>
              <w:rPr>
                <w:rFonts w:hint="eastAsia"/>
              </w:rPr>
              <w:t>较</w:t>
            </w:r>
            <w:r>
              <w:t>正常</w:t>
            </w:r>
          </w:p>
        </w:tc>
      </w:tr>
      <w:tr w14:paraId="47B138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tcPr>
          <w:p w14:paraId="32D6ECE5">
            <w:r>
              <w:rPr>
                <w:rFonts w:hint="eastAsia"/>
              </w:rPr>
              <w:t>二级</w:t>
            </w:r>
          </w:p>
        </w:tc>
        <w:tc>
          <w:tcPr>
            <w:tcW w:w="2126" w:type="dxa"/>
          </w:tcPr>
          <w:p w14:paraId="72E1BA9D">
            <w:pPr>
              <w:rPr>
                <w:rFonts w:hint="default" w:eastAsia="宋体"/>
                <w:highlight w:val="none"/>
                <w:lang w:val="en-US" w:eastAsia="zh-CN"/>
              </w:rPr>
            </w:pPr>
            <w:r>
              <w:rPr>
                <w:rFonts w:hint="eastAsia"/>
                <w:highlight w:val="none"/>
                <w:lang w:val="en-US" w:eastAsia="zh-CN"/>
              </w:rPr>
              <w:t>50-150</w:t>
            </w:r>
            <w:r>
              <w:rPr>
                <w:rFonts w:hint="eastAsia"/>
                <w:highlight w:val="none"/>
              </w:rPr>
              <w:t>或</w:t>
            </w:r>
            <w:r>
              <w:rPr>
                <w:rFonts w:hint="eastAsia"/>
                <w:highlight w:val="none"/>
                <w:lang w:val="en-US" w:eastAsia="zh-CN"/>
              </w:rPr>
              <w:t>≥1000</w:t>
            </w:r>
          </w:p>
        </w:tc>
        <w:tc>
          <w:tcPr>
            <w:tcW w:w="1843" w:type="dxa"/>
          </w:tcPr>
          <w:p w14:paraId="61FA19EE">
            <w:pPr>
              <w:rPr>
                <w:highlight w:val="none"/>
              </w:rPr>
            </w:pPr>
            <w:r>
              <w:rPr>
                <w:rFonts w:hint="eastAsia"/>
                <w:highlight w:val="none"/>
                <w:lang w:val="en-US" w:eastAsia="zh-CN"/>
              </w:rPr>
              <w:t>10-20，≥2000g无要求</w:t>
            </w:r>
          </w:p>
        </w:tc>
        <w:tc>
          <w:tcPr>
            <w:tcW w:w="1984" w:type="dxa"/>
          </w:tcPr>
          <w:p w14:paraId="5F3DF8F8">
            <w:r>
              <w:rPr>
                <w:rFonts w:hint="eastAsia"/>
              </w:rPr>
              <w:t>表皮基本完整、光滑、允许有轻微的畸形、开裂、虫蚀、发芽、硬斑；允许1条裂痕（长度≤3cm）</w:t>
            </w:r>
          </w:p>
        </w:tc>
        <w:tc>
          <w:tcPr>
            <w:tcW w:w="1701" w:type="dxa"/>
            <w:vAlign w:val="center"/>
          </w:tcPr>
          <w:p w14:paraId="19B7CAA1">
            <w:r>
              <w:t>气味和滋味</w:t>
            </w:r>
            <w:r>
              <w:rPr>
                <w:rFonts w:hint="eastAsia"/>
              </w:rPr>
              <w:t>基本</w:t>
            </w:r>
            <w:r>
              <w:t>正常</w:t>
            </w:r>
          </w:p>
        </w:tc>
      </w:tr>
    </w:tbl>
    <w:p w14:paraId="6DF20966">
      <w:pPr>
        <w:spacing w:line="360" w:lineRule="auto"/>
        <w:rPr>
          <w:rFonts w:ascii="黑体" w:hAnsi="黑体" w:eastAsia="黑体"/>
        </w:rPr>
      </w:pPr>
    </w:p>
    <w:p w14:paraId="465257C5">
      <w:pPr>
        <w:spacing w:line="360" w:lineRule="auto"/>
        <w:rPr>
          <w:rFonts w:ascii="黑体" w:hAnsi="黑体" w:eastAsia="黑体"/>
        </w:rPr>
      </w:pPr>
      <w:r>
        <w:rPr>
          <w:rFonts w:ascii="黑体" w:hAnsi="黑体" w:eastAsia="黑体"/>
        </w:rPr>
        <w:t>4</w:t>
      </w:r>
      <w:r>
        <w:rPr>
          <w:rFonts w:hint="eastAsia" w:ascii="黑体" w:hAnsi="黑体" w:eastAsia="黑体"/>
        </w:rPr>
        <w:t>.3 龙薯分级指标</w:t>
      </w:r>
    </w:p>
    <w:tbl>
      <w:tblPr>
        <w:tblStyle w:val="27"/>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6"/>
        <w:gridCol w:w="2126"/>
        <w:gridCol w:w="1843"/>
        <w:gridCol w:w="1984"/>
        <w:gridCol w:w="1701"/>
      </w:tblGrid>
      <w:tr w14:paraId="716CF7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tcPr>
          <w:p w14:paraId="1F03F336">
            <w:pPr>
              <w:rPr>
                <w:b/>
              </w:rPr>
            </w:pPr>
            <w:r>
              <w:rPr>
                <w:rFonts w:hint="eastAsia"/>
                <w:b/>
              </w:rPr>
              <w:t>等级</w:t>
            </w:r>
          </w:p>
        </w:tc>
        <w:tc>
          <w:tcPr>
            <w:tcW w:w="2126" w:type="dxa"/>
          </w:tcPr>
          <w:p w14:paraId="69C1D1FE">
            <w:pPr>
              <w:rPr>
                <w:b/>
              </w:rPr>
            </w:pPr>
            <w:r>
              <w:rPr>
                <w:rFonts w:hint="eastAsia"/>
                <w:b/>
              </w:rPr>
              <w:t>单薯重（g）</w:t>
            </w:r>
          </w:p>
        </w:tc>
        <w:tc>
          <w:tcPr>
            <w:tcW w:w="1843" w:type="dxa"/>
          </w:tcPr>
          <w:p w14:paraId="7FA4F237">
            <w:pPr>
              <w:rPr>
                <w:b/>
              </w:rPr>
            </w:pPr>
            <w:r>
              <w:rPr>
                <w:rFonts w:hint="eastAsia"/>
                <w:b/>
              </w:rPr>
              <w:t>长度（cm）</w:t>
            </w:r>
          </w:p>
        </w:tc>
        <w:tc>
          <w:tcPr>
            <w:tcW w:w="1984" w:type="dxa"/>
          </w:tcPr>
          <w:p w14:paraId="20877FCE">
            <w:pPr>
              <w:rPr>
                <w:b/>
              </w:rPr>
            </w:pPr>
            <w:r>
              <w:rPr>
                <w:rFonts w:hint="eastAsia"/>
                <w:b/>
              </w:rPr>
              <w:t>生鲜外观要求</w:t>
            </w:r>
          </w:p>
        </w:tc>
        <w:tc>
          <w:tcPr>
            <w:tcW w:w="1701" w:type="dxa"/>
          </w:tcPr>
          <w:p w14:paraId="092A63BF">
            <w:pPr>
              <w:rPr>
                <w:rFonts w:hint="eastAsia"/>
                <w:b/>
              </w:rPr>
            </w:pPr>
            <w:r>
              <w:rPr>
                <w:rFonts w:hint="eastAsia"/>
                <w:b/>
              </w:rPr>
              <w:t>气味要求</w:t>
            </w:r>
          </w:p>
        </w:tc>
      </w:tr>
      <w:tr w14:paraId="7C50CD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tcPr>
          <w:p w14:paraId="60ED408B">
            <w:r>
              <w:rPr>
                <w:rFonts w:hint="eastAsia"/>
              </w:rPr>
              <w:t>特级</w:t>
            </w:r>
          </w:p>
        </w:tc>
        <w:tc>
          <w:tcPr>
            <w:tcW w:w="2126" w:type="dxa"/>
            <w:vAlign w:val="top"/>
          </w:tcPr>
          <w:p w14:paraId="26F94669">
            <w:pPr>
              <w:rPr>
                <w:highlight w:val="none"/>
              </w:rPr>
            </w:pPr>
            <w:r>
              <w:rPr>
                <w:rFonts w:hint="eastAsia"/>
                <w:highlight w:val="none"/>
                <w:lang w:val="en-US" w:eastAsia="zh-CN"/>
              </w:rPr>
              <w:t>300-600</w:t>
            </w:r>
          </w:p>
        </w:tc>
        <w:tc>
          <w:tcPr>
            <w:tcW w:w="1843" w:type="dxa"/>
            <w:vAlign w:val="top"/>
          </w:tcPr>
          <w:p w14:paraId="4B139F6A">
            <w:pPr>
              <w:rPr>
                <w:highlight w:val="none"/>
              </w:rPr>
            </w:pPr>
            <w:r>
              <w:rPr>
                <w:rFonts w:hint="eastAsia"/>
                <w:highlight w:val="none"/>
                <w:lang w:val="en-US" w:eastAsia="zh-CN"/>
              </w:rPr>
              <w:t>10-25</w:t>
            </w:r>
            <w:r>
              <w:rPr>
                <w:highlight w:val="none"/>
              </w:rPr>
              <w:t xml:space="preserve"> </w:t>
            </w:r>
          </w:p>
          <w:p w14:paraId="51FB5DE5">
            <w:pPr>
              <w:jc w:val="center"/>
              <w:rPr>
                <w:highlight w:val="none"/>
              </w:rPr>
            </w:pPr>
          </w:p>
        </w:tc>
        <w:tc>
          <w:tcPr>
            <w:tcW w:w="1984" w:type="dxa"/>
            <w:vAlign w:val="center"/>
          </w:tcPr>
          <w:p w14:paraId="171AB7BC">
            <w:r>
              <w:rPr>
                <w:rFonts w:hint="eastAsia"/>
              </w:rPr>
              <w:t>表皮完整、光滑、无须根、无畸形、无开裂、无虫蚀、无发芽、无硬斑；无机械损伤</w:t>
            </w:r>
          </w:p>
        </w:tc>
        <w:tc>
          <w:tcPr>
            <w:tcW w:w="1701" w:type="dxa"/>
            <w:vAlign w:val="center"/>
          </w:tcPr>
          <w:p w14:paraId="1AC64B78">
            <w:r>
              <w:t>气味和滋味正常</w:t>
            </w:r>
          </w:p>
        </w:tc>
      </w:tr>
      <w:tr w14:paraId="72C4B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tcPr>
          <w:p w14:paraId="200A11CC">
            <w:r>
              <w:rPr>
                <w:rFonts w:hint="eastAsia"/>
              </w:rPr>
              <w:t>一级</w:t>
            </w:r>
          </w:p>
        </w:tc>
        <w:tc>
          <w:tcPr>
            <w:tcW w:w="2126" w:type="dxa"/>
            <w:vAlign w:val="top"/>
          </w:tcPr>
          <w:p w14:paraId="39FBEDFE">
            <w:pPr>
              <w:rPr>
                <w:highlight w:val="none"/>
              </w:rPr>
            </w:pPr>
            <w:r>
              <w:rPr>
                <w:rFonts w:hint="eastAsia"/>
                <w:highlight w:val="none"/>
                <w:lang w:val="en-US" w:eastAsia="zh-CN"/>
              </w:rPr>
              <w:t>150-300</w:t>
            </w:r>
            <w:r>
              <w:rPr>
                <w:rFonts w:hint="eastAsia"/>
                <w:highlight w:val="none"/>
              </w:rPr>
              <w:t>或</w:t>
            </w:r>
            <w:r>
              <w:rPr>
                <w:rFonts w:hint="eastAsia"/>
                <w:highlight w:val="none"/>
                <w:lang w:val="en-US" w:eastAsia="zh-CN"/>
              </w:rPr>
              <w:t>600-1000</w:t>
            </w:r>
          </w:p>
        </w:tc>
        <w:tc>
          <w:tcPr>
            <w:tcW w:w="1843" w:type="dxa"/>
            <w:vAlign w:val="top"/>
          </w:tcPr>
          <w:p w14:paraId="16E5DF7D">
            <w:pPr>
              <w:rPr>
                <w:rFonts w:hint="default" w:eastAsia="宋体"/>
                <w:highlight w:val="none"/>
                <w:lang w:val="en-US" w:eastAsia="zh-CN"/>
              </w:rPr>
            </w:pPr>
            <w:r>
              <w:rPr>
                <w:rFonts w:hint="eastAsia"/>
                <w:highlight w:val="none"/>
                <w:lang w:val="en-US" w:eastAsia="zh-CN"/>
              </w:rPr>
              <w:t>10-20，≥2000g无要求</w:t>
            </w:r>
          </w:p>
        </w:tc>
        <w:tc>
          <w:tcPr>
            <w:tcW w:w="1984" w:type="dxa"/>
          </w:tcPr>
          <w:p w14:paraId="523E874A">
            <w:r>
              <w:rPr>
                <w:rFonts w:hint="eastAsia"/>
              </w:rPr>
              <w:t>表皮较完整、光滑、无须根、无明显的畸形、开裂、虫蚀、发芽、硬斑；允许≤2处表皮擦伤（每处≤1cm）</w:t>
            </w:r>
          </w:p>
        </w:tc>
        <w:tc>
          <w:tcPr>
            <w:tcW w:w="1701" w:type="dxa"/>
            <w:vAlign w:val="center"/>
          </w:tcPr>
          <w:p w14:paraId="5EDAC4E0">
            <w:r>
              <w:t>气味和滋味</w:t>
            </w:r>
            <w:r>
              <w:rPr>
                <w:rFonts w:hint="eastAsia"/>
              </w:rPr>
              <w:t>较</w:t>
            </w:r>
            <w:r>
              <w:t>正常</w:t>
            </w:r>
          </w:p>
        </w:tc>
      </w:tr>
      <w:tr w14:paraId="62EAE6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tcPr>
          <w:p w14:paraId="27F1AEFF">
            <w:r>
              <w:rPr>
                <w:rFonts w:hint="eastAsia"/>
              </w:rPr>
              <w:t>二级</w:t>
            </w:r>
          </w:p>
        </w:tc>
        <w:tc>
          <w:tcPr>
            <w:tcW w:w="2126" w:type="dxa"/>
            <w:vAlign w:val="top"/>
          </w:tcPr>
          <w:p w14:paraId="27B7E84F">
            <w:pPr>
              <w:rPr>
                <w:highlight w:val="none"/>
              </w:rPr>
            </w:pPr>
            <w:r>
              <w:rPr>
                <w:rFonts w:hint="eastAsia"/>
                <w:highlight w:val="none"/>
                <w:lang w:val="en-US" w:eastAsia="zh-CN"/>
              </w:rPr>
              <w:t>50-150</w:t>
            </w:r>
            <w:r>
              <w:rPr>
                <w:rFonts w:hint="eastAsia"/>
                <w:highlight w:val="none"/>
              </w:rPr>
              <w:t>或</w:t>
            </w:r>
            <w:r>
              <w:rPr>
                <w:rFonts w:hint="eastAsia"/>
                <w:highlight w:val="none"/>
                <w:lang w:val="en-US" w:eastAsia="zh-CN"/>
              </w:rPr>
              <w:t>≥1000</w:t>
            </w:r>
          </w:p>
        </w:tc>
        <w:tc>
          <w:tcPr>
            <w:tcW w:w="1843" w:type="dxa"/>
            <w:vAlign w:val="top"/>
          </w:tcPr>
          <w:p w14:paraId="2BA420FD">
            <w:pPr>
              <w:rPr>
                <w:highlight w:val="none"/>
              </w:rPr>
            </w:pPr>
            <w:r>
              <w:rPr>
                <w:rFonts w:hint="eastAsia"/>
                <w:highlight w:val="none"/>
                <w:lang w:val="en-US" w:eastAsia="zh-CN"/>
              </w:rPr>
              <w:t>10-20</w:t>
            </w:r>
            <w:r>
              <w:rPr>
                <w:highlight w:val="none"/>
              </w:rPr>
              <w:t xml:space="preserve"> </w:t>
            </w:r>
          </w:p>
        </w:tc>
        <w:tc>
          <w:tcPr>
            <w:tcW w:w="1984" w:type="dxa"/>
          </w:tcPr>
          <w:p w14:paraId="3C8E1E1B">
            <w:r>
              <w:rPr>
                <w:rFonts w:hint="eastAsia"/>
              </w:rPr>
              <w:t>表皮基本完整、光滑、允许有轻微的畸形、开裂、虫蚀、发芽、硬斑；允许1条裂痕（长度≤3cm）</w:t>
            </w:r>
          </w:p>
        </w:tc>
        <w:tc>
          <w:tcPr>
            <w:tcW w:w="1701" w:type="dxa"/>
            <w:vAlign w:val="center"/>
          </w:tcPr>
          <w:p w14:paraId="638721DE">
            <w:r>
              <w:t>气味和滋味</w:t>
            </w:r>
            <w:r>
              <w:rPr>
                <w:rFonts w:hint="eastAsia"/>
              </w:rPr>
              <w:t>基本</w:t>
            </w:r>
            <w:r>
              <w:t>正常</w:t>
            </w:r>
          </w:p>
        </w:tc>
      </w:tr>
    </w:tbl>
    <w:p w14:paraId="672D3549">
      <w:pPr>
        <w:spacing w:line="360" w:lineRule="auto"/>
        <w:rPr>
          <w:rFonts w:ascii="黑体" w:hAnsi="黑体" w:eastAsia="黑体"/>
        </w:rPr>
      </w:pPr>
    </w:p>
    <w:p w14:paraId="5707C22A">
      <w:pPr>
        <w:spacing w:line="360" w:lineRule="auto"/>
        <w:rPr>
          <w:rFonts w:ascii="黑体" w:hAnsi="黑体" w:eastAsia="黑体"/>
        </w:rPr>
      </w:pPr>
      <w:r>
        <w:rPr>
          <w:rFonts w:hint="eastAsia" w:ascii="黑体" w:hAnsi="黑体" w:eastAsia="黑体"/>
        </w:rPr>
        <w:t>4</w:t>
      </w:r>
      <w:r>
        <w:rPr>
          <w:rFonts w:ascii="黑体" w:hAnsi="黑体" w:eastAsia="黑体"/>
        </w:rPr>
        <w:t>.4</w:t>
      </w:r>
      <w:r>
        <w:rPr>
          <w:rFonts w:hint="eastAsia" w:ascii="黑体" w:hAnsi="黑体" w:eastAsia="黑体"/>
        </w:rPr>
        <w:t>质量分级容许度</w:t>
      </w:r>
    </w:p>
    <w:p w14:paraId="5B7C7FF4">
      <w:pPr>
        <w:pStyle w:val="56"/>
        <w:ind w:firstLine="420"/>
      </w:pPr>
      <w:r>
        <w:rPr>
          <w:rFonts w:hint="eastAsia"/>
        </w:rPr>
        <w:t>应符合如下要求：</w:t>
      </w:r>
    </w:p>
    <w:p w14:paraId="3AEFE17C">
      <w:pPr>
        <w:pStyle w:val="132"/>
      </w:pPr>
      <w:r>
        <w:rPr>
          <w:rFonts w:hint="eastAsia"/>
        </w:rPr>
        <w:t>特级果允许5</w:t>
      </w:r>
      <w:r>
        <w:t>%</w:t>
      </w:r>
      <w:r>
        <w:rPr>
          <w:rFonts w:hint="eastAsia"/>
        </w:rPr>
        <w:t>的产品不符合该等级的要求，但应符合一级的要求；</w:t>
      </w:r>
    </w:p>
    <w:p w14:paraId="05ABB9E3">
      <w:pPr>
        <w:pStyle w:val="132"/>
      </w:pPr>
      <w:r>
        <w:rPr>
          <w:rFonts w:hint="eastAsia"/>
        </w:rPr>
        <w:t>一级果允许1</w:t>
      </w:r>
      <w:r>
        <w:t>0%</w:t>
      </w:r>
      <w:r>
        <w:rPr>
          <w:rFonts w:hint="eastAsia"/>
        </w:rPr>
        <w:t>的产品不符合该等级的要求；</w:t>
      </w:r>
    </w:p>
    <w:p w14:paraId="1FCE596A">
      <w:pPr>
        <w:pStyle w:val="132"/>
        <w:rPr>
          <w:rFonts w:hint="eastAsia"/>
        </w:rPr>
      </w:pPr>
      <w:r>
        <w:rPr>
          <w:rFonts w:hint="eastAsia"/>
        </w:rPr>
        <w:t>二级果允许1</w:t>
      </w:r>
      <w:r>
        <w:t>0%</w:t>
      </w:r>
      <w:r>
        <w:rPr>
          <w:rFonts w:hint="eastAsia"/>
        </w:rPr>
        <w:t>的产品不符合该等级的要求。</w:t>
      </w:r>
    </w:p>
    <w:p w14:paraId="2659EF70">
      <w:pPr>
        <w:pStyle w:val="104"/>
        <w:numPr>
          <w:ilvl w:val="1"/>
          <w:numId w:val="0"/>
        </w:numPr>
        <w:spacing w:before="312" w:after="312"/>
      </w:pPr>
      <w:r>
        <w:t>5</w:t>
      </w:r>
      <w:r>
        <w:rPr>
          <w:rFonts w:hint="eastAsia"/>
        </w:rPr>
        <w:t xml:space="preserve"> 检验方法</w:t>
      </w:r>
    </w:p>
    <w:p w14:paraId="5638BA45">
      <w:pPr>
        <w:spacing w:line="360" w:lineRule="auto"/>
        <w:rPr>
          <w:rFonts w:ascii="黑体" w:hAnsi="黑体" w:eastAsia="黑体"/>
        </w:rPr>
      </w:pPr>
      <w:r>
        <w:rPr>
          <w:rFonts w:ascii="黑体" w:hAnsi="黑体" w:eastAsia="黑体"/>
        </w:rPr>
        <w:t>5</w:t>
      </w:r>
      <w:r>
        <w:rPr>
          <w:rFonts w:hint="eastAsia" w:ascii="黑体" w:hAnsi="黑体" w:eastAsia="黑体"/>
        </w:rPr>
        <w:t>.1 重量检测</w:t>
      </w:r>
    </w:p>
    <w:p w14:paraId="3C15A2A9">
      <w:pPr>
        <w:pStyle w:val="56"/>
        <w:ind w:firstLine="420"/>
      </w:pPr>
      <w:r>
        <w:rPr>
          <w:rFonts w:hint="eastAsia"/>
        </w:rPr>
        <w:t>按GB/T 12315-2008随机抽样，用精度为0</w:t>
      </w:r>
      <w:r>
        <w:t>.1g</w:t>
      </w:r>
      <w:r>
        <w:rPr>
          <w:rFonts w:hint="eastAsia"/>
        </w:rPr>
        <w:t>的天平称量薯块质量。单薯质量为单位包装内薯块质量的平均值。</w:t>
      </w:r>
    </w:p>
    <w:p w14:paraId="74151181">
      <w:pPr>
        <w:spacing w:line="360" w:lineRule="auto"/>
        <w:rPr>
          <w:rFonts w:ascii="黑体" w:hAnsi="黑体" w:eastAsia="黑体"/>
        </w:rPr>
      </w:pPr>
      <w:r>
        <w:rPr>
          <w:rFonts w:ascii="黑体" w:hAnsi="黑体" w:eastAsia="黑体"/>
        </w:rPr>
        <w:t>5</w:t>
      </w:r>
      <w:r>
        <w:rPr>
          <w:rFonts w:hint="eastAsia" w:ascii="黑体" w:hAnsi="黑体" w:eastAsia="黑体"/>
        </w:rPr>
        <w:t>.</w:t>
      </w:r>
      <w:r>
        <w:rPr>
          <w:rFonts w:ascii="黑体" w:hAnsi="黑体" w:eastAsia="黑体"/>
        </w:rPr>
        <w:t>2</w:t>
      </w:r>
      <w:r>
        <w:rPr>
          <w:rFonts w:hint="eastAsia" w:ascii="黑体" w:hAnsi="黑体" w:eastAsia="黑体"/>
        </w:rPr>
        <w:t xml:space="preserve"> 长度检测</w:t>
      </w:r>
    </w:p>
    <w:p w14:paraId="26EBFBE7">
      <w:pPr>
        <w:pStyle w:val="56"/>
        <w:ind w:firstLine="420"/>
        <w:rPr>
          <w:rFonts w:hint="eastAsia"/>
        </w:rPr>
      </w:pPr>
      <w:r>
        <w:rPr>
          <w:rFonts w:hint="eastAsia"/>
        </w:rPr>
        <w:t>按GB/T 12315-2008随机抽样，用精度为0</w:t>
      </w:r>
      <w:r>
        <w:t>.1</w:t>
      </w:r>
      <w:r>
        <w:rPr>
          <w:rFonts w:hint="eastAsia"/>
        </w:rPr>
        <w:t>cm的尺寸测量。</w:t>
      </w:r>
    </w:p>
    <w:p w14:paraId="3C99A578">
      <w:pPr>
        <w:spacing w:line="360" w:lineRule="auto"/>
        <w:rPr>
          <w:rFonts w:ascii="黑体" w:hAnsi="黑体" w:eastAsia="黑体"/>
        </w:rPr>
      </w:pPr>
      <w:r>
        <w:rPr>
          <w:rFonts w:ascii="黑体" w:hAnsi="黑体" w:eastAsia="黑体"/>
        </w:rPr>
        <w:t>5</w:t>
      </w:r>
      <w:r>
        <w:rPr>
          <w:rFonts w:hint="eastAsia" w:ascii="黑体" w:hAnsi="黑体" w:eastAsia="黑体"/>
        </w:rPr>
        <w:t>.</w:t>
      </w:r>
      <w:r>
        <w:rPr>
          <w:rFonts w:ascii="黑体" w:hAnsi="黑体" w:eastAsia="黑体"/>
        </w:rPr>
        <w:t>3</w:t>
      </w:r>
      <w:r>
        <w:rPr>
          <w:rFonts w:hint="eastAsia" w:ascii="黑体" w:hAnsi="黑体" w:eastAsia="黑体"/>
        </w:rPr>
        <w:t xml:space="preserve"> 气味筛查</w:t>
      </w:r>
    </w:p>
    <w:p w14:paraId="3ABC6C87">
      <w:pPr>
        <w:pStyle w:val="56"/>
        <w:ind w:firstLine="420"/>
      </w:pPr>
      <w:r>
        <w:rPr>
          <w:rFonts w:hint="eastAsia"/>
        </w:rPr>
        <w:t>气味筛查：按GB/T 29604-2013进行生薯异味检测，排除霉变样本。</w:t>
      </w:r>
    </w:p>
    <w:p w14:paraId="34354538">
      <w:pPr>
        <w:pStyle w:val="104"/>
        <w:numPr>
          <w:ilvl w:val="1"/>
          <w:numId w:val="0"/>
        </w:numPr>
        <w:spacing w:before="312" w:after="312"/>
      </w:pPr>
      <w:r>
        <w:rPr>
          <w:rFonts w:hint="eastAsia"/>
        </w:rPr>
        <w:t>6</w:t>
      </w:r>
      <w:r>
        <w:t xml:space="preserve"> </w:t>
      </w:r>
      <w:r>
        <w:rPr>
          <w:rFonts w:hint="eastAsia"/>
        </w:rPr>
        <w:t>检验规则</w:t>
      </w:r>
    </w:p>
    <w:p w14:paraId="444FC57D">
      <w:pPr>
        <w:spacing w:line="360" w:lineRule="auto"/>
        <w:rPr>
          <w:rFonts w:ascii="黑体" w:hAnsi="黑体" w:eastAsia="黑体"/>
        </w:rPr>
      </w:pPr>
      <w:r>
        <w:rPr>
          <w:rFonts w:hint="eastAsia" w:ascii="黑体" w:hAnsi="黑体" w:eastAsia="黑体"/>
        </w:rPr>
        <w:t>6</w:t>
      </w:r>
      <w:r>
        <w:rPr>
          <w:rFonts w:ascii="黑体" w:hAnsi="黑体" w:eastAsia="黑体"/>
        </w:rPr>
        <w:t>.1</w:t>
      </w:r>
      <w:r>
        <w:rPr>
          <w:rFonts w:hint="eastAsia" w:ascii="黑体" w:hAnsi="黑体" w:eastAsia="黑体"/>
        </w:rPr>
        <w:t>批次</w:t>
      </w:r>
    </w:p>
    <w:p w14:paraId="5267698E">
      <w:pPr>
        <w:pStyle w:val="56"/>
        <w:ind w:firstLine="420"/>
      </w:pPr>
      <w:r>
        <w:rPr>
          <w:rFonts w:hint="eastAsia"/>
        </w:rPr>
        <w:t>将同一产地、同一品种、同一时间段采收的同等级甘薯作为一个检验批次。</w:t>
      </w:r>
    </w:p>
    <w:p w14:paraId="7D8C65F9">
      <w:pPr>
        <w:spacing w:line="360" w:lineRule="auto"/>
        <w:rPr>
          <w:rFonts w:ascii="黑体" w:hAnsi="黑体" w:eastAsia="黑体"/>
        </w:rPr>
      </w:pPr>
      <w:r>
        <w:rPr>
          <w:rFonts w:hint="eastAsia" w:ascii="黑体" w:hAnsi="黑体" w:eastAsia="黑体"/>
        </w:rPr>
        <w:t>6</w:t>
      </w:r>
      <w:r>
        <w:rPr>
          <w:rFonts w:ascii="黑体" w:hAnsi="黑体" w:eastAsia="黑体"/>
        </w:rPr>
        <w:t>.2</w:t>
      </w:r>
      <w:r>
        <w:rPr>
          <w:rFonts w:hint="eastAsia" w:ascii="黑体" w:hAnsi="黑体" w:eastAsia="黑体"/>
        </w:rPr>
        <w:t>抽样</w:t>
      </w:r>
    </w:p>
    <w:p w14:paraId="4369F475">
      <w:pPr>
        <w:pStyle w:val="56"/>
        <w:ind w:firstLine="420"/>
        <w:rPr>
          <w:rFonts w:hint="eastAsia"/>
        </w:rPr>
      </w:pPr>
      <w:r>
        <w:rPr>
          <w:rFonts w:hint="eastAsia"/>
        </w:rPr>
        <w:t>按G</w:t>
      </w:r>
      <w:r>
        <w:t>B/T 8855</w:t>
      </w:r>
      <w:r>
        <w:rPr>
          <w:rFonts w:hint="eastAsia"/>
        </w:rPr>
        <w:t>的规定执行。</w:t>
      </w:r>
    </w:p>
    <w:p w14:paraId="02848413">
      <w:pPr>
        <w:spacing w:line="360" w:lineRule="auto"/>
        <w:rPr>
          <w:rFonts w:ascii="黑体" w:hAnsi="黑体" w:eastAsia="黑体"/>
        </w:rPr>
      </w:pPr>
      <w:r>
        <w:rPr>
          <w:rFonts w:hint="eastAsia" w:ascii="黑体" w:hAnsi="黑体" w:eastAsia="黑体"/>
        </w:rPr>
        <w:t>6</w:t>
      </w:r>
      <w:r>
        <w:rPr>
          <w:rFonts w:ascii="黑体" w:hAnsi="黑体" w:eastAsia="黑体"/>
        </w:rPr>
        <w:t>.3</w:t>
      </w:r>
      <w:r>
        <w:rPr>
          <w:rFonts w:hint="eastAsia" w:ascii="黑体" w:hAnsi="黑体" w:eastAsia="黑体"/>
        </w:rPr>
        <w:t>判定规则</w:t>
      </w:r>
    </w:p>
    <w:p w14:paraId="30FCD725">
      <w:pPr>
        <w:pStyle w:val="165"/>
        <w:numPr>
          <w:ilvl w:val="0"/>
          <w:numId w:val="0"/>
        </w:numPr>
      </w:pPr>
      <w:r>
        <w:rPr>
          <w:rFonts w:hint="eastAsia" w:ascii="黑体" w:hAnsi="黑体" w:eastAsia="黑体"/>
        </w:rPr>
        <w:t>6</w:t>
      </w:r>
      <w:r>
        <w:rPr>
          <w:rFonts w:ascii="黑体" w:hAnsi="黑体" w:eastAsia="黑体"/>
        </w:rPr>
        <w:t>.3.1</w:t>
      </w:r>
      <w:r>
        <w:rPr>
          <w:rFonts w:hint="eastAsia"/>
        </w:rPr>
        <w:t>检测项目全部合格，判定为该批次产品合格。</w:t>
      </w:r>
    </w:p>
    <w:p w14:paraId="05B88C29">
      <w:pPr>
        <w:pStyle w:val="165"/>
        <w:numPr>
          <w:ilvl w:val="0"/>
          <w:numId w:val="0"/>
        </w:numPr>
        <w:rPr>
          <w:rFonts w:hint="eastAsia"/>
        </w:rPr>
      </w:pPr>
      <w:r>
        <w:rPr>
          <w:rFonts w:hint="eastAsia" w:ascii="黑体" w:hAnsi="黑体" w:eastAsia="黑体"/>
        </w:rPr>
        <w:t>6</w:t>
      </w:r>
      <w:r>
        <w:rPr>
          <w:rFonts w:ascii="黑体" w:hAnsi="黑体" w:eastAsia="黑体"/>
        </w:rPr>
        <w:t>.3.2</w:t>
      </w:r>
      <w:r>
        <w:rPr>
          <w:rFonts w:hint="eastAsia"/>
        </w:rPr>
        <w:t>质量分级要求有一项不合格的，可重新抽取同批产品进行加倍复检，若仍不合格，则判定为不合格产品。</w:t>
      </w:r>
    </w:p>
    <w:p w14:paraId="498EE623">
      <w:pPr>
        <w:pStyle w:val="104"/>
        <w:numPr>
          <w:ilvl w:val="1"/>
          <w:numId w:val="0"/>
        </w:numPr>
        <w:spacing w:before="312" w:after="312"/>
      </w:pPr>
      <w:r>
        <w:rPr>
          <w:rFonts w:hint="eastAsia"/>
        </w:rPr>
        <w:t>7</w:t>
      </w:r>
      <w:r>
        <w:t xml:space="preserve"> </w:t>
      </w:r>
      <w:r>
        <w:rPr>
          <w:rFonts w:hint="eastAsia"/>
        </w:rPr>
        <w:t>标签、包装、运输和贮藏</w:t>
      </w:r>
    </w:p>
    <w:p w14:paraId="278F00A0">
      <w:pPr>
        <w:spacing w:line="360" w:lineRule="auto"/>
        <w:rPr>
          <w:rFonts w:ascii="黑体" w:hAnsi="黑体" w:eastAsia="黑体"/>
        </w:rPr>
      </w:pPr>
      <w:r>
        <w:rPr>
          <w:rFonts w:hint="eastAsia" w:ascii="黑体" w:hAnsi="黑体" w:eastAsia="黑体"/>
        </w:rPr>
        <w:t>7</w:t>
      </w:r>
      <w:r>
        <w:rPr>
          <w:rFonts w:ascii="黑体" w:hAnsi="黑体" w:eastAsia="黑体"/>
        </w:rPr>
        <w:t xml:space="preserve">.1 </w:t>
      </w:r>
      <w:r>
        <w:rPr>
          <w:rFonts w:hint="eastAsia" w:ascii="黑体" w:hAnsi="黑体" w:eastAsia="黑体"/>
        </w:rPr>
        <w:t>标签</w:t>
      </w:r>
    </w:p>
    <w:p w14:paraId="44B9E90D">
      <w:pPr>
        <w:pStyle w:val="56"/>
        <w:ind w:firstLine="420"/>
      </w:pPr>
      <w:r>
        <w:rPr>
          <w:rFonts w:hint="eastAsia"/>
        </w:rPr>
        <w:t>应符合G</w:t>
      </w:r>
      <w:r>
        <w:t>B/T 32590</w:t>
      </w:r>
      <w:r>
        <w:rPr>
          <w:rFonts w:hint="eastAsia"/>
        </w:rPr>
        <w:t>的规定。</w:t>
      </w:r>
    </w:p>
    <w:p w14:paraId="5F3A5BE7">
      <w:pPr>
        <w:spacing w:line="360" w:lineRule="auto"/>
        <w:rPr>
          <w:rFonts w:ascii="黑体" w:hAnsi="黑体" w:eastAsia="黑体"/>
        </w:rPr>
      </w:pPr>
      <w:r>
        <w:rPr>
          <w:rFonts w:hint="eastAsia" w:ascii="黑体" w:hAnsi="黑体" w:eastAsia="黑体"/>
        </w:rPr>
        <w:t>7</w:t>
      </w:r>
      <w:r>
        <w:rPr>
          <w:rFonts w:ascii="黑体" w:hAnsi="黑体" w:eastAsia="黑体"/>
        </w:rPr>
        <w:t xml:space="preserve">.2 </w:t>
      </w:r>
      <w:r>
        <w:rPr>
          <w:rFonts w:hint="eastAsia" w:ascii="黑体" w:hAnsi="黑体" w:eastAsia="黑体"/>
        </w:rPr>
        <w:t>包装</w:t>
      </w:r>
    </w:p>
    <w:p w14:paraId="3FD57BEB">
      <w:pPr>
        <w:pStyle w:val="56"/>
        <w:ind w:firstLine="420"/>
      </w:pPr>
      <w:r>
        <w:rPr>
          <w:rFonts w:hint="eastAsia"/>
        </w:rPr>
        <w:t>应符合N</w:t>
      </w:r>
      <w:r>
        <w:t>Y/T 2642</w:t>
      </w:r>
      <w:r>
        <w:rPr>
          <w:rFonts w:hint="eastAsia"/>
        </w:rPr>
        <w:t>的规定。</w:t>
      </w:r>
    </w:p>
    <w:p w14:paraId="2D7EF80D">
      <w:pPr>
        <w:spacing w:line="360" w:lineRule="auto"/>
        <w:rPr>
          <w:rFonts w:ascii="黑体" w:hAnsi="黑体" w:eastAsia="黑体"/>
        </w:rPr>
      </w:pPr>
      <w:r>
        <w:rPr>
          <w:rFonts w:hint="eastAsia" w:ascii="黑体" w:hAnsi="黑体" w:eastAsia="黑体"/>
        </w:rPr>
        <w:t>7</w:t>
      </w:r>
      <w:r>
        <w:rPr>
          <w:rFonts w:ascii="黑体" w:hAnsi="黑体" w:eastAsia="黑体"/>
        </w:rPr>
        <w:t xml:space="preserve">.3 </w:t>
      </w:r>
      <w:r>
        <w:rPr>
          <w:rFonts w:hint="eastAsia" w:ascii="黑体" w:hAnsi="黑体" w:eastAsia="黑体"/>
        </w:rPr>
        <w:t>运输</w:t>
      </w:r>
    </w:p>
    <w:p w14:paraId="132166BE">
      <w:pPr>
        <w:pStyle w:val="56"/>
        <w:ind w:firstLine="420"/>
      </w:pPr>
      <w:r>
        <w:rPr>
          <w:rFonts w:hint="eastAsia"/>
        </w:rPr>
        <w:t>应符合N</w:t>
      </w:r>
      <w:r>
        <w:t>Y/T 3339</w:t>
      </w:r>
      <w:r>
        <w:rPr>
          <w:rFonts w:hint="eastAsia"/>
        </w:rPr>
        <w:t>的规定。</w:t>
      </w:r>
    </w:p>
    <w:p w14:paraId="1E5946A3">
      <w:pPr>
        <w:spacing w:line="360" w:lineRule="auto"/>
        <w:rPr>
          <w:rFonts w:ascii="黑体" w:hAnsi="黑体" w:eastAsia="黑体"/>
        </w:rPr>
      </w:pPr>
      <w:r>
        <w:rPr>
          <w:rFonts w:hint="eastAsia" w:ascii="黑体" w:hAnsi="黑体" w:eastAsia="黑体"/>
        </w:rPr>
        <w:t>7</w:t>
      </w:r>
      <w:r>
        <w:rPr>
          <w:rFonts w:ascii="黑体" w:hAnsi="黑体" w:eastAsia="黑体"/>
        </w:rPr>
        <w:t>.4</w:t>
      </w:r>
      <w:r>
        <w:rPr>
          <w:rFonts w:hint="eastAsia" w:ascii="黑体" w:hAnsi="黑体" w:eastAsia="黑体"/>
        </w:rPr>
        <w:t>贮藏</w:t>
      </w:r>
    </w:p>
    <w:p w14:paraId="79460A83">
      <w:pPr>
        <w:pStyle w:val="56"/>
        <w:ind w:firstLine="420"/>
      </w:pPr>
      <w:r>
        <w:rPr>
          <w:rFonts w:hint="eastAsia"/>
        </w:rPr>
        <w:t>应符合N</w:t>
      </w:r>
      <w:r>
        <w:t>Y/T 2789</w:t>
      </w:r>
      <w:r>
        <w:rPr>
          <w:rFonts w:hint="eastAsia"/>
        </w:rPr>
        <w:t>、N</w:t>
      </w:r>
      <w:r>
        <w:t>Y/T 3339</w:t>
      </w:r>
      <w:r>
        <w:rPr>
          <w:rFonts w:hint="eastAsia"/>
        </w:rPr>
        <w:t>的规定。</w:t>
      </w:r>
    </w:p>
    <w:bookmarkEnd w:id="26"/>
    <w:p w14:paraId="3D1E5FE2">
      <w:pPr>
        <w:pStyle w:val="56"/>
        <w:ind w:firstLine="0" w:firstLineChars="0"/>
        <w:jc w:val="center"/>
      </w:pPr>
    </w:p>
    <w:sectPr>
      <w:pgSz w:w="11906" w:h="16838"/>
      <w:pgMar w:top="567"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43A743">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B541C1">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540990">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5A0713">
    <w:pPr>
      <w:pStyle w:val="52"/>
    </w:pPr>
    <w:r>
      <w:fldChar w:fldCharType="begin"/>
    </w:r>
    <w:r>
      <w:instrText xml:space="preserve">PAGE   \* MERGEFORMAT</w:instrText>
    </w:r>
    <w:r>
      <w:fldChar w:fldCharType="separate"/>
    </w:r>
    <w:r>
      <w:rPr>
        <w:lang w:val="zh-CN"/>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5DC655">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3051C2">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6E51A3">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2A618D">
    <w:pPr>
      <w:pStyle w:val="61"/>
    </w:pPr>
    <w:r>
      <w:fldChar w:fldCharType="begin"/>
    </w:r>
    <w:r>
      <w:instrText xml:space="preserve"> STYLEREF  标准文件_文件编号  \* MERGEFORMAT </w:instrText>
    </w:r>
    <w:r>
      <w:fldChar w:fldCharType="separate"/>
    </w:r>
    <w:r>
      <w:t>DBXX/T XXXXX—XXXX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7F04AC">
    <w:pPr>
      <w:pStyle w:val="18"/>
      <w:jc w:val="right"/>
    </w:pPr>
    <w:r>
      <w:fldChar w:fldCharType="begin"/>
    </w:r>
    <w:r>
      <w:instrText xml:space="preserve"> STYLEREF  标准文件_文件编号  \* MERGEFORMAT </w:instrText>
    </w:r>
    <w:r>
      <w:fldChar w:fldCharType="separate"/>
    </w:r>
    <w:r>
      <w:t>DBXX/T XXXXX—XXXX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1FC91163"/>
    <w:multiLevelType w:val="multilevel"/>
    <w:tmpl w:val="1FC91163"/>
    <w:lvl w:ilvl="0" w:tentative="0">
      <w:start w:val="1"/>
      <w:numFmt w:val="decimal"/>
      <w:pStyle w:val="237"/>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36"/>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238"/>
      <w:suff w:val="nothing"/>
      <w:lvlText w:val="%1.%2.%3　"/>
      <w:lvlJc w:val="left"/>
      <w:pPr>
        <w:ind w:left="0" w:firstLine="0"/>
      </w:pPr>
      <w:rPr>
        <w:rFonts w:hint="eastAsia" w:ascii="黑体" w:hAnsi="Times New Roman" w:eastAsia="黑体"/>
        <w:b w:val="0"/>
        <w:i w:val="0"/>
        <w:sz w:val="21"/>
      </w:rPr>
    </w:lvl>
    <w:lvl w:ilvl="3" w:tentative="0">
      <w:start w:val="1"/>
      <w:numFmt w:val="decimal"/>
      <w:pStyle w:val="239"/>
      <w:suff w:val="nothing"/>
      <w:lvlText w:val="%1.%2.%3.%4　"/>
      <w:lvlJc w:val="left"/>
      <w:pPr>
        <w:ind w:left="0" w:firstLine="0"/>
      </w:pPr>
      <w:rPr>
        <w:rFonts w:hint="eastAsia" w:ascii="黑体" w:hAnsi="Times New Roman" w:eastAsia="黑体"/>
        <w:b w:val="0"/>
        <w:i w:val="0"/>
        <w:sz w:val="21"/>
      </w:rPr>
    </w:lvl>
    <w:lvl w:ilvl="4" w:tentative="0">
      <w:start w:val="1"/>
      <w:numFmt w:val="decimal"/>
      <w:pStyle w:val="240"/>
      <w:suff w:val="nothing"/>
      <w:lvlText w:val="%1.%2.%3.%4.%5　"/>
      <w:lvlJc w:val="left"/>
      <w:pPr>
        <w:ind w:left="0" w:firstLine="0"/>
      </w:pPr>
      <w:rPr>
        <w:rFonts w:hint="eastAsia" w:ascii="黑体" w:hAnsi="Times New Roman" w:eastAsia="黑体"/>
        <w:b w:val="0"/>
        <w:i w:val="0"/>
        <w:sz w:val="21"/>
      </w:rPr>
    </w:lvl>
    <w:lvl w:ilvl="5" w:tentative="0">
      <w:start w:val="1"/>
      <w:numFmt w:val="decimal"/>
      <w:pStyle w:val="241"/>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0B55DC2"/>
    <w:multiLevelType w:val="multilevel"/>
    <w:tmpl w:val="60B55DC2"/>
    <w:lvl w:ilvl="0" w:tentative="0">
      <w:start w:val="1"/>
      <w:numFmt w:val="upperLetter"/>
      <w:pStyle w:val="243"/>
      <w:lvlText w:val="%1"/>
      <w:lvlJc w:val="left"/>
      <w:pPr>
        <w:tabs>
          <w:tab w:val="left" w:pos="0"/>
        </w:tabs>
        <w:ind w:left="0" w:hanging="425"/>
      </w:pPr>
      <w:rPr>
        <w:rFonts w:hint="eastAsia"/>
      </w:rPr>
    </w:lvl>
    <w:lvl w:ilvl="1" w:tentative="0">
      <w:start w:val="1"/>
      <w:numFmt w:val="decimal"/>
      <w:pStyle w:val="244"/>
      <w:suff w:val="nothing"/>
      <w:lvlText w:val="表%1.%2　"/>
      <w:lvlJc w:val="left"/>
      <w:pPr>
        <w:ind w:left="567" w:hanging="567"/>
      </w:pPr>
      <w:rPr>
        <w:rFonts w:hint="eastAsia"/>
        <w:color w:val="FF0000"/>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22">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3">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4">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5">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6">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7">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8">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0">
    <w:nsid w:val="6D6C07CD"/>
    <w:multiLevelType w:val="multilevel"/>
    <w:tmpl w:val="6D6C07CD"/>
    <w:lvl w:ilvl="0" w:tentative="0">
      <w:start w:val="1"/>
      <w:numFmt w:val="lowerLetter"/>
      <w:pStyle w:val="252"/>
      <w:lvlText w:val="%1)"/>
      <w:lvlJc w:val="left"/>
      <w:pPr>
        <w:tabs>
          <w:tab w:val="left" w:pos="839"/>
        </w:tabs>
        <w:ind w:left="839" w:hanging="419"/>
      </w:pPr>
      <w:rPr>
        <w:rFonts w:hint="eastAsia" w:ascii="宋体" w:eastAsia="宋体"/>
        <w:b w:val="0"/>
        <w:i w:val="0"/>
        <w:sz w:val="21"/>
      </w:rPr>
    </w:lvl>
    <w:lvl w:ilvl="1" w:tentative="0">
      <w:start w:val="1"/>
      <w:numFmt w:val="decimal"/>
      <w:pStyle w:val="247"/>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31">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2">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3">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9"/>
  </w:num>
  <w:num w:numId="3">
    <w:abstractNumId w:val="5"/>
  </w:num>
  <w:num w:numId="4">
    <w:abstractNumId w:val="25"/>
  </w:num>
  <w:num w:numId="5">
    <w:abstractNumId w:val="19"/>
  </w:num>
  <w:num w:numId="6">
    <w:abstractNumId w:val="14"/>
  </w:num>
  <w:num w:numId="7">
    <w:abstractNumId w:val="8"/>
  </w:num>
  <w:num w:numId="8">
    <w:abstractNumId w:val="3"/>
  </w:num>
  <w:num w:numId="9">
    <w:abstractNumId w:val="9"/>
  </w:num>
  <w:num w:numId="10">
    <w:abstractNumId w:val="17"/>
  </w:num>
  <w:num w:numId="11">
    <w:abstractNumId w:val="27"/>
  </w:num>
  <w:num w:numId="12">
    <w:abstractNumId w:val="12"/>
  </w:num>
  <w:num w:numId="13">
    <w:abstractNumId w:val="13"/>
  </w:num>
  <w:num w:numId="14">
    <w:abstractNumId w:val="7"/>
  </w:num>
  <w:num w:numId="15">
    <w:abstractNumId w:val="20"/>
  </w:num>
  <w:num w:numId="16">
    <w:abstractNumId w:val="23"/>
  </w:num>
  <w:num w:numId="17">
    <w:abstractNumId w:val="18"/>
  </w:num>
  <w:num w:numId="18">
    <w:abstractNumId w:val="32"/>
  </w:num>
  <w:num w:numId="19">
    <w:abstractNumId w:val="16"/>
  </w:num>
  <w:num w:numId="20">
    <w:abstractNumId w:val="1"/>
  </w:num>
  <w:num w:numId="21">
    <w:abstractNumId w:val="11"/>
  </w:num>
  <w:num w:numId="22">
    <w:abstractNumId w:val="33"/>
  </w:num>
  <w:num w:numId="23">
    <w:abstractNumId w:val="22"/>
  </w:num>
  <w:num w:numId="24">
    <w:abstractNumId w:val="6"/>
  </w:num>
  <w:num w:numId="25">
    <w:abstractNumId w:val="28"/>
  </w:num>
  <w:num w:numId="26">
    <w:abstractNumId w:val="31"/>
  </w:num>
  <w:num w:numId="27">
    <w:abstractNumId w:val="2"/>
  </w:num>
  <w:num w:numId="28">
    <w:abstractNumId w:val="4"/>
  </w:num>
  <w:num w:numId="29">
    <w:abstractNumId w:val="15"/>
  </w:num>
  <w:num w:numId="30">
    <w:abstractNumId w:val="26"/>
  </w:num>
  <w:num w:numId="31">
    <w:abstractNumId w:val="24"/>
  </w:num>
  <w:num w:numId="32">
    <w:abstractNumId w:val="10"/>
  </w:num>
  <w:num w:numId="33">
    <w:abstractNumId w:val="21"/>
  </w:num>
  <w:num w:numId="3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attachedTemplate r:id="rId1"/>
  <w:documentProtection w:edit="forms" w:enforcement="1" w:cryptProviderType="rsaFull" w:cryptAlgorithmClass="hash" w:cryptAlgorithmType="typeAny" w:cryptAlgorithmSid="4" w:cryptSpinCount="100000" w:hash="XfyRuyTkL4oc/ntyMOxQc6Ofpeo=" w:salt="4q2XgmtzsdQsmbJ3W6s8aA=="/>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3847"/>
    <w:rsid w:val="0000040A"/>
    <w:rsid w:val="00000A94"/>
    <w:rsid w:val="00001972"/>
    <w:rsid w:val="00001D9A"/>
    <w:rsid w:val="00004EC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7E9"/>
    <w:rsid w:val="00104926"/>
    <w:rsid w:val="00107482"/>
    <w:rsid w:val="00113B1E"/>
    <w:rsid w:val="0011711C"/>
    <w:rsid w:val="00124E4F"/>
    <w:rsid w:val="001260B7"/>
    <w:rsid w:val="001265CB"/>
    <w:rsid w:val="001321C6"/>
    <w:rsid w:val="001325C4"/>
    <w:rsid w:val="00133010"/>
    <w:rsid w:val="00133041"/>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0052"/>
    <w:rsid w:val="001852C9"/>
    <w:rsid w:val="00190087"/>
    <w:rsid w:val="001913C4"/>
    <w:rsid w:val="0019348F"/>
    <w:rsid w:val="00193A07"/>
    <w:rsid w:val="00194C95"/>
    <w:rsid w:val="00195C34"/>
    <w:rsid w:val="00196EF5"/>
    <w:rsid w:val="001A1A53"/>
    <w:rsid w:val="001A234A"/>
    <w:rsid w:val="001A2939"/>
    <w:rsid w:val="001A4CF3"/>
    <w:rsid w:val="001B06E8"/>
    <w:rsid w:val="001B3C41"/>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36CB"/>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5489"/>
    <w:rsid w:val="00246021"/>
    <w:rsid w:val="0024666E"/>
    <w:rsid w:val="00247F52"/>
    <w:rsid w:val="00250B25"/>
    <w:rsid w:val="00250BBE"/>
    <w:rsid w:val="002515C2"/>
    <w:rsid w:val="0025194F"/>
    <w:rsid w:val="002610D3"/>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2649C"/>
    <w:rsid w:val="00331FC7"/>
    <w:rsid w:val="003331E4"/>
    <w:rsid w:val="00336C64"/>
    <w:rsid w:val="00337162"/>
    <w:rsid w:val="0034194F"/>
    <w:rsid w:val="00344605"/>
    <w:rsid w:val="003474AA"/>
    <w:rsid w:val="00350D1D"/>
    <w:rsid w:val="00352C83"/>
    <w:rsid w:val="00353203"/>
    <w:rsid w:val="00353356"/>
    <w:rsid w:val="00354D9A"/>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03E7"/>
    <w:rsid w:val="003A1582"/>
    <w:rsid w:val="003A4077"/>
    <w:rsid w:val="003A4FC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4C87"/>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2D37"/>
    <w:rsid w:val="004D4406"/>
    <w:rsid w:val="004D7C42"/>
    <w:rsid w:val="004E0465"/>
    <w:rsid w:val="004E127B"/>
    <w:rsid w:val="004E1C0A"/>
    <w:rsid w:val="004E30C5"/>
    <w:rsid w:val="004E4AA5"/>
    <w:rsid w:val="004E4AEE"/>
    <w:rsid w:val="004E59E3"/>
    <w:rsid w:val="004E67C0"/>
    <w:rsid w:val="004F2CDC"/>
    <w:rsid w:val="004F391A"/>
    <w:rsid w:val="004F3CFB"/>
    <w:rsid w:val="004F6456"/>
    <w:rsid w:val="004F696E"/>
    <w:rsid w:val="004F6C71"/>
    <w:rsid w:val="004F6C8A"/>
    <w:rsid w:val="00501139"/>
    <w:rsid w:val="0050363E"/>
    <w:rsid w:val="005039BC"/>
    <w:rsid w:val="005043BB"/>
    <w:rsid w:val="00504A3D"/>
    <w:rsid w:val="00505767"/>
    <w:rsid w:val="005066D2"/>
    <w:rsid w:val="005073F0"/>
    <w:rsid w:val="00510A7B"/>
    <w:rsid w:val="00511D91"/>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1F02"/>
    <w:rsid w:val="005836A8"/>
    <w:rsid w:val="0058409C"/>
    <w:rsid w:val="00584262"/>
    <w:rsid w:val="00586630"/>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833"/>
    <w:rsid w:val="006D3E96"/>
    <w:rsid w:val="006D4515"/>
    <w:rsid w:val="006D4BB1"/>
    <w:rsid w:val="006D6593"/>
    <w:rsid w:val="006F03A8"/>
    <w:rsid w:val="006F2ACA"/>
    <w:rsid w:val="006F2ADC"/>
    <w:rsid w:val="006F2BFE"/>
    <w:rsid w:val="006F31E9"/>
    <w:rsid w:val="006F6284"/>
    <w:rsid w:val="007002C5"/>
    <w:rsid w:val="00702DAD"/>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3AED"/>
    <w:rsid w:val="0073720F"/>
    <w:rsid w:val="00737796"/>
    <w:rsid w:val="0074165C"/>
    <w:rsid w:val="00742C35"/>
    <w:rsid w:val="007432CA"/>
    <w:rsid w:val="007439EB"/>
    <w:rsid w:val="00743CB4"/>
    <w:rsid w:val="00743F0A"/>
    <w:rsid w:val="007444E8"/>
    <w:rsid w:val="0074548E"/>
    <w:rsid w:val="00745773"/>
    <w:rsid w:val="00746800"/>
    <w:rsid w:val="007501A8"/>
    <w:rsid w:val="00750B77"/>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5A2"/>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BBA"/>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48EA"/>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115E"/>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26A7"/>
    <w:rsid w:val="00AD4126"/>
    <w:rsid w:val="00AD421C"/>
    <w:rsid w:val="00AD44FA"/>
    <w:rsid w:val="00AE070A"/>
    <w:rsid w:val="00AE101C"/>
    <w:rsid w:val="00AE37E5"/>
    <w:rsid w:val="00AE5EB4"/>
    <w:rsid w:val="00AF0C18"/>
    <w:rsid w:val="00AF47C5"/>
    <w:rsid w:val="00AF5398"/>
    <w:rsid w:val="00AF5786"/>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9B7"/>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2EE3"/>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04F3"/>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0384"/>
    <w:rsid w:val="00DB38EE"/>
    <w:rsid w:val="00DB498B"/>
    <w:rsid w:val="00DB66CA"/>
    <w:rsid w:val="00DB6BCA"/>
    <w:rsid w:val="00DB73F7"/>
    <w:rsid w:val="00DC0321"/>
    <w:rsid w:val="00DC3067"/>
    <w:rsid w:val="00DC370B"/>
    <w:rsid w:val="00DC3847"/>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424C"/>
    <w:rsid w:val="00E06404"/>
    <w:rsid w:val="00E1182A"/>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74DB"/>
    <w:rsid w:val="00EC5359"/>
    <w:rsid w:val="00EC562A"/>
    <w:rsid w:val="00ED067A"/>
    <w:rsid w:val="00ED2B50"/>
    <w:rsid w:val="00EE0350"/>
    <w:rsid w:val="00EE0719"/>
    <w:rsid w:val="00EE0E80"/>
    <w:rsid w:val="00EE0FE2"/>
    <w:rsid w:val="00EE613F"/>
    <w:rsid w:val="00EE7295"/>
    <w:rsid w:val="00EE7869"/>
    <w:rsid w:val="00EF054A"/>
    <w:rsid w:val="00EF3235"/>
    <w:rsid w:val="00EF7E72"/>
    <w:rsid w:val="00F06D37"/>
    <w:rsid w:val="00F07B9D"/>
    <w:rsid w:val="00F11586"/>
    <w:rsid w:val="00F1183B"/>
    <w:rsid w:val="00F11C9F"/>
    <w:rsid w:val="00F12263"/>
    <w:rsid w:val="00F12F60"/>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7716C"/>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368F"/>
    <w:rsid w:val="00FB45F1"/>
    <w:rsid w:val="00FB4A72"/>
    <w:rsid w:val="00FB54E8"/>
    <w:rsid w:val="00FB7054"/>
    <w:rsid w:val="00FC17B7"/>
    <w:rsid w:val="00FC2CB7"/>
    <w:rsid w:val="00FC3887"/>
    <w:rsid w:val="00FC4090"/>
    <w:rsid w:val="00FC55B4"/>
    <w:rsid w:val="00FD00E6"/>
    <w:rsid w:val="00FD09A1"/>
    <w:rsid w:val="00FD2A7C"/>
    <w:rsid w:val="00FD59EB"/>
    <w:rsid w:val="00FD7299"/>
    <w:rsid w:val="00FE1518"/>
    <w:rsid w:val="00FE1FBE"/>
    <w:rsid w:val="00FE3901"/>
    <w:rsid w:val="00FE39D3"/>
    <w:rsid w:val="00FE4BCE"/>
    <w:rsid w:val="00FE54AE"/>
    <w:rsid w:val="00FE576A"/>
    <w:rsid w:val="00FE7E79"/>
    <w:rsid w:val="00FF3E7D"/>
    <w:rsid w:val="00FF5B99"/>
    <w:rsid w:val="00FF730C"/>
    <w:rsid w:val="00FF73F4"/>
    <w:rsid w:val="00FF7CE4"/>
    <w:rsid w:val="00FF7E39"/>
    <w:rsid w:val="155B515D"/>
    <w:rsid w:val="1C5676E2"/>
    <w:rsid w:val="1D912724"/>
    <w:rsid w:val="47C42E41"/>
    <w:rsid w:val="4A0E6BF1"/>
    <w:rsid w:val="50850D8D"/>
    <w:rsid w:val="5C102F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rFonts w:ascii="Times New Roman" w:hAnsi="Times New Roman" w:eastAsia="宋体" w:cs="Times New Roman"/>
      <w:b/>
      <w:bCs/>
      <w:kern w:val="44"/>
      <w:sz w:val="44"/>
      <w:szCs w:val="44"/>
    </w:rPr>
  </w:style>
  <w:style w:type="character" w:customStyle="1" w:styleId="35">
    <w:name w:val="标题 2 字符"/>
    <w:link w:val="3"/>
    <w:qFormat/>
    <w:uiPriority w:val="0"/>
    <w:rPr>
      <w:rFonts w:ascii="Arial" w:hAnsi="Arial" w:eastAsia="黑体" w:cs="Times New Roman"/>
      <w:b/>
      <w:bCs/>
      <w:sz w:val="32"/>
      <w:szCs w:val="32"/>
    </w:rPr>
  </w:style>
  <w:style w:type="character" w:customStyle="1" w:styleId="36">
    <w:name w:val="标题 3 字符"/>
    <w:link w:val="4"/>
    <w:qFormat/>
    <w:uiPriority w:val="0"/>
    <w:rPr>
      <w:rFonts w:ascii="Times New Roman" w:hAnsi="Times New Roman" w:eastAsia="宋体" w:cs="Times New Roman"/>
      <w:b/>
      <w:bCs/>
      <w:sz w:val="32"/>
      <w:szCs w:val="32"/>
    </w:rPr>
  </w:style>
  <w:style w:type="character" w:customStyle="1" w:styleId="37">
    <w:name w:val="标题 4 字符"/>
    <w:link w:val="5"/>
    <w:qFormat/>
    <w:uiPriority w:val="0"/>
    <w:rPr>
      <w:rFonts w:ascii="Arial" w:hAnsi="Arial" w:eastAsia="黑体" w:cs="Times New Roman"/>
      <w:b/>
      <w:bCs/>
      <w:sz w:val="28"/>
      <w:szCs w:val="28"/>
    </w:rPr>
  </w:style>
  <w:style w:type="character" w:customStyle="1" w:styleId="38">
    <w:name w:val="标题 5 字符"/>
    <w:link w:val="6"/>
    <w:qFormat/>
    <w:uiPriority w:val="0"/>
    <w:rPr>
      <w:rFonts w:ascii="Times New Roman" w:hAnsi="Times New Roman" w:eastAsia="宋体" w:cs="Times New Roman"/>
      <w:b/>
      <w:bCs/>
      <w:sz w:val="28"/>
      <w:szCs w:val="28"/>
    </w:rPr>
  </w:style>
  <w:style w:type="character" w:customStyle="1" w:styleId="39">
    <w:name w:val="标题 6 字符"/>
    <w:link w:val="7"/>
    <w:qFormat/>
    <w:uiPriority w:val="0"/>
    <w:rPr>
      <w:rFonts w:ascii="Arial" w:hAnsi="Arial" w:eastAsia="黑体" w:cs="Times New Roman"/>
      <w:b/>
      <w:bCs/>
      <w:sz w:val="24"/>
      <w:szCs w:val="24"/>
    </w:rPr>
  </w:style>
  <w:style w:type="character" w:customStyle="1" w:styleId="40">
    <w:name w:val="标题 7 字符"/>
    <w:link w:val="8"/>
    <w:qFormat/>
    <w:uiPriority w:val="0"/>
    <w:rPr>
      <w:rFonts w:ascii="Times New Roman" w:hAnsi="Times New Roman" w:eastAsia="宋体" w:cs="Times New Roman"/>
      <w:b/>
      <w:bCs/>
      <w:sz w:val="24"/>
      <w:szCs w:val="24"/>
    </w:rPr>
  </w:style>
  <w:style w:type="character" w:customStyle="1" w:styleId="41">
    <w:name w:val="标题 8 字符"/>
    <w:link w:val="9"/>
    <w:qFormat/>
    <w:uiPriority w:val="0"/>
    <w:rPr>
      <w:rFonts w:ascii="Arial" w:hAnsi="Arial" w:eastAsia="黑体" w:cs="Times New Roman"/>
      <w:sz w:val="24"/>
      <w:szCs w:val="24"/>
    </w:rPr>
  </w:style>
  <w:style w:type="character" w:customStyle="1" w:styleId="42">
    <w:name w:val="标题 9 字符"/>
    <w:link w:val="10"/>
    <w:qFormat/>
    <w:uiPriority w:val="0"/>
    <w:rPr>
      <w:rFonts w:ascii="Arial" w:hAnsi="Arial" w:eastAsia="黑体" w:cs="Times New Roman"/>
      <w:szCs w:val="21"/>
    </w:rPr>
  </w:style>
  <w:style w:type="character" w:customStyle="1" w:styleId="43">
    <w:name w:val="页眉 字符"/>
    <w:link w:val="18"/>
    <w:qFormat/>
    <w:uiPriority w:val="99"/>
    <w:rPr>
      <w:rFonts w:ascii="Times New Roman" w:hAnsi="Times New Roman" w:eastAsia="宋体" w:cs="Times New Roman"/>
      <w:sz w:val="18"/>
      <w:szCs w:val="18"/>
    </w:rPr>
  </w:style>
  <w:style w:type="character" w:customStyle="1" w:styleId="44">
    <w:name w:val="页脚 字符"/>
    <w:link w:val="17"/>
    <w:qFormat/>
    <w:uiPriority w:val="99"/>
    <w:rPr>
      <w:rFonts w:ascii="宋体" w:hAnsi="Times New Roman" w:eastAsia="宋体" w:cs="Times New Roman"/>
      <w:sz w:val="18"/>
      <w:szCs w:val="18"/>
    </w:rPr>
  </w:style>
  <w:style w:type="character" w:customStyle="1" w:styleId="45">
    <w:name w:val="批注框文本 字符"/>
    <w:link w:val="16"/>
    <w:semiHidden/>
    <w:qFormat/>
    <w:uiPriority w:val="99"/>
    <w:rPr>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rPr>
  </w:style>
  <w:style w:type="character" w:customStyle="1" w:styleId="48">
    <w:name w:val="标题 字符"/>
    <w:link w:val="25"/>
    <w:qFormat/>
    <w:uiPriority w:val="0"/>
    <w:rPr>
      <w:rFonts w:ascii="Arial" w:hAnsi="Arial" w:eastAsia="宋体" w:cs="Arial"/>
      <w:b/>
      <w:bCs/>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227"/>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rFonts w:ascii="Times New Roman" w:hAnsi="Times New Roman" w:eastAsia="宋体" w:cs="Times New Roman"/>
      <w:szCs w:val="20"/>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pPr>
  </w:style>
  <w:style w:type="paragraph" w:customStyle="1" w:styleId="91">
    <w:name w:val="标准文件_目录标题"/>
    <w:basedOn w:val="1"/>
    <w:qFormat/>
    <w:uiPriority w:val="0"/>
    <w:pPr>
      <w:spacing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ind w:left="0" w:firstLine="200"/>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hAnsi="Times New Roman" w:eastAsia="宋体" w:cs="Times New Roman"/>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ind w:left="783"/>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left="1271" w:hanging="420" w:firstLineChars="0"/>
    </w:pPr>
  </w:style>
  <w:style w:type="paragraph" w:customStyle="1" w:styleId="188">
    <w:name w:val="标准文件_三级项2"/>
    <w:basedOn w:val="56"/>
    <w:qFormat/>
    <w:uiPriority w:val="0"/>
    <w:pPr>
      <w:numPr>
        <w:ilvl w:val="0"/>
        <w:numId w:val="30"/>
      </w:numPr>
      <w:spacing w:line="300" w:lineRule="exact"/>
      <w:ind w:left="1276" w:hanging="425" w:firstLineChars="0"/>
    </w:pPr>
    <w:rPr>
      <w:rFonts w:ascii="Times New Roman"/>
    </w:rPr>
  </w:style>
  <w:style w:type="paragraph" w:customStyle="1" w:styleId="189">
    <w:name w:val="标准文件_一级项2"/>
    <w:basedOn w:val="56"/>
    <w:qFormat/>
    <w:uiPriority w:val="0"/>
    <w:pPr>
      <w:numPr>
        <w:ilvl w:val="0"/>
        <w:numId w:val="31"/>
      </w:numPr>
      <w:spacing w:line="300" w:lineRule="exact"/>
      <w:ind w:left="1271" w:hanging="420"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next w:val="56"/>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character" w:customStyle="1" w:styleId="230">
    <w:name w:val="Other|1_"/>
    <w:basedOn w:val="28"/>
    <w:link w:val="231"/>
    <w:qFormat/>
    <w:uiPriority w:val="0"/>
    <w:rPr>
      <w:rFonts w:ascii="宋体" w:hAnsi="宋体" w:cs="宋体"/>
      <w:sz w:val="40"/>
      <w:szCs w:val="40"/>
      <w:lang w:val="zh-TW" w:eastAsia="zh-TW" w:bidi="zh-TW"/>
    </w:rPr>
  </w:style>
  <w:style w:type="paragraph" w:customStyle="1" w:styleId="231">
    <w:name w:val="Other|1"/>
    <w:basedOn w:val="1"/>
    <w:link w:val="230"/>
    <w:qFormat/>
    <w:uiPriority w:val="0"/>
    <w:pPr>
      <w:adjustRightInd/>
      <w:spacing w:after="200" w:line="329" w:lineRule="auto"/>
      <w:ind w:firstLine="400"/>
      <w:jc w:val="left"/>
    </w:pPr>
    <w:rPr>
      <w:rFonts w:ascii="宋体" w:hAnsi="宋体" w:cs="宋体"/>
      <w:kern w:val="0"/>
      <w:sz w:val="40"/>
      <w:szCs w:val="40"/>
      <w:lang w:val="zh-TW" w:eastAsia="zh-TW" w:bidi="zh-TW"/>
    </w:rPr>
  </w:style>
  <w:style w:type="character" w:customStyle="1" w:styleId="232">
    <w:name w:val="Body text|1_"/>
    <w:basedOn w:val="28"/>
    <w:link w:val="233"/>
    <w:qFormat/>
    <w:uiPriority w:val="0"/>
    <w:rPr>
      <w:rFonts w:ascii="宋体" w:hAnsi="宋体" w:cs="宋体"/>
      <w:sz w:val="40"/>
      <w:szCs w:val="40"/>
      <w:lang w:val="zh-TW" w:eastAsia="zh-TW" w:bidi="zh-TW"/>
    </w:rPr>
  </w:style>
  <w:style w:type="paragraph" w:customStyle="1" w:styleId="233">
    <w:name w:val="Body text|1"/>
    <w:basedOn w:val="1"/>
    <w:link w:val="232"/>
    <w:qFormat/>
    <w:uiPriority w:val="0"/>
    <w:pPr>
      <w:adjustRightInd/>
      <w:spacing w:after="200" w:line="329" w:lineRule="auto"/>
      <w:ind w:firstLine="400"/>
      <w:jc w:val="left"/>
    </w:pPr>
    <w:rPr>
      <w:rFonts w:ascii="宋体" w:hAnsi="宋体" w:cs="宋体"/>
      <w:kern w:val="0"/>
      <w:sz w:val="40"/>
      <w:szCs w:val="40"/>
      <w:lang w:val="zh-TW" w:eastAsia="zh-TW" w:bidi="zh-TW"/>
    </w:rPr>
  </w:style>
  <w:style w:type="paragraph" w:customStyle="1" w:styleId="234">
    <w:name w:val="段"/>
    <w:link w:val="235"/>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5">
    <w:name w:val="段 Char"/>
    <w:link w:val="234"/>
    <w:qFormat/>
    <w:uiPriority w:val="0"/>
    <w:rPr>
      <w:rFonts w:ascii="宋体" w:hAnsi="Times New Roman"/>
      <w:sz w:val="21"/>
    </w:rPr>
  </w:style>
  <w:style w:type="paragraph" w:customStyle="1" w:styleId="236">
    <w:name w:val="一级条标题"/>
    <w:next w:val="234"/>
    <w:qFormat/>
    <w:uiPriority w:val="0"/>
    <w:pPr>
      <w:numPr>
        <w:ilvl w:val="1"/>
        <w:numId w:val="32"/>
      </w:numPr>
      <w:spacing w:beforeLines="50" w:afterLines="50"/>
      <w:outlineLvl w:val="2"/>
    </w:pPr>
    <w:rPr>
      <w:rFonts w:ascii="黑体" w:hAnsi="Times New Roman" w:eastAsia="黑体" w:cs="Times New Roman"/>
      <w:sz w:val="21"/>
      <w:szCs w:val="21"/>
      <w:lang w:val="en-US" w:eastAsia="zh-CN" w:bidi="ar-SA"/>
    </w:rPr>
  </w:style>
  <w:style w:type="paragraph" w:customStyle="1" w:styleId="237">
    <w:name w:val="章标题"/>
    <w:next w:val="234"/>
    <w:qFormat/>
    <w:uiPriority w:val="0"/>
    <w:pPr>
      <w:numPr>
        <w:ilvl w:val="0"/>
        <w:numId w:val="32"/>
      </w:numPr>
      <w:spacing w:beforeLines="100" w:afterLines="100"/>
      <w:jc w:val="both"/>
      <w:outlineLvl w:val="1"/>
    </w:pPr>
    <w:rPr>
      <w:rFonts w:ascii="黑体" w:hAnsi="Times New Roman" w:eastAsia="黑体" w:cs="Times New Roman"/>
      <w:sz w:val="21"/>
      <w:lang w:val="en-US" w:eastAsia="zh-CN" w:bidi="ar-SA"/>
    </w:rPr>
  </w:style>
  <w:style w:type="paragraph" w:customStyle="1" w:styleId="238">
    <w:name w:val="二级条标题"/>
    <w:basedOn w:val="236"/>
    <w:next w:val="234"/>
    <w:qFormat/>
    <w:uiPriority w:val="0"/>
    <w:pPr>
      <w:numPr>
        <w:ilvl w:val="2"/>
      </w:numPr>
      <w:spacing w:before="50" w:after="50"/>
      <w:outlineLvl w:val="3"/>
    </w:pPr>
  </w:style>
  <w:style w:type="paragraph" w:customStyle="1" w:styleId="239">
    <w:name w:val="三级条标题"/>
    <w:basedOn w:val="238"/>
    <w:next w:val="234"/>
    <w:qFormat/>
    <w:uiPriority w:val="0"/>
    <w:pPr>
      <w:numPr>
        <w:ilvl w:val="3"/>
      </w:numPr>
      <w:outlineLvl w:val="4"/>
    </w:pPr>
  </w:style>
  <w:style w:type="paragraph" w:customStyle="1" w:styleId="240">
    <w:name w:val="四级条标题"/>
    <w:basedOn w:val="239"/>
    <w:next w:val="234"/>
    <w:qFormat/>
    <w:uiPriority w:val="0"/>
    <w:pPr>
      <w:numPr>
        <w:ilvl w:val="4"/>
      </w:numPr>
      <w:outlineLvl w:val="5"/>
    </w:pPr>
  </w:style>
  <w:style w:type="paragraph" w:customStyle="1" w:styleId="241">
    <w:name w:val="五级条标题"/>
    <w:basedOn w:val="240"/>
    <w:next w:val="234"/>
    <w:qFormat/>
    <w:uiPriority w:val="0"/>
    <w:pPr>
      <w:numPr>
        <w:ilvl w:val="5"/>
      </w:numPr>
      <w:outlineLvl w:val="6"/>
    </w:pPr>
  </w:style>
  <w:style w:type="paragraph" w:customStyle="1" w:styleId="242">
    <w:name w:val="附录标识"/>
    <w:basedOn w:val="1"/>
    <w:next w:val="234"/>
    <w:qFormat/>
    <w:uiPriority w:val="0"/>
    <w:pPr>
      <w:keepNext/>
      <w:widowControl/>
      <w:shd w:val="clear" w:color="FFFFFF" w:fill="FFFFFF"/>
      <w:tabs>
        <w:tab w:val="left" w:pos="360"/>
        <w:tab w:val="left" w:pos="6405"/>
      </w:tabs>
      <w:adjustRightInd/>
      <w:spacing w:before="640" w:after="280" w:line="240" w:lineRule="auto"/>
      <w:jc w:val="center"/>
      <w:outlineLvl w:val="0"/>
    </w:pPr>
    <w:rPr>
      <w:rFonts w:ascii="黑体" w:hAnsi="Times New Roman" w:eastAsia="黑体"/>
      <w:kern w:val="0"/>
      <w:szCs w:val="20"/>
    </w:rPr>
  </w:style>
  <w:style w:type="paragraph" w:customStyle="1" w:styleId="243">
    <w:name w:val="附录表标号"/>
    <w:basedOn w:val="1"/>
    <w:next w:val="234"/>
    <w:qFormat/>
    <w:uiPriority w:val="0"/>
    <w:pPr>
      <w:numPr>
        <w:ilvl w:val="0"/>
        <w:numId w:val="33"/>
      </w:numPr>
      <w:tabs>
        <w:tab w:val="clear" w:pos="0"/>
      </w:tabs>
      <w:adjustRightInd/>
      <w:spacing w:line="14" w:lineRule="exact"/>
      <w:ind w:left="811" w:hanging="448"/>
      <w:jc w:val="center"/>
      <w:outlineLvl w:val="0"/>
    </w:pPr>
    <w:rPr>
      <w:rFonts w:ascii="Times New Roman" w:hAnsi="Times New Roman"/>
      <w:color w:val="FFFFFF"/>
      <w:szCs w:val="24"/>
    </w:rPr>
  </w:style>
  <w:style w:type="paragraph" w:customStyle="1" w:styleId="244">
    <w:name w:val="附录表标题"/>
    <w:basedOn w:val="1"/>
    <w:next w:val="234"/>
    <w:qFormat/>
    <w:uiPriority w:val="0"/>
    <w:pPr>
      <w:numPr>
        <w:ilvl w:val="1"/>
        <w:numId w:val="33"/>
      </w:numPr>
      <w:tabs>
        <w:tab w:val="left" w:pos="180"/>
      </w:tabs>
      <w:adjustRightInd/>
      <w:spacing w:beforeLines="50" w:afterLines="50" w:line="240" w:lineRule="auto"/>
      <w:ind w:left="0" w:firstLine="0"/>
      <w:jc w:val="center"/>
    </w:pPr>
    <w:rPr>
      <w:rFonts w:ascii="黑体" w:hAnsi="Times New Roman" w:eastAsia="黑体"/>
    </w:rPr>
  </w:style>
  <w:style w:type="paragraph" w:customStyle="1" w:styleId="245">
    <w:name w:val="附录二级条标题"/>
    <w:basedOn w:val="1"/>
    <w:next w:val="234"/>
    <w:qFormat/>
    <w:uiPriority w:val="0"/>
    <w:pPr>
      <w:widowControl/>
      <w:tabs>
        <w:tab w:val="left" w:pos="360"/>
      </w:tabs>
      <w:wordWrap w:val="0"/>
      <w:overflowPunct w:val="0"/>
      <w:autoSpaceDE w:val="0"/>
      <w:autoSpaceDN w:val="0"/>
      <w:adjustRightInd/>
      <w:spacing w:beforeLines="50" w:afterLines="50" w:line="240" w:lineRule="auto"/>
      <w:textAlignment w:val="baseline"/>
      <w:outlineLvl w:val="3"/>
    </w:pPr>
    <w:rPr>
      <w:rFonts w:ascii="黑体" w:hAnsi="Times New Roman" w:eastAsia="黑体"/>
      <w:kern w:val="21"/>
      <w:szCs w:val="20"/>
    </w:rPr>
  </w:style>
  <w:style w:type="paragraph" w:customStyle="1" w:styleId="246">
    <w:name w:val="附录三级条标题"/>
    <w:basedOn w:val="245"/>
    <w:next w:val="234"/>
    <w:qFormat/>
    <w:uiPriority w:val="0"/>
    <w:pPr>
      <w:outlineLvl w:val="4"/>
    </w:pPr>
  </w:style>
  <w:style w:type="paragraph" w:customStyle="1" w:styleId="247">
    <w:name w:val="附录数字编号列项（二级）"/>
    <w:qFormat/>
    <w:uiPriority w:val="0"/>
    <w:pPr>
      <w:numPr>
        <w:ilvl w:val="1"/>
        <w:numId w:val="34"/>
      </w:numPr>
    </w:pPr>
    <w:rPr>
      <w:rFonts w:ascii="宋体" w:hAnsi="Times New Roman" w:eastAsia="宋体" w:cs="Times New Roman"/>
      <w:sz w:val="21"/>
      <w:lang w:val="en-US" w:eastAsia="zh-CN" w:bidi="ar-SA"/>
    </w:rPr>
  </w:style>
  <w:style w:type="paragraph" w:customStyle="1" w:styleId="248">
    <w:name w:val="附录四级条标题"/>
    <w:basedOn w:val="246"/>
    <w:next w:val="234"/>
    <w:qFormat/>
    <w:uiPriority w:val="0"/>
    <w:pPr>
      <w:outlineLvl w:val="5"/>
    </w:pPr>
  </w:style>
  <w:style w:type="paragraph" w:customStyle="1" w:styleId="249">
    <w:name w:val="附录五级条标题"/>
    <w:basedOn w:val="248"/>
    <w:next w:val="234"/>
    <w:qFormat/>
    <w:uiPriority w:val="0"/>
    <w:pPr>
      <w:outlineLvl w:val="6"/>
    </w:pPr>
  </w:style>
  <w:style w:type="paragraph" w:customStyle="1" w:styleId="250">
    <w:name w:val="附录章标题"/>
    <w:next w:val="234"/>
    <w:qFormat/>
    <w:uiPriority w:val="0"/>
    <w:p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251">
    <w:name w:val="附录一级条标题"/>
    <w:basedOn w:val="250"/>
    <w:next w:val="234"/>
    <w:qFormat/>
    <w:uiPriority w:val="0"/>
    <w:pPr>
      <w:autoSpaceDN w:val="0"/>
      <w:spacing w:beforeLines="50" w:afterLines="50"/>
      <w:outlineLvl w:val="2"/>
    </w:pPr>
  </w:style>
  <w:style w:type="paragraph" w:customStyle="1" w:styleId="252">
    <w:name w:val="附录字母编号列项（一级）"/>
    <w:qFormat/>
    <w:uiPriority w:val="0"/>
    <w:pPr>
      <w:numPr>
        <w:ilvl w:val="0"/>
        <w:numId w:val="34"/>
      </w:numPr>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glossaryDocument" Target="glossary/document.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93F1F6BE9F8B49B582C0C938A0B20B27"/>
        <w:style w:val=""/>
        <w:category>
          <w:name w:val="常规"/>
          <w:gallery w:val="placeholder"/>
        </w:category>
        <w:types>
          <w:type w:val="bbPlcHdr"/>
        </w:types>
        <w:behaviors>
          <w:behavior w:val="content"/>
        </w:behaviors>
        <w:description w:val=""/>
        <w:guid w:val="{D04FED4B-A8FE-40FD-8B3D-9F45A46578EC}"/>
      </w:docPartPr>
      <w:docPartBody>
        <w:p w14:paraId="651BA906">
          <w:pPr>
            <w:pStyle w:val="5"/>
          </w:pPr>
          <w:r>
            <w:rPr>
              <w:rStyle w:val="4"/>
              <w:rFonts w:hint="eastAsia"/>
            </w:rPr>
            <w:t>单击或点击此处输入文字。</w:t>
          </w:r>
        </w:p>
      </w:docPartBody>
    </w:docPart>
    <w:docPart>
      <w:docPartPr>
        <w:name w:val="253A401B411F46329CB77713AAA92563"/>
        <w:style w:val=""/>
        <w:category>
          <w:name w:val="常规"/>
          <w:gallery w:val="placeholder"/>
        </w:category>
        <w:types>
          <w:type w:val="bbPlcHdr"/>
        </w:types>
        <w:behaviors>
          <w:behavior w:val="content"/>
        </w:behaviors>
        <w:description w:val=""/>
        <w:guid w:val="{BD851C1C-7201-4B9F-A49C-451F8951381B}"/>
      </w:docPartPr>
      <w:docPartBody>
        <w:p w14:paraId="7EE4B47F">
          <w:pPr>
            <w:pStyle w:val="9"/>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633C"/>
    <w:rsid w:val="003133AA"/>
    <w:rsid w:val="004E533E"/>
    <w:rsid w:val="00704821"/>
    <w:rsid w:val="00A45832"/>
    <w:rsid w:val="00B6633C"/>
    <w:rsid w:val="00D92A88"/>
    <w:rsid w:val="00F805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93F1F6BE9F8B49B582C0C938A0B20B2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D1D951B898FE4B6FB6E1526A40F63AA1"/>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11473134F4764430993982BC40448A1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E43934B22B714427AF42BC097682640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
    <w:name w:val="253A401B411F46329CB77713AAA92563"/>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7</Pages>
  <Words>1340</Words>
  <Characters>1601</Characters>
  <Lines>19</Lines>
  <Paragraphs>5</Paragraphs>
  <TotalTime>1</TotalTime>
  <ScaleCrop>false</ScaleCrop>
  <LinksUpToDate>false</LinksUpToDate>
  <CharactersWithSpaces>1662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2021-01-20T01:04:00Z</dcterms:created>
  <dc:creator>刘璟</dc:creator>
  <dc:description>&lt;config cover="true" show_menu="true" version="1.0.0" doctype="SDKXY"&gt;_x000d_
&lt;/config&gt;</dc:description>
  <cp:lastModifiedBy>Miamia</cp:lastModifiedBy>
  <cp:lastPrinted>2025-02-26T02:34:00Z</cp:lastPrinted>
  <dcterms:modified xsi:type="dcterms:W3CDTF">2025-05-13T01:33:10Z</dcterms:modified>
  <dc:title>地方标准</dc:title>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eyJoZGlkIjoiNjhkODA0M2I1NzVkNGEyYTBkZmJlOWFiMzE1MWRhZjYiLCJ1c2VySWQiOiI0MjA5MDEyMTYifQ==</vt:lpwstr>
  </property>
  <property fmtid="{D5CDD505-2E9C-101B-9397-08002B2CF9AE}" pid="15" name="KSOProductBuildVer">
    <vt:lpwstr>2052-12.1.0.20784</vt:lpwstr>
  </property>
  <property fmtid="{D5CDD505-2E9C-101B-9397-08002B2CF9AE}" pid="16" name="ICV">
    <vt:lpwstr>B16E4276A0A44180B46C40623010B1BF</vt:lpwstr>
  </property>
</Properties>
</file>