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jc w:val="center"/>
        <w:rPr>
          <w:rFonts w:eastAsia="方正小标宋简体"/>
          <w:sz w:val="44"/>
          <w:szCs w:val="44"/>
        </w:rPr>
      </w:pPr>
      <w:r>
        <w:rPr>
          <w:rFonts w:eastAsia="方正小标宋简体"/>
          <w:sz w:val="44"/>
          <w:szCs w:val="44"/>
        </w:rPr>
        <w:t>雄安新区国有建设用地基准地价成果</w:t>
      </w:r>
      <w:bookmarkStart w:id="1" w:name="_GoBack"/>
      <w:bookmarkEnd w:id="1"/>
    </w:p>
    <w:p>
      <w:pPr>
        <w:adjustRightInd w:val="0"/>
        <w:snapToGrid w:val="0"/>
        <w:spacing w:line="580" w:lineRule="exact"/>
        <w:jc w:val="left"/>
        <w:outlineLvl w:val="1"/>
      </w:pPr>
    </w:p>
    <w:p>
      <w:pPr>
        <w:adjustRightInd w:val="0"/>
        <w:snapToGrid w:val="0"/>
        <w:spacing w:line="580" w:lineRule="exact"/>
        <w:ind w:firstLine="640" w:firstLineChars="200"/>
        <w:jc w:val="left"/>
        <w:outlineLvl w:val="1"/>
        <w:rPr>
          <w:rFonts w:eastAsia="黑体"/>
        </w:rPr>
      </w:pPr>
      <w:r>
        <w:rPr>
          <w:rFonts w:eastAsia="黑体"/>
        </w:rPr>
        <w:t>一、雄安新区基准地价基本内容</w:t>
      </w:r>
    </w:p>
    <w:p>
      <w:pPr>
        <w:adjustRightInd w:val="0"/>
        <w:snapToGrid w:val="0"/>
        <w:spacing w:line="580" w:lineRule="exact"/>
        <w:ind w:firstLine="640" w:firstLineChars="200"/>
        <w:jc w:val="left"/>
        <w:outlineLvl w:val="1"/>
        <w:rPr>
          <w:rFonts w:eastAsia="楷体"/>
        </w:rPr>
      </w:pPr>
      <w:r>
        <w:rPr>
          <w:rFonts w:eastAsia="楷体"/>
        </w:rPr>
        <w:t>（一）基准地价公布范围</w:t>
      </w:r>
    </w:p>
    <w:p>
      <w:pPr>
        <w:snapToGrid w:val="0"/>
        <w:spacing w:line="580" w:lineRule="exact"/>
        <w:ind w:firstLine="640" w:firstLineChars="200"/>
      </w:pPr>
      <w:r>
        <w:t>雄安新区国有建设用地使用权基准地价采用级别基准地价予以表示，并以级别基准地价表、级别基准地价图予以公布。</w:t>
      </w:r>
    </w:p>
    <w:p>
      <w:pPr>
        <w:snapToGrid w:val="0"/>
        <w:spacing w:line="580" w:lineRule="exact"/>
        <w:ind w:firstLine="640" w:firstLineChars="200"/>
      </w:pPr>
      <w:r>
        <w:t>雄安新区国有建设用地基准地价成果包括三类（商服用地、住宅用地、新型产业用地）五级的级别基准地价，考虑特色小镇、美丽乡村等中远期区域的建设进度，现公布三类（商服用地、住宅用地、新型产业用地）三级（</w:t>
      </w:r>
      <w:r>
        <w:rPr>
          <w:rFonts w:hint="eastAsia"/>
        </w:rPr>
        <w:t>“</w:t>
      </w:r>
      <w:r>
        <w:t>一主</w:t>
      </w:r>
      <w:r>
        <w:rPr>
          <w:rFonts w:hint="eastAsia"/>
        </w:rPr>
        <w:t>”“</w:t>
      </w:r>
      <w:r>
        <w:t>五辅</w:t>
      </w:r>
      <w:r>
        <w:rPr>
          <w:rFonts w:hint="eastAsia"/>
        </w:rPr>
        <w:t>”</w:t>
      </w:r>
      <w:r>
        <w:t>、大河片区及朱各庄片区范围</w:t>
      </w:r>
      <w:r>
        <w:rPr>
          <w:rFonts w:hint="eastAsia"/>
          <w:lang w:val="en-US" w:eastAsia="zh-CN"/>
        </w:rPr>
        <w:t>内</w:t>
      </w:r>
      <w:r>
        <w:rPr>
          <w:rFonts w:hint="eastAsia" w:ascii="Times New Roman" w:hAnsi="Times New Roman" w:eastAsia="仿宋_GB2312" w:cs="Times New Roman"/>
          <w:color w:val="000000" w:themeColor="text1"/>
          <w:sz w:val="32"/>
          <w:szCs w:val="32"/>
          <w14:textFill>
            <w14:solidFill>
              <w14:schemeClr w14:val="tx1"/>
            </w14:solidFill>
          </w14:textFill>
        </w:rPr>
        <w:t>从高到</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低</w:t>
      </w:r>
      <w:r>
        <w:rPr>
          <w:rFonts w:hint="eastAsia" w:ascii="Times New Roman" w:hAnsi="Times New Roman" w:eastAsia="仿宋_GB2312" w:cs="Times New Roman"/>
          <w:color w:val="000000" w:themeColor="text1"/>
          <w:sz w:val="32"/>
          <w:szCs w:val="32"/>
          <w14:textFill>
            <w14:solidFill>
              <w14:schemeClr w14:val="tx1"/>
            </w14:solidFill>
          </w14:textFill>
        </w:rPr>
        <w:t>三个</w:t>
      </w:r>
      <w:r>
        <w:rPr>
          <w:rFonts w:ascii="Times New Roman" w:hAnsi="Times New Roman" w:eastAsia="仿宋_GB2312" w:cs="Times New Roman"/>
          <w:color w:val="000000" w:themeColor="text1"/>
          <w:sz w:val="32"/>
          <w:szCs w:val="32"/>
          <w14:textFill>
            <w14:solidFill>
              <w14:schemeClr w14:val="tx1"/>
            </w14:solidFill>
          </w14:textFill>
        </w:rPr>
        <w:t>级别</w:t>
      </w:r>
      <w:r>
        <w:t>）的基准地价。</w:t>
      </w:r>
    </w:p>
    <w:p>
      <w:pPr>
        <w:adjustRightInd w:val="0"/>
        <w:snapToGrid w:val="0"/>
        <w:spacing w:line="580" w:lineRule="exact"/>
        <w:ind w:firstLine="640" w:firstLineChars="200"/>
        <w:jc w:val="left"/>
        <w:outlineLvl w:val="1"/>
        <w:rPr>
          <w:rFonts w:eastAsia="楷体"/>
        </w:rPr>
      </w:pPr>
      <w:r>
        <w:rPr>
          <w:rFonts w:eastAsia="楷体"/>
        </w:rPr>
        <w:t>（二）基准地价内涵</w:t>
      </w:r>
    </w:p>
    <w:p>
      <w:pPr>
        <w:snapToGrid w:val="0"/>
        <w:spacing w:line="580" w:lineRule="exact"/>
        <w:ind w:firstLine="640" w:firstLineChars="200"/>
      </w:pPr>
      <w:r>
        <w:t>级别基准地价是在正常市场条件下各土地级别内</w:t>
      </w:r>
      <w:r>
        <w:rPr>
          <w:rFonts w:hint="eastAsia"/>
        </w:rPr>
        <w:t>，</w:t>
      </w:r>
      <w:r>
        <w:t>土地开发程度为宗地外通路、通上水、通下水（雨污分排）、通电、通讯、通热力、通燃气，宗地内场地平整（简称</w:t>
      </w:r>
      <w:r>
        <w:rPr>
          <w:rFonts w:hint="eastAsia"/>
        </w:rPr>
        <w:t>“</w:t>
      </w:r>
      <w:r>
        <w:t>七通一平</w:t>
      </w:r>
      <w:r>
        <w:rPr>
          <w:rFonts w:hint="eastAsia"/>
        </w:rPr>
        <w:t>”</w:t>
      </w:r>
      <w:r>
        <w:t>），在平均容积率条件下，各土地用途的法定最高出让年限条件下国有建设用地使用权在公开市场条件下的区域平均价格。</w:t>
      </w:r>
    </w:p>
    <w:p>
      <w:pPr>
        <w:snapToGrid w:val="0"/>
        <w:spacing w:line="580" w:lineRule="exact"/>
        <w:ind w:firstLine="640" w:firstLineChars="200"/>
      </w:pPr>
      <w:r>
        <w:t>1.土地用途</w:t>
      </w:r>
    </w:p>
    <w:p>
      <w:pPr>
        <w:snapToGrid w:val="0"/>
        <w:spacing w:line="580" w:lineRule="exact"/>
        <w:ind w:firstLine="640" w:firstLineChars="200"/>
      </w:pPr>
      <w:r>
        <w:t>本次公布的基准地价分为商服、住宅（含商品住宅及持有型租赁住宅）和新型产业三大类用途</w:t>
      </w:r>
      <w:r>
        <w:rPr>
          <w:rFonts w:hint="eastAsia"/>
        </w:rPr>
        <w:t>。</w:t>
      </w:r>
    </w:p>
    <w:p>
      <w:pPr>
        <w:snapToGrid w:val="0"/>
        <w:spacing w:line="580" w:lineRule="exact"/>
        <w:ind w:firstLine="640" w:firstLineChars="200"/>
      </w:pPr>
      <w:r>
        <w:t>2.权属性质</w:t>
      </w:r>
    </w:p>
    <w:p>
      <w:pPr>
        <w:snapToGrid w:val="0"/>
        <w:spacing w:line="580" w:lineRule="exact"/>
        <w:ind w:firstLine="640" w:firstLineChars="200"/>
      </w:pPr>
      <w:r>
        <w:t>商服用地和商品住宅用地权属性质设定为可正常分割处分的国有出让建设用地使用权，持有型租赁住宅用地</w:t>
      </w:r>
      <w:r>
        <w:rPr>
          <w:rFonts w:hint="eastAsia"/>
          <w:lang w:val="en-US" w:eastAsia="zh-CN"/>
        </w:rPr>
        <w:t>和</w:t>
      </w:r>
      <w:r>
        <w:t>新型产业用地权属性质设定为不可分割处分、全年期持有的国有出让建设用地使用权。</w:t>
      </w:r>
    </w:p>
    <w:p>
      <w:pPr>
        <w:snapToGrid w:val="0"/>
        <w:spacing w:line="580" w:lineRule="exact"/>
        <w:ind w:firstLine="640" w:firstLineChars="200"/>
      </w:pPr>
      <w:r>
        <w:t>3.土地使用年限</w:t>
      </w:r>
    </w:p>
    <w:p>
      <w:pPr>
        <w:snapToGrid w:val="0"/>
        <w:spacing w:line="580" w:lineRule="exact"/>
        <w:ind w:firstLine="640" w:firstLineChars="200"/>
      </w:pPr>
      <w:r>
        <w:t>商服用地40年，住宅用地70年，新型产业用地50年。</w:t>
      </w:r>
    </w:p>
    <w:p>
      <w:pPr>
        <w:snapToGrid w:val="0"/>
        <w:spacing w:line="580" w:lineRule="exact"/>
        <w:ind w:firstLine="640" w:firstLineChars="200"/>
      </w:pPr>
      <w:r>
        <w:t>4.平均容积率</w:t>
      </w:r>
    </w:p>
    <w:tbl>
      <w:tblPr>
        <w:tblStyle w:val="15"/>
        <w:tblW w:w="5000" w:type="pct"/>
        <w:jc w:val="center"/>
        <w:tblLayout w:type="autofit"/>
        <w:tblCellMar>
          <w:top w:w="0" w:type="dxa"/>
          <w:left w:w="108" w:type="dxa"/>
          <w:bottom w:w="0" w:type="dxa"/>
          <w:right w:w="108" w:type="dxa"/>
        </w:tblCellMar>
      </w:tblPr>
      <w:tblGrid>
        <w:gridCol w:w="3087"/>
        <w:gridCol w:w="1992"/>
        <w:gridCol w:w="1992"/>
        <w:gridCol w:w="1990"/>
      </w:tblGrid>
      <w:tr>
        <w:tblPrEx>
          <w:tblCellMar>
            <w:top w:w="0" w:type="dxa"/>
            <w:left w:w="108" w:type="dxa"/>
            <w:bottom w:w="0" w:type="dxa"/>
            <w:right w:w="108" w:type="dxa"/>
          </w:tblCellMar>
        </w:tblPrEx>
        <w:trPr>
          <w:trHeight w:val="509" w:hRule="atLeast"/>
          <w:tblHeader/>
          <w:jc w:val="center"/>
        </w:trPr>
        <w:tc>
          <w:tcPr>
            <w:tcW w:w="1704" w:type="pct"/>
            <w:tcBorders>
              <w:top w:val="single" w:color="auto" w:sz="4" w:space="0"/>
              <w:left w:val="single" w:color="auto" w:sz="4" w:space="0"/>
              <w:bottom w:val="single" w:color="auto" w:sz="4" w:space="0"/>
              <w:right w:val="single" w:color="auto" w:sz="4" w:space="0"/>
            </w:tcBorders>
            <w:noWrap/>
            <w:vAlign w:val="center"/>
          </w:tcPr>
          <w:p>
            <w:pPr>
              <w:widowControl/>
              <w:spacing w:line="580" w:lineRule="exact"/>
              <w:jc w:val="center"/>
              <w:rPr>
                <w:rFonts w:ascii="仿宋_GB2312" w:hAnsi="仿宋_GB2312" w:cs="仿宋_GB2312"/>
                <w:color w:val="000000"/>
                <w:kern w:val="0"/>
              </w:rPr>
            </w:pPr>
            <w:r>
              <w:rPr>
                <w:rFonts w:hint="eastAsia" w:ascii="仿宋_GB2312" w:hAnsi="仿宋_GB2312" w:cs="仿宋_GB2312"/>
                <w:color w:val="000000"/>
                <w:kern w:val="0"/>
              </w:rPr>
              <w:t>用途</w:t>
            </w:r>
          </w:p>
        </w:tc>
        <w:tc>
          <w:tcPr>
            <w:tcW w:w="1099" w:type="pct"/>
            <w:tcBorders>
              <w:top w:val="single" w:color="auto" w:sz="4" w:space="0"/>
              <w:left w:val="nil"/>
              <w:bottom w:val="single" w:color="auto" w:sz="4" w:space="0"/>
              <w:right w:val="single" w:color="auto" w:sz="4" w:space="0"/>
            </w:tcBorders>
            <w:noWrap/>
            <w:vAlign w:val="center"/>
          </w:tcPr>
          <w:p>
            <w:pPr>
              <w:widowControl/>
              <w:spacing w:line="580" w:lineRule="exact"/>
              <w:jc w:val="center"/>
              <w:rPr>
                <w:rFonts w:ascii="仿宋_GB2312" w:hAnsi="仿宋_GB2312" w:cs="仿宋_GB2312"/>
                <w:color w:val="000000"/>
                <w:kern w:val="0"/>
              </w:rPr>
            </w:pPr>
            <w:r>
              <w:rPr>
                <w:rFonts w:hint="eastAsia" w:ascii="仿宋_GB2312" w:hAnsi="仿宋_GB2312" w:cs="仿宋_GB2312"/>
                <w:color w:val="000000"/>
                <w:kern w:val="0"/>
              </w:rPr>
              <w:t>一级</w:t>
            </w:r>
          </w:p>
        </w:tc>
        <w:tc>
          <w:tcPr>
            <w:tcW w:w="1099" w:type="pct"/>
            <w:tcBorders>
              <w:top w:val="single" w:color="auto" w:sz="4" w:space="0"/>
              <w:left w:val="nil"/>
              <w:bottom w:val="single" w:color="auto" w:sz="4" w:space="0"/>
              <w:right w:val="single" w:color="auto" w:sz="4" w:space="0"/>
            </w:tcBorders>
            <w:noWrap/>
            <w:vAlign w:val="center"/>
          </w:tcPr>
          <w:p>
            <w:pPr>
              <w:widowControl/>
              <w:spacing w:line="580" w:lineRule="exact"/>
              <w:jc w:val="center"/>
              <w:rPr>
                <w:rFonts w:ascii="仿宋_GB2312" w:hAnsi="仿宋_GB2312" w:cs="仿宋_GB2312"/>
                <w:color w:val="000000"/>
                <w:kern w:val="0"/>
              </w:rPr>
            </w:pPr>
            <w:r>
              <w:rPr>
                <w:rFonts w:hint="eastAsia" w:ascii="仿宋_GB2312" w:hAnsi="仿宋_GB2312" w:cs="仿宋_GB2312"/>
                <w:color w:val="000000"/>
                <w:kern w:val="0"/>
              </w:rPr>
              <w:t>二级</w:t>
            </w:r>
          </w:p>
        </w:tc>
        <w:tc>
          <w:tcPr>
            <w:tcW w:w="1098" w:type="pct"/>
            <w:tcBorders>
              <w:top w:val="single" w:color="auto" w:sz="4" w:space="0"/>
              <w:left w:val="nil"/>
              <w:bottom w:val="single" w:color="auto" w:sz="4" w:space="0"/>
              <w:right w:val="single" w:color="auto" w:sz="4" w:space="0"/>
            </w:tcBorders>
            <w:noWrap/>
            <w:vAlign w:val="center"/>
          </w:tcPr>
          <w:p>
            <w:pPr>
              <w:widowControl/>
              <w:spacing w:line="580" w:lineRule="exact"/>
              <w:jc w:val="center"/>
              <w:rPr>
                <w:rFonts w:ascii="仿宋_GB2312" w:hAnsi="仿宋_GB2312" w:cs="仿宋_GB2312"/>
                <w:color w:val="000000"/>
                <w:kern w:val="0"/>
              </w:rPr>
            </w:pPr>
            <w:r>
              <w:rPr>
                <w:rFonts w:hint="eastAsia" w:ascii="仿宋_GB2312" w:hAnsi="仿宋_GB2312" w:cs="仿宋_GB2312"/>
                <w:color w:val="000000"/>
                <w:kern w:val="0"/>
              </w:rPr>
              <w:t>三级</w:t>
            </w:r>
          </w:p>
        </w:tc>
      </w:tr>
      <w:tr>
        <w:tblPrEx>
          <w:tblCellMar>
            <w:top w:w="0" w:type="dxa"/>
            <w:left w:w="108" w:type="dxa"/>
            <w:bottom w:w="0" w:type="dxa"/>
            <w:right w:w="108" w:type="dxa"/>
          </w:tblCellMar>
        </w:tblPrEx>
        <w:trPr>
          <w:trHeight w:val="509" w:hRule="atLeast"/>
          <w:jc w:val="center"/>
        </w:trPr>
        <w:tc>
          <w:tcPr>
            <w:tcW w:w="1704" w:type="pct"/>
            <w:tcBorders>
              <w:top w:val="nil"/>
              <w:left w:val="single" w:color="auto" w:sz="4" w:space="0"/>
              <w:bottom w:val="single" w:color="auto" w:sz="4" w:space="0"/>
              <w:right w:val="single" w:color="auto" w:sz="4" w:space="0"/>
            </w:tcBorders>
            <w:noWrap/>
            <w:vAlign w:val="center"/>
          </w:tcPr>
          <w:p>
            <w:pPr>
              <w:widowControl/>
              <w:spacing w:line="580" w:lineRule="exact"/>
              <w:jc w:val="center"/>
              <w:rPr>
                <w:rFonts w:ascii="仿宋_GB2312" w:hAnsi="仿宋_GB2312" w:cs="仿宋_GB2312"/>
                <w:color w:val="000000"/>
                <w:kern w:val="0"/>
              </w:rPr>
            </w:pPr>
            <w:r>
              <w:rPr>
                <w:rFonts w:ascii="仿宋_GB2312" w:hAnsi="仿宋_GB2312" w:cs="仿宋_GB2312"/>
                <w:color w:val="000000"/>
                <w:kern w:val="0"/>
              </w:rPr>
              <w:t>商服用地</w:t>
            </w:r>
          </w:p>
        </w:tc>
        <w:tc>
          <w:tcPr>
            <w:tcW w:w="1099" w:type="pct"/>
            <w:tcBorders>
              <w:top w:val="nil"/>
              <w:left w:val="nil"/>
              <w:bottom w:val="single" w:color="auto" w:sz="4" w:space="0"/>
              <w:right w:val="single" w:color="auto" w:sz="4" w:space="0"/>
            </w:tcBorders>
            <w:noWrap/>
            <w:vAlign w:val="center"/>
          </w:tcPr>
          <w:p>
            <w:pPr>
              <w:widowControl/>
              <w:spacing w:line="580" w:lineRule="exact"/>
              <w:jc w:val="center"/>
              <w:rPr>
                <w:rFonts w:eastAsiaTheme="minorEastAsia"/>
                <w:color w:val="000000"/>
                <w:kern w:val="0"/>
              </w:rPr>
            </w:pPr>
            <w:r>
              <w:rPr>
                <w:rFonts w:eastAsiaTheme="minorEastAsia"/>
                <w:color w:val="000000"/>
                <w:kern w:val="0"/>
              </w:rPr>
              <w:t>3.0</w:t>
            </w:r>
          </w:p>
        </w:tc>
        <w:tc>
          <w:tcPr>
            <w:tcW w:w="1099" w:type="pct"/>
            <w:tcBorders>
              <w:top w:val="nil"/>
              <w:left w:val="nil"/>
              <w:bottom w:val="single" w:color="auto" w:sz="4" w:space="0"/>
              <w:right w:val="single" w:color="auto" w:sz="4" w:space="0"/>
            </w:tcBorders>
            <w:noWrap/>
            <w:vAlign w:val="center"/>
          </w:tcPr>
          <w:p>
            <w:pPr>
              <w:widowControl/>
              <w:spacing w:line="580" w:lineRule="exact"/>
              <w:jc w:val="center"/>
              <w:rPr>
                <w:rFonts w:eastAsiaTheme="minorEastAsia"/>
                <w:color w:val="000000"/>
                <w:kern w:val="0"/>
              </w:rPr>
            </w:pPr>
            <w:r>
              <w:rPr>
                <w:rFonts w:eastAsiaTheme="minorEastAsia"/>
                <w:color w:val="000000"/>
                <w:kern w:val="0"/>
              </w:rPr>
              <w:t>3.0</w:t>
            </w:r>
          </w:p>
        </w:tc>
        <w:tc>
          <w:tcPr>
            <w:tcW w:w="1098" w:type="pct"/>
            <w:tcBorders>
              <w:top w:val="nil"/>
              <w:left w:val="nil"/>
              <w:bottom w:val="single" w:color="auto" w:sz="4" w:space="0"/>
              <w:right w:val="single" w:color="auto" w:sz="4" w:space="0"/>
            </w:tcBorders>
            <w:noWrap/>
            <w:vAlign w:val="center"/>
          </w:tcPr>
          <w:p>
            <w:pPr>
              <w:widowControl/>
              <w:spacing w:line="580" w:lineRule="exact"/>
              <w:jc w:val="center"/>
              <w:rPr>
                <w:rFonts w:eastAsiaTheme="minorEastAsia"/>
                <w:color w:val="000000"/>
                <w:kern w:val="0"/>
              </w:rPr>
            </w:pPr>
            <w:r>
              <w:rPr>
                <w:rFonts w:eastAsiaTheme="minorEastAsia"/>
                <w:color w:val="000000"/>
                <w:kern w:val="0"/>
              </w:rPr>
              <w:t>2.5</w:t>
            </w:r>
          </w:p>
        </w:tc>
      </w:tr>
      <w:tr>
        <w:tblPrEx>
          <w:tblCellMar>
            <w:top w:w="0" w:type="dxa"/>
            <w:left w:w="108" w:type="dxa"/>
            <w:bottom w:w="0" w:type="dxa"/>
            <w:right w:w="108" w:type="dxa"/>
          </w:tblCellMar>
        </w:tblPrEx>
        <w:trPr>
          <w:trHeight w:val="509" w:hRule="atLeast"/>
          <w:jc w:val="center"/>
        </w:trPr>
        <w:tc>
          <w:tcPr>
            <w:tcW w:w="1704" w:type="pct"/>
            <w:tcBorders>
              <w:top w:val="nil"/>
              <w:left w:val="single" w:color="auto" w:sz="4" w:space="0"/>
              <w:bottom w:val="single" w:color="auto" w:sz="4" w:space="0"/>
              <w:right w:val="single" w:color="auto" w:sz="4" w:space="0"/>
            </w:tcBorders>
            <w:noWrap/>
            <w:vAlign w:val="center"/>
          </w:tcPr>
          <w:p>
            <w:pPr>
              <w:widowControl/>
              <w:spacing w:line="580" w:lineRule="exact"/>
              <w:jc w:val="center"/>
              <w:rPr>
                <w:rFonts w:ascii="仿宋_GB2312" w:hAnsi="仿宋_GB2312" w:cs="仿宋_GB2312"/>
                <w:color w:val="000000"/>
                <w:kern w:val="0"/>
              </w:rPr>
            </w:pPr>
            <w:r>
              <w:rPr>
                <w:rFonts w:ascii="仿宋_GB2312" w:hAnsi="仿宋_GB2312" w:cs="仿宋_GB2312"/>
                <w:color w:val="000000"/>
                <w:kern w:val="0"/>
              </w:rPr>
              <w:t>住宅用地</w:t>
            </w:r>
          </w:p>
        </w:tc>
        <w:tc>
          <w:tcPr>
            <w:tcW w:w="1099" w:type="pct"/>
            <w:tcBorders>
              <w:top w:val="nil"/>
              <w:left w:val="nil"/>
              <w:bottom w:val="single" w:color="auto" w:sz="4" w:space="0"/>
              <w:right w:val="single" w:color="auto" w:sz="4" w:space="0"/>
            </w:tcBorders>
            <w:noWrap/>
            <w:vAlign w:val="center"/>
          </w:tcPr>
          <w:p>
            <w:pPr>
              <w:widowControl/>
              <w:spacing w:line="580" w:lineRule="exact"/>
              <w:jc w:val="center"/>
              <w:rPr>
                <w:rFonts w:eastAsiaTheme="minorEastAsia"/>
                <w:color w:val="000000"/>
                <w:kern w:val="0"/>
              </w:rPr>
            </w:pPr>
            <w:r>
              <w:rPr>
                <w:rFonts w:eastAsiaTheme="minorEastAsia"/>
                <w:color w:val="000000"/>
                <w:kern w:val="0"/>
              </w:rPr>
              <w:t>2.2</w:t>
            </w:r>
          </w:p>
        </w:tc>
        <w:tc>
          <w:tcPr>
            <w:tcW w:w="1099" w:type="pct"/>
            <w:tcBorders>
              <w:top w:val="nil"/>
              <w:left w:val="nil"/>
              <w:bottom w:val="single" w:color="auto" w:sz="4" w:space="0"/>
              <w:right w:val="single" w:color="auto" w:sz="4" w:space="0"/>
            </w:tcBorders>
            <w:noWrap/>
            <w:vAlign w:val="center"/>
          </w:tcPr>
          <w:p>
            <w:pPr>
              <w:widowControl/>
              <w:spacing w:line="580" w:lineRule="exact"/>
              <w:jc w:val="center"/>
              <w:rPr>
                <w:rFonts w:eastAsiaTheme="minorEastAsia"/>
                <w:color w:val="000000"/>
                <w:kern w:val="0"/>
              </w:rPr>
            </w:pPr>
            <w:r>
              <w:rPr>
                <w:rFonts w:eastAsiaTheme="minorEastAsia"/>
                <w:color w:val="000000"/>
                <w:kern w:val="0"/>
              </w:rPr>
              <w:t>2.2</w:t>
            </w:r>
          </w:p>
        </w:tc>
        <w:tc>
          <w:tcPr>
            <w:tcW w:w="1098" w:type="pct"/>
            <w:tcBorders>
              <w:top w:val="nil"/>
              <w:left w:val="nil"/>
              <w:bottom w:val="single" w:color="auto" w:sz="4" w:space="0"/>
              <w:right w:val="single" w:color="auto" w:sz="4" w:space="0"/>
            </w:tcBorders>
            <w:noWrap/>
            <w:vAlign w:val="center"/>
          </w:tcPr>
          <w:p>
            <w:pPr>
              <w:widowControl/>
              <w:spacing w:line="580" w:lineRule="exact"/>
              <w:jc w:val="center"/>
              <w:rPr>
                <w:rFonts w:eastAsiaTheme="minorEastAsia"/>
                <w:color w:val="000000"/>
                <w:kern w:val="0"/>
              </w:rPr>
            </w:pPr>
            <w:r>
              <w:rPr>
                <w:rFonts w:eastAsiaTheme="minorEastAsia"/>
                <w:color w:val="000000"/>
                <w:kern w:val="0"/>
              </w:rPr>
              <w:t>2.0</w:t>
            </w:r>
          </w:p>
        </w:tc>
      </w:tr>
      <w:tr>
        <w:tblPrEx>
          <w:tblCellMar>
            <w:top w:w="0" w:type="dxa"/>
            <w:left w:w="108" w:type="dxa"/>
            <w:bottom w:w="0" w:type="dxa"/>
            <w:right w:w="108" w:type="dxa"/>
          </w:tblCellMar>
        </w:tblPrEx>
        <w:trPr>
          <w:trHeight w:val="509" w:hRule="atLeast"/>
          <w:jc w:val="center"/>
        </w:trPr>
        <w:tc>
          <w:tcPr>
            <w:tcW w:w="1704" w:type="pct"/>
            <w:tcBorders>
              <w:top w:val="nil"/>
              <w:left w:val="single" w:color="auto" w:sz="4" w:space="0"/>
              <w:bottom w:val="single" w:color="auto" w:sz="4" w:space="0"/>
              <w:right w:val="single" w:color="auto" w:sz="4" w:space="0"/>
            </w:tcBorders>
            <w:noWrap/>
            <w:vAlign w:val="center"/>
          </w:tcPr>
          <w:p>
            <w:pPr>
              <w:widowControl/>
              <w:spacing w:line="580" w:lineRule="exact"/>
              <w:jc w:val="center"/>
              <w:rPr>
                <w:rFonts w:ascii="仿宋_GB2312" w:hAnsi="仿宋_GB2312" w:cs="仿宋_GB2312"/>
                <w:color w:val="000000"/>
                <w:kern w:val="0"/>
              </w:rPr>
            </w:pPr>
            <w:r>
              <w:rPr>
                <w:rFonts w:ascii="仿宋_GB2312" w:hAnsi="仿宋_GB2312" w:cs="仿宋_GB2312"/>
                <w:color w:val="000000"/>
                <w:kern w:val="0"/>
              </w:rPr>
              <w:t>新型产业用地</w:t>
            </w:r>
          </w:p>
        </w:tc>
        <w:tc>
          <w:tcPr>
            <w:tcW w:w="1099" w:type="pct"/>
            <w:tcBorders>
              <w:top w:val="nil"/>
              <w:left w:val="nil"/>
              <w:bottom w:val="single" w:color="auto" w:sz="4" w:space="0"/>
              <w:right w:val="single" w:color="auto" w:sz="4" w:space="0"/>
            </w:tcBorders>
            <w:noWrap/>
            <w:vAlign w:val="center"/>
          </w:tcPr>
          <w:p>
            <w:pPr>
              <w:widowControl/>
              <w:spacing w:line="580" w:lineRule="exact"/>
              <w:jc w:val="center"/>
              <w:rPr>
                <w:rFonts w:eastAsiaTheme="minorEastAsia"/>
                <w:color w:val="000000"/>
                <w:kern w:val="0"/>
              </w:rPr>
            </w:pPr>
            <w:r>
              <w:rPr>
                <w:rFonts w:eastAsiaTheme="minorEastAsia"/>
                <w:color w:val="000000"/>
                <w:kern w:val="0"/>
              </w:rPr>
              <w:t>1.8</w:t>
            </w:r>
          </w:p>
        </w:tc>
        <w:tc>
          <w:tcPr>
            <w:tcW w:w="1099" w:type="pct"/>
            <w:tcBorders>
              <w:top w:val="nil"/>
              <w:left w:val="nil"/>
              <w:bottom w:val="single" w:color="auto" w:sz="4" w:space="0"/>
              <w:right w:val="single" w:color="auto" w:sz="4" w:space="0"/>
            </w:tcBorders>
            <w:noWrap/>
            <w:vAlign w:val="center"/>
          </w:tcPr>
          <w:p>
            <w:pPr>
              <w:widowControl/>
              <w:spacing w:line="580" w:lineRule="exact"/>
              <w:jc w:val="center"/>
              <w:rPr>
                <w:rFonts w:eastAsiaTheme="minorEastAsia"/>
                <w:color w:val="000000"/>
                <w:kern w:val="0"/>
              </w:rPr>
            </w:pPr>
            <w:r>
              <w:rPr>
                <w:rFonts w:eastAsiaTheme="minorEastAsia"/>
                <w:color w:val="000000"/>
                <w:kern w:val="0"/>
              </w:rPr>
              <w:t>1.8</w:t>
            </w:r>
          </w:p>
        </w:tc>
        <w:tc>
          <w:tcPr>
            <w:tcW w:w="1098" w:type="pct"/>
            <w:tcBorders>
              <w:top w:val="nil"/>
              <w:left w:val="nil"/>
              <w:bottom w:val="single" w:color="auto" w:sz="4" w:space="0"/>
              <w:right w:val="single" w:color="auto" w:sz="4" w:space="0"/>
            </w:tcBorders>
            <w:noWrap/>
            <w:vAlign w:val="center"/>
          </w:tcPr>
          <w:p>
            <w:pPr>
              <w:widowControl/>
              <w:spacing w:line="580" w:lineRule="exact"/>
              <w:jc w:val="center"/>
              <w:rPr>
                <w:rFonts w:eastAsiaTheme="minorEastAsia"/>
                <w:color w:val="000000"/>
                <w:kern w:val="0"/>
              </w:rPr>
            </w:pPr>
            <w:r>
              <w:rPr>
                <w:rFonts w:eastAsiaTheme="minorEastAsia"/>
                <w:color w:val="000000"/>
                <w:kern w:val="0"/>
              </w:rPr>
              <w:t>1.8</w:t>
            </w:r>
          </w:p>
        </w:tc>
      </w:tr>
    </w:tbl>
    <w:p>
      <w:pPr>
        <w:snapToGrid w:val="0"/>
        <w:spacing w:line="580" w:lineRule="exact"/>
        <w:ind w:firstLine="640" w:firstLineChars="200"/>
      </w:pPr>
      <w:r>
        <w:t>5.土地开发程度</w:t>
      </w:r>
    </w:p>
    <w:p>
      <w:pPr>
        <w:snapToGrid w:val="0"/>
        <w:spacing w:line="580" w:lineRule="exact"/>
        <w:ind w:firstLine="640" w:firstLineChars="200"/>
      </w:pPr>
      <w:r>
        <w:t>宗地外通路、通上水、通下水（雨污分排）、通电、通讯、通热力、通燃气，宗地内场地平整（简称</w:t>
      </w:r>
      <w:r>
        <w:rPr>
          <w:rFonts w:hint="eastAsia"/>
        </w:rPr>
        <w:t>“</w:t>
      </w:r>
      <w:r>
        <w:t>七通一平</w:t>
      </w:r>
      <w:r>
        <w:rPr>
          <w:rFonts w:hint="eastAsia"/>
        </w:rPr>
        <w:t>”</w:t>
      </w:r>
      <w:r>
        <w:t>）。</w:t>
      </w:r>
    </w:p>
    <w:p>
      <w:pPr>
        <w:snapToGrid w:val="0"/>
        <w:spacing w:line="580" w:lineRule="exact"/>
        <w:ind w:firstLine="640" w:firstLineChars="200"/>
      </w:pPr>
      <w:r>
        <w:t>6.估价期日</w:t>
      </w:r>
    </w:p>
    <w:p>
      <w:pPr>
        <w:snapToGrid w:val="0"/>
        <w:spacing w:line="580" w:lineRule="exact"/>
        <w:ind w:firstLine="640" w:firstLineChars="200"/>
      </w:pPr>
      <w:r>
        <w:t>2023年7月1日。</w:t>
      </w:r>
    </w:p>
    <w:p>
      <w:pPr>
        <w:snapToGrid w:val="0"/>
        <w:spacing w:line="580" w:lineRule="exact"/>
        <w:ind w:firstLine="640" w:firstLineChars="200"/>
      </w:pPr>
      <w:r>
        <w:t>7.表示形式</w:t>
      </w:r>
    </w:p>
    <w:p>
      <w:pPr>
        <w:snapToGrid w:val="0"/>
        <w:spacing w:line="580" w:lineRule="exact"/>
        <w:ind w:firstLine="640" w:firstLineChars="200"/>
      </w:pPr>
      <w:r>
        <w:t>基准地价的表示形式为楼面地价和地面地价。</w:t>
      </w:r>
    </w:p>
    <w:p>
      <w:pPr>
        <w:snapToGrid w:val="0"/>
        <w:spacing w:line="580" w:lineRule="exact"/>
        <w:ind w:firstLine="640" w:firstLineChars="200"/>
      </w:pPr>
      <w:r>
        <w:t>在平均容积率条件下，楼面地价是指各土地级别内，单位建筑面积分摊的国有建设用地使用权的平均地价；地面地价是指各土地级别内，单位土地面积分摊的国有建设用地使用权的平均地价。</w:t>
      </w:r>
    </w:p>
    <w:p>
      <w:pPr>
        <w:adjustRightInd w:val="0"/>
        <w:snapToGrid w:val="0"/>
        <w:spacing w:line="580" w:lineRule="exact"/>
        <w:ind w:firstLine="640" w:firstLineChars="200"/>
        <w:jc w:val="left"/>
        <w:outlineLvl w:val="1"/>
        <w:rPr>
          <w:rFonts w:eastAsia="楷体"/>
        </w:rPr>
      </w:pPr>
      <w:r>
        <w:rPr>
          <w:rFonts w:eastAsia="楷体"/>
        </w:rPr>
        <w:t>（三）基准地价成果使用范围</w:t>
      </w:r>
    </w:p>
    <w:p>
      <w:pPr>
        <w:snapToGrid w:val="0"/>
        <w:spacing w:line="580" w:lineRule="exact"/>
        <w:ind w:firstLine="640" w:firstLineChars="200"/>
      </w:pPr>
      <w:r>
        <w:t>按照相关法律法规，国有建设用地基准地价属于政府公示地价，作为国有建设用使用权出让价格评估、审定等依据之一。其他情形参照执行。</w:t>
      </w:r>
    </w:p>
    <w:p>
      <w:pPr>
        <w:adjustRightInd w:val="0"/>
        <w:snapToGrid w:val="0"/>
        <w:spacing w:line="580" w:lineRule="exact"/>
        <w:ind w:firstLine="640" w:firstLineChars="200"/>
        <w:jc w:val="left"/>
        <w:outlineLvl w:val="1"/>
        <w:rPr>
          <w:rFonts w:eastAsia="黑体"/>
        </w:rPr>
      </w:pPr>
      <w:r>
        <w:rPr>
          <w:rFonts w:eastAsia="黑体"/>
        </w:rPr>
        <w:t>二、雄安新区级别基准地价表</w:t>
      </w:r>
    </w:p>
    <w:p>
      <w:pPr>
        <w:snapToGrid w:val="0"/>
        <w:spacing w:line="580" w:lineRule="exact"/>
        <w:jc w:val="center"/>
      </w:pPr>
      <w:r>
        <w:t>表</w:t>
      </w:r>
      <w:r>
        <w:rPr>
          <w:rFonts w:hint="eastAsia"/>
        </w:rPr>
        <w:t>一</w:t>
      </w:r>
      <w:r>
        <w:t xml:space="preserve">  雄安新区级别基准地价表（楼面地价）</w:t>
      </w:r>
    </w:p>
    <w:p>
      <w:pPr>
        <w:snapToGrid w:val="0"/>
        <w:spacing w:line="580" w:lineRule="exact"/>
        <w:jc w:val="right"/>
      </w:pPr>
      <w:r>
        <w:t>单位：元/平方米</w:t>
      </w:r>
    </w:p>
    <w:tbl>
      <w:tblPr>
        <w:tblStyle w:val="15"/>
        <w:tblW w:w="4998" w:type="pct"/>
        <w:tblInd w:w="0" w:type="dxa"/>
        <w:tblLayout w:type="autofit"/>
        <w:tblCellMar>
          <w:top w:w="0" w:type="dxa"/>
          <w:left w:w="108" w:type="dxa"/>
          <w:bottom w:w="0" w:type="dxa"/>
          <w:right w:w="108" w:type="dxa"/>
        </w:tblCellMar>
      </w:tblPr>
      <w:tblGrid>
        <w:gridCol w:w="889"/>
        <w:gridCol w:w="1733"/>
        <w:gridCol w:w="1842"/>
        <w:gridCol w:w="2456"/>
        <w:gridCol w:w="2137"/>
      </w:tblGrid>
      <w:tr>
        <w:tblPrEx>
          <w:tblCellMar>
            <w:top w:w="0" w:type="dxa"/>
            <w:left w:w="108" w:type="dxa"/>
            <w:bottom w:w="0" w:type="dxa"/>
            <w:right w:w="108" w:type="dxa"/>
          </w:tblCellMar>
        </w:tblPrEx>
        <w:trPr>
          <w:trHeight w:val="510" w:hRule="atLeast"/>
        </w:trPr>
        <w:tc>
          <w:tcPr>
            <w:tcW w:w="539" w:type="pct"/>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snapToGrid w:val="0"/>
              <w:spacing w:line="580" w:lineRule="exact"/>
              <w:jc w:val="center"/>
            </w:pPr>
            <w:r>
              <w:t>级别</w:t>
            </w:r>
          </w:p>
        </w:tc>
        <w:tc>
          <w:tcPr>
            <w:tcW w:w="1005"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580" w:lineRule="exact"/>
              <w:jc w:val="center"/>
            </w:pPr>
            <w:r>
              <w:t>商服用地</w:t>
            </w:r>
          </w:p>
        </w:tc>
        <w:tc>
          <w:tcPr>
            <w:tcW w:w="2257" w:type="pct"/>
            <w:gridSpan w:val="2"/>
            <w:tcBorders>
              <w:top w:val="single" w:color="auto" w:sz="4" w:space="0"/>
              <w:left w:val="nil"/>
              <w:bottom w:val="single" w:color="auto" w:sz="4" w:space="0"/>
              <w:right w:val="single" w:color="000000" w:sz="4" w:space="0"/>
            </w:tcBorders>
            <w:shd w:val="clear" w:color="auto" w:fill="auto"/>
            <w:noWrap/>
            <w:vAlign w:val="center"/>
          </w:tcPr>
          <w:p>
            <w:pPr>
              <w:snapToGrid w:val="0"/>
              <w:spacing w:line="580" w:lineRule="exact"/>
              <w:jc w:val="center"/>
            </w:pPr>
            <w:r>
              <w:t>住宅用地</w:t>
            </w:r>
          </w:p>
        </w:tc>
        <w:tc>
          <w:tcPr>
            <w:tcW w:w="1199"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580" w:lineRule="exact"/>
              <w:jc w:val="center"/>
            </w:pPr>
            <w:r>
              <w:t>新型产业用地</w:t>
            </w:r>
          </w:p>
        </w:tc>
      </w:tr>
      <w:tr>
        <w:tblPrEx>
          <w:tblCellMar>
            <w:top w:w="0" w:type="dxa"/>
            <w:left w:w="108" w:type="dxa"/>
            <w:bottom w:w="0" w:type="dxa"/>
            <w:right w:w="108" w:type="dxa"/>
          </w:tblCellMar>
        </w:tblPrEx>
        <w:trPr>
          <w:trHeight w:val="510" w:hRule="atLeast"/>
        </w:trPr>
        <w:tc>
          <w:tcPr>
            <w:tcW w:w="539" w:type="pct"/>
            <w:vMerge w:val="continue"/>
            <w:tcBorders>
              <w:top w:val="single" w:color="auto" w:sz="4" w:space="0"/>
              <w:left w:val="single" w:color="auto" w:sz="4" w:space="0"/>
              <w:bottom w:val="single" w:color="auto" w:sz="4" w:space="0"/>
              <w:right w:val="single" w:color="auto" w:sz="4" w:space="0"/>
            </w:tcBorders>
            <w:vAlign w:val="center"/>
          </w:tcPr>
          <w:p>
            <w:pPr>
              <w:snapToGrid w:val="0"/>
              <w:spacing w:line="580" w:lineRule="exact"/>
              <w:jc w:val="center"/>
            </w:pPr>
          </w:p>
        </w:tc>
        <w:tc>
          <w:tcPr>
            <w:tcW w:w="1005" w:type="pct"/>
            <w:vMerge w:val="continue"/>
            <w:tcBorders>
              <w:top w:val="single" w:color="auto" w:sz="4" w:space="0"/>
              <w:left w:val="single" w:color="auto" w:sz="4" w:space="0"/>
              <w:bottom w:val="single" w:color="auto" w:sz="4" w:space="0"/>
              <w:right w:val="single" w:color="auto" w:sz="4" w:space="0"/>
            </w:tcBorders>
            <w:vAlign w:val="center"/>
          </w:tcPr>
          <w:p>
            <w:pPr>
              <w:snapToGrid w:val="0"/>
              <w:spacing w:line="580" w:lineRule="exact"/>
              <w:jc w:val="center"/>
            </w:pPr>
          </w:p>
        </w:tc>
        <w:tc>
          <w:tcPr>
            <w:tcW w:w="1065" w:type="pct"/>
            <w:tcBorders>
              <w:top w:val="single" w:color="auto" w:sz="4" w:space="0"/>
              <w:left w:val="nil"/>
              <w:bottom w:val="single" w:color="auto" w:sz="4" w:space="0"/>
              <w:right w:val="single" w:color="auto" w:sz="4" w:space="0"/>
            </w:tcBorders>
            <w:shd w:val="clear" w:color="auto" w:fill="auto"/>
            <w:noWrap/>
            <w:vAlign w:val="center"/>
          </w:tcPr>
          <w:p>
            <w:pPr>
              <w:snapToGrid w:val="0"/>
              <w:spacing w:line="580" w:lineRule="exact"/>
              <w:jc w:val="center"/>
            </w:pPr>
            <w:r>
              <w:t>商品住宅</w:t>
            </w:r>
          </w:p>
        </w:tc>
        <w:tc>
          <w:tcPr>
            <w:tcW w:w="1192" w:type="pct"/>
            <w:tcBorders>
              <w:top w:val="single" w:color="auto" w:sz="4" w:space="0"/>
              <w:left w:val="nil"/>
              <w:bottom w:val="single" w:color="auto" w:sz="4" w:space="0"/>
              <w:right w:val="single" w:color="auto" w:sz="4" w:space="0"/>
            </w:tcBorders>
            <w:shd w:val="clear" w:color="auto" w:fill="auto"/>
            <w:noWrap/>
            <w:vAlign w:val="center"/>
          </w:tcPr>
          <w:p>
            <w:pPr>
              <w:snapToGrid w:val="0"/>
              <w:spacing w:line="580" w:lineRule="exact"/>
              <w:jc w:val="center"/>
            </w:pPr>
            <w:r>
              <w:t>持有型租赁住宅</w:t>
            </w:r>
          </w:p>
        </w:tc>
        <w:tc>
          <w:tcPr>
            <w:tcW w:w="1199" w:type="pct"/>
            <w:vMerge w:val="continue"/>
            <w:tcBorders>
              <w:top w:val="single" w:color="auto" w:sz="4" w:space="0"/>
              <w:left w:val="single" w:color="auto" w:sz="4" w:space="0"/>
              <w:bottom w:val="single" w:color="auto" w:sz="4" w:space="0"/>
              <w:right w:val="single" w:color="auto" w:sz="4" w:space="0"/>
            </w:tcBorders>
            <w:vAlign w:val="center"/>
          </w:tcPr>
          <w:p>
            <w:pPr>
              <w:snapToGrid w:val="0"/>
              <w:spacing w:line="580" w:lineRule="exact"/>
              <w:jc w:val="center"/>
            </w:pPr>
          </w:p>
        </w:tc>
      </w:tr>
      <w:tr>
        <w:tblPrEx>
          <w:tblCellMar>
            <w:top w:w="0" w:type="dxa"/>
            <w:left w:w="108" w:type="dxa"/>
            <w:bottom w:w="0" w:type="dxa"/>
            <w:right w:w="108" w:type="dxa"/>
          </w:tblCellMar>
        </w:tblPrEx>
        <w:trPr>
          <w:trHeight w:val="510" w:hRule="atLeast"/>
        </w:trPr>
        <w:tc>
          <w:tcPr>
            <w:tcW w:w="539" w:type="pc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580" w:lineRule="exact"/>
              <w:jc w:val="center"/>
            </w:pPr>
            <w:r>
              <w:t>一级</w:t>
            </w:r>
          </w:p>
        </w:tc>
        <w:tc>
          <w:tcPr>
            <w:tcW w:w="1005" w:type="pct"/>
            <w:tcBorders>
              <w:top w:val="single" w:color="auto" w:sz="4" w:space="0"/>
              <w:left w:val="nil"/>
              <w:bottom w:val="single" w:color="auto" w:sz="4" w:space="0"/>
              <w:right w:val="single" w:color="auto" w:sz="4" w:space="0"/>
            </w:tcBorders>
            <w:shd w:val="clear" w:color="auto" w:fill="auto"/>
            <w:noWrap/>
            <w:vAlign w:val="center"/>
          </w:tcPr>
          <w:p>
            <w:pPr>
              <w:snapToGrid w:val="0"/>
              <w:spacing w:line="580" w:lineRule="exact"/>
              <w:jc w:val="center"/>
            </w:pPr>
            <w:r>
              <w:t>3150</w:t>
            </w:r>
          </w:p>
        </w:tc>
        <w:tc>
          <w:tcPr>
            <w:tcW w:w="1065" w:type="pct"/>
            <w:tcBorders>
              <w:top w:val="single" w:color="auto" w:sz="4" w:space="0"/>
              <w:left w:val="nil"/>
              <w:bottom w:val="single" w:color="auto" w:sz="4" w:space="0"/>
              <w:right w:val="single" w:color="auto" w:sz="4" w:space="0"/>
            </w:tcBorders>
            <w:shd w:val="clear" w:color="auto" w:fill="auto"/>
            <w:noWrap/>
            <w:vAlign w:val="center"/>
          </w:tcPr>
          <w:p>
            <w:pPr>
              <w:snapToGrid w:val="0"/>
              <w:spacing w:line="580" w:lineRule="exact"/>
              <w:jc w:val="center"/>
            </w:pPr>
            <w:r>
              <w:t>5285</w:t>
            </w:r>
          </w:p>
        </w:tc>
        <w:tc>
          <w:tcPr>
            <w:tcW w:w="1192" w:type="pct"/>
            <w:tcBorders>
              <w:top w:val="single" w:color="auto" w:sz="4" w:space="0"/>
              <w:left w:val="nil"/>
              <w:bottom w:val="single" w:color="auto" w:sz="4" w:space="0"/>
              <w:right w:val="single" w:color="auto" w:sz="4" w:space="0"/>
            </w:tcBorders>
            <w:shd w:val="clear" w:color="auto" w:fill="auto"/>
            <w:noWrap/>
            <w:vAlign w:val="center"/>
          </w:tcPr>
          <w:p>
            <w:pPr>
              <w:snapToGrid w:val="0"/>
              <w:spacing w:line="580" w:lineRule="exact"/>
              <w:jc w:val="center"/>
            </w:pPr>
            <w:r>
              <w:t>2850</w:t>
            </w:r>
          </w:p>
        </w:tc>
        <w:tc>
          <w:tcPr>
            <w:tcW w:w="1199" w:type="pct"/>
            <w:tcBorders>
              <w:top w:val="single" w:color="auto" w:sz="4" w:space="0"/>
              <w:left w:val="nil"/>
              <w:bottom w:val="single" w:color="auto" w:sz="4" w:space="0"/>
              <w:right w:val="single" w:color="auto" w:sz="4" w:space="0"/>
            </w:tcBorders>
            <w:shd w:val="clear" w:color="auto" w:fill="auto"/>
            <w:noWrap/>
            <w:vAlign w:val="center"/>
          </w:tcPr>
          <w:p>
            <w:pPr>
              <w:snapToGrid w:val="0"/>
              <w:spacing w:line="580" w:lineRule="exact"/>
              <w:jc w:val="center"/>
            </w:pPr>
            <w:r>
              <w:t>2065</w:t>
            </w:r>
          </w:p>
        </w:tc>
      </w:tr>
      <w:tr>
        <w:tblPrEx>
          <w:tblCellMar>
            <w:top w:w="0" w:type="dxa"/>
            <w:left w:w="108" w:type="dxa"/>
            <w:bottom w:w="0" w:type="dxa"/>
            <w:right w:w="108" w:type="dxa"/>
          </w:tblCellMar>
        </w:tblPrEx>
        <w:trPr>
          <w:trHeight w:val="510" w:hRule="atLeast"/>
        </w:trPr>
        <w:tc>
          <w:tcPr>
            <w:tcW w:w="539" w:type="pc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580" w:lineRule="exact"/>
              <w:jc w:val="center"/>
            </w:pPr>
            <w:r>
              <w:t>二级</w:t>
            </w:r>
          </w:p>
        </w:tc>
        <w:tc>
          <w:tcPr>
            <w:tcW w:w="1005" w:type="pct"/>
            <w:tcBorders>
              <w:top w:val="single" w:color="auto" w:sz="4" w:space="0"/>
              <w:left w:val="nil"/>
              <w:bottom w:val="single" w:color="auto" w:sz="4" w:space="0"/>
              <w:right w:val="single" w:color="auto" w:sz="4" w:space="0"/>
            </w:tcBorders>
            <w:shd w:val="clear" w:color="auto" w:fill="auto"/>
            <w:noWrap/>
            <w:vAlign w:val="center"/>
          </w:tcPr>
          <w:p>
            <w:pPr>
              <w:snapToGrid w:val="0"/>
              <w:spacing w:line="580" w:lineRule="exact"/>
              <w:jc w:val="center"/>
            </w:pPr>
            <w:r>
              <w:t>2788</w:t>
            </w:r>
          </w:p>
        </w:tc>
        <w:tc>
          <w:tcPr>
            <w:tcW w:w="1065" w:type="pct"/>
            <w:tcBorders>
              <w:top w:val="single" w:color="auto" w:sz="4" w:space="0"/>
              <w:left w:val="nil"/>
              <w:bottom w:val="single" w:color="auto" w:sz="4" w:space="0"/>
              <w:right w:val="single" w:color="auto" w:sz="4" w:space="0"/>
            </w:tcBorders>
            <w:shd w:val="clear" w:color="auto" w:fill="auto"/>
            <w:noWrap/>
            <w:vAlign w:val="center"/>
          </w:tcPr>
          <w:p>
            <w:pPr>
              <w:snapToGrid w:val="0"/>
              <w:spacing w:line="580" w:lineRule="exact"/>
              <w:jc w:val="center"/>
            </w:pPr>
            <w:r>
              <w:t>4626</w:t>
            </w:r>
          </w:p>
        </w:tc>
        <w:tc>
          <w:tcPr>
            <w:tcW w:w="1192" w:type="pct"/>
            <w:tcBorders>
              <w:top w:val="single" w:color="auto" w:sz="4" w:space="0"/>
              <w:left w:val="nil"/>
              <w:bottom w:val="single" w:color="auto" w:sz="4" w:space="0"/>
              <w:right w:val="single" w:color="auto" w:sz="4" w:space="0"/>
            </w:tcBorders>
            <w:shd w:val="clear" w:color="auto" w:fill="auto"/>
            <w:noWrap/>
            <w:vAlign w:val="center"/>
          </w:tcPr>
          <w:p>
            <w:pPr>
              <w:snapToGrid w:val="0"/>
              <w:spacing w:line="580" w:lineRule="exact"/>
              <w:jc w:val="center"/>
            </w:pPr>
            <w:r>
              <w:t>2495</w:t>
            </w:r>
          </w:p>
        </w:tc>
        <w:tc>
          <w:tcPr>
            <w:tcW w:w="1199" w:type="pct"/>
            <w:tcBorders>
              <w:top w:val="single" w:color="auto" w:sz="4" w:space="0"/>
              <w:left w:val="nil"/>
              <w:bottom w:val="single" w:color="auto" w:sz="4" w:space="0"/>
              <w:right w:val="single" w:color="auto" w:sz="4" w:space="0"/>
            </w:tcBorders>
            <w:shd w:val="clear" w:color="auto" w:fill="auto"/>
            <w:noWrap/>
            <w:vAlign w:val="center"/>
          </w:tcPr>
          <w:p>
            <w:pPr>
              <w:snapToGrid w:val="0"/>
              <w:spacing w:line="580" w:lineRule="exact"/>
              <w:jc w:val="center"/>
            </w:pPr>
            <w:r>
              <w:t>1920</w:t>
            </w:r>
          </w:p>
        </w:tc>
      </w:tr>
      <w:tr>
        <w:tblPrEx>
          <w:tblCellMar>
            <w:top w:w="0" w:type="dxa"/>
            <w:left w:w="108" w:type="dxa"/>
            <w:bottom w:w="0" w:type="dxa"/>
            <w:right w:w="108" w:type="dxa"/>
          </w:tblCellMar>
        </w:tblPrEx>
        <w:trPr>
          <w:trHeight w:val="510" w:hRule="atLeast"/>
        </w:trPr>
        <w:tc>
          <w:tcPr>
            <w:tcW w:w="539" w:type="pc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580" w:lineRule="exact"/>
              <w:jc w:val="center"/>
            </w:pPr>
            <w:r>
              <w:t>三级</w:t>
            </w:r>
          </w:p>
        </w:tc>
        <w:tc>
          <w:tcPr>
            <w:tcW w:w="1005" w:type="pct"/>
            <w:tcBorders>
              <w:top w:val="single" w:color="auto" w:sz="4" w:space="0"/>
              <w:left w:val="nil"/>
              <w:bottom w:val="single" w:color="auto" w:sz="4" w:space="0"/>
              <w:right w:val="single" w:color="auto" w:sz="4" w:space="0"/>
            </w:tcBorders>
            <w:shd w:val="clear" w:color="auto" w:fill="auto"/>
            <w:noWrap/>
            <w:vAlign w:val="center"/>
          </w:tcPr>
          <w:p>
            <w:pPr>
              <w:snapToGrid w:val="0"/>
              <w:spacing w:line="580" w:lineRule="exact"/>
              <w:jc w:val="center"/>
            </w:pPr>
            <w:r>
              <w:t>2270</w:t>
            </w:r>
          </w:p>
        </w:tc>
        <w:tc>
          <w:tcPr>
            <w:tcW w:w="1065" w:type="pct"/>
            <w:tcBorders>
              <w:top w:val="single" w:color="auto" w:sz="4" w:space="0"/>
              <w:left w:val="nil"/>
              <w:bottom w:val="single" w:color="auto" w:sz="4" w:space="0"/>
              <w:right w:val="single" w:color="auto" w:sz="4" w:space="0"/>
            </w:tcBorders>
            <w:shd w:val="clear" w:color="auto" w:fill="auto"/>
            <w:noWrap/>
            <w:vAlign w:val="center"/>
          </w:tcPr>
          <w:p>
            <w:pPr>
              <w:snapToGrid w:val="0"/>
              <w:spacing w:line="580" w:lineRule="exact"/>
              <w:jc w:val="center"/>
            </w:pPr>
            <w:r>
              <w:t>3785</w:t>
            </w:r>
          </w:p>
        </w:tc>
        <w:tc>
          <w:tcPr>
            <w:tcW w:w="1192" w:type="pct"/>
            <w:tcBorders>
              <w:top w:val="single" w:color="auto" w:sz="4" w:space="0"/>
              <w:left w:val="nil"/>
              <w:bottom w:val="single" w:color="auto" w:sz="4" w:space="0"/>
              <w:right w:val="single" w:color="auto" w:sz="4" w:space="0"/>
            </w:tcBorders>
            <w:shd w:val="clear" w:color="auto" w:fill="auto"/>
            <w:noWrap/>
            <w:vAlign w:val="center"/>
          </w:tcPr>
          <w:p>
            <w:pPr>
              <w:snapToGrid w:val="0"/>
              <w:spacing w:line="580" w:lineRule="exact"/>
              <w:jc w:val="center"/>
            </w:pPr>
            <w:r>
              <w:t>2065</w:t>
            </w:r>
          </w:p>
        </w:tc>
        <w:tc>
          <w:tcPr>
            <w:tcW w:w="1199" w:type="pct"/>
            <w:tcBorders>
              <w:top w:val="single" w:color="auto" w:sz="4" w:space="0"/>
              <w:left w:val="nil"/>
              <w:bottom w:val="single" w:color="auto" w:sz="4" w:space="0"/>
              <w:right w:val="single" w:color="auto" w:sz="4" w:space="0"/>
            </w:tcBorders>
            <w:shd w:val="clear" w:color="auto" w:fill="auto"/>
            <w:noWrap/>
            <w:vAlign w:val="center"/>
          </w:tcPr>
          <w:p>
            <w:pPr>
              <w:snapToGrid w:val="0"/>
              <w:spacing w:line="580" w:lineRule="exact"/>
              <w:jc w:val="center"/>
            </w:pPr>
            <w:r>
              <w:t>1498</w:t>
            </w:r>
          </w:p>
        </w:tc>
      </w:tr>
    </w:tbl>
    <w:p>
      <w:pPr>
        <w:snapToGrid w:val="0"/>
        <w:spacing w:line="580" w:lineRule="exact"/>
        <w:jc w:val="center"/>
      </w:pPr>
      <w:r>
        <w:t>表</w:t>
      </w:r>
      <w:r>
        <w:rPr>
          <w:rFonts w:hint="eastAsia"/>
        </w:rPr>
        <w:t>二</w:t>
      </w:r>
      <w:r>
        <w:t xml:space="preserve">  雄安新区级别基准地价表（地面地价）</w:t>
      </w:r>
    </w:p>
    <w:p>
      <w:pPr>
        <w:snapToGrid w:val="0"/>
        <w:spacing w:line="580" w:lineRule="exact"/>
        <w:jc w:val="right"/>
      </w:pPr>
      <w:r>
        <w:t>单位：元/平方米、万元/亩</w:t>
      </w:r>
    </w:p>
    <w:tbl>
      <w:tblPr>
        <w:tblStyle w:val="15"/>
        <w:tblW w:w="4997" w:type="pct"/>
        <w:jc w:val="center"/>
        <w:tblLayout w:type="autofit"/>
        <w:tblCellMar>
          <w:top w:w="0" w:type="dxa"/>
          <w:left w:w="108" w:type="dxa"/>
          <w:bottom w:w="0" w:type="dxa"/>
          <w:right w:w="108" w:type="dxa"/>
        </w:tblCellMar>
      </w:tblPr>
      <w:tblGrid>
        <w:gridCol w:w="856"/>
        <w:gridCol w:w="1942"/>
        <w:gridCol w:w="1665"/>
        <w:gridCol w:w="2457"/>
        <w:gridCol w:w="2136"/>
      </w:tblGrid>
      <w:tr>
        <w:tblPrEx>
          <w:tblCellMar>
            <w:top w:w="0" w:type="dxa"/>
            <w:left w:w="108" w:type="dxa"/>
            <w:bottom w:w="0" w:type="dxa"/>
            <w:right w:w="108" w:type="dxa"/>
          </w:tblCellMar>
        </w:tblPrEx>
        <w:trPr>
          <w:trHeight w:val="510" w:hRule="atLeast"/>
          <w:jc w:val="center"/>
        </w:trPr>
        <w:tc>
          <w:tcPr>
            <w:tcW w:w="472" w:type="pct"/>
            <w:vMerge w:val="restart"/>
            <w:tcBorders>
              <w:top w:val="single" w:color="auto" w:sz="4" w:space="0"/>
              <w:left w:val="single" w:color="auto" w:sz="4" w:space="0"/>
              <w:bottom w:val="single" w:color="000000" w:sz="4" w:space="0"/>
              <w:right w:val="single" w:color="auto" w:sz="4" w:space="0"/>
            </w:tcBorders>
            <w:noWrap/>
            <w:vAlign w:val="center"/>
          </w:tcPr>
          <w:p>
            <w:pPr>
              <w:snapToGrid w:val="0"/>
              <w:spacing w:line="580" w:lineRule="exact"/>
              <w:jc w:val="center"/>
            </w:pPr>
            <w:r>
              <w:t>级别</w:t>
            </w:r>
          </w:p>
        </w:tc>
        <w:tc>
          <w:tcPr>
            <w:tcW w:w="1072" w:type="pct"/>
            <w:vMerge w:val="restart"/>
            <w:tcBorders>
              <w:top w:val="single" w:color="auto" w:sz="4" w:space="0"/>
              <w:left w:val="single" w:color="auto" w:sz="4" w:space="0"/>
              <w:right w:val="single" w:color="auto" w:sz="4" w:space="0"/>
            </w:tcBorders>
            <w:noWrap/>
            <w:vAlign w:val="center"/>
          </w:tcPr>
          <w:p>
            <w:pPr>
              <w:snapToGrid w:val="0"/>
              <w:spacing w:line="580" w:lineRule="exact"/>
              <w:jc w:val="center"/>
            </w:pPr>
            <w:r>
              <w:t>商服用地</w:t>
            </w:r>
          </w:p>
        </w:tc>
        <w:tc>
          <w:tcPr>
            <w:tcW w:w="2275" w:type="pct"/>
            <w:gridSpan w:val="2"/>
            <w:tcBorders>
              <w:top w:val="single" w:color="auto" w:sz="4" w:space="0"/>
              <w:left w:val="nil"/>
              <w:bottom w:val="single" w:color="auto" w:sz="4" w:space="0"/>
              <w:right w:val="single" w:color="000000" w:sz="4" w:space="0"/>
            </w:tcBorders>
            <w:noWrap/>
            <w:vAlign w:val="center"/>
          </w:tcPr>
          <w:p>
            <w:pPr>
              <w:snapToGrid w:val="0"/>
              <w:spacing w:line="580" w:lineRule="exact"/>
              <w:jc w:val="center"/>
            </w:pPr>
            <w:r>
              <w:t>住宅用地</w:t>
            </w:r>
          </w:p>
        </w:tc>
        <w:tc>
          <w:tcPr>
            <w:tcW w:w="1179" w:type="pct"/>
            <w:vMerge w:val="restart"/>
            <w:tcBorders>
              <w:top w:val="single" w:color="auto" w:sz="4" w:space="0"/>
              <w:left w:val="single" w:color="auto" w:sz="4" w:space="0"/>
              <w:bottom w:val="single" w:color="auto" w:sz="4" w:space="0"/>
              <w:right w:val="single" w:color="auto" w:sz="4" w:space="0"/>
            </w:tcBorders>
            <w:noWrap/>
            <w:vAlign w:val="center"/>
          </w:tcPr>
          <w:p>
            <w:pPr>
              <w:snapToGrid w:val="0"/>
              <w:spacing w:line="580" w:lineRule="exact"/>
              <w:jc w:val="center"/>
            </w:pPr>
            <w:r>
              <w:t>新型产业用地</w:t>
            </w:r>
          </w:p>
        </w:tc>
      </w:tr>
      <w:tr>
        <w:tblPrEx>
          <w:tblCellMar>
            <w:top w:w="0" w:type="dxa"/>
            <w:left w:w="108" w:type="dxa"/>
            <w:bottom w:w="0" w:type="dxa"/>
            <w:right w:w="108" w:type="dxa"/>
          </w:tblCellMar>
        </w:tblPrEx>
        <w:trPr>
          <w:trHeight w:val="510" w:hRule="atLeast"/>
          <w:jc w:val="center"/>
        </w:trPr>
        <w:tc>
          <w:tcPr>
            <w:tcW w:w="472" w:type="pct"/>
            <w:vMerge w:val="continue"/>
            <w:tcBorders>
              <w:top w:val="single" w:color="auto" w:sz="4" w:space="0"/>
              <w:left w:val="single" w:color="auto" w:sz="4" w:space="0"/>
              <w:bottom w:val="single" w:color="auto" w:sz="4" w:space="0"/>
              <w:right w:val="single" w:color="auto" w:sz="4" w:space="0"/>
            </w:tcBorders>
            <w:vAlign w:val="center"/>
          </w:tcPr>
          <w:p>
            <w:pPr>
              <w:snapToGrid w:val="0"/>
              <w:spacing w:line="580" w:lineRule="exact"/>
              <w:jc w:val="center"/>
            </w:pPr>
          </w:p>
        </w:tc>
        <w:tc>
          <w:tcPr>
            <w:tcW w:w="1072" w:type="pct"/>
            <w:vMerge w:val="continue"/>
            <w:tcBorders>
              <w:left w:val="single" w:color="auto" w:sz="4" w:space="0"/>
              <w:bottom w:val="single" w:color="auto" w:sz="4" w:space="0"/>
              <w:right w:val="single" w:color="auto" w:sz="4" w:space="0"/>
            </w:tcBorders>
            <w:vAlign w:val="center"/>
          </w:tcPr>
          <w:p>
            <w:pPr>
              <w:snapToGrid w:val="0"/>
              <w:spacing w:line="580" w:lineRule="exact"/>
              <w:jc w:val="center"/>
            </w:pPr>
          </w:p>
        </w:tc>
        <w:tc>
          <w:tcPr>
            <w:tcW w:w="919" w:type="pct"/>
            <w:tcBorders>
              <w:top w:val="single" w:color="auto" w:sz="4" w:space="0"/>
              <w:left w:val="nil"/>
              <w:bottom w:val="single" w:color="auto" w:sz="4" w:space="0"/>
              <w:right w:val="single" w:color="auto" w:sz="4" w:space="0"/>
            </w:tcBorders>
            <w:noWrap/>
            <w:vAlign w:val="center"/>
          </w:tcPr>
          <w:p>
            <w:pPr>
              <w:snapToGrid w:val="0"/>
              <w:spacing w:line="580" w:lineRule="exact"/>
              <w:jc w:val="center"/>
            </w:pPr>
            <w:r>
              <w:t>商品住宅</w:t>
            </w:r>
          </w:p>
        </w:tc>
        <w:tc>
          <w:tcPr>
            <w:tcW w:w="1356" w:type="pct"/>
            <w:tcBorders>
              <w:top w:val="single" w:color="auto" w:sz="4" w:space="0"/>
              <w:left w:val="nil"/>
              <w:bottom w:val="single" w:color="auto" w:sz="4" w:space="0"/>
              <w:right w:val="single" w:color="auto" w:sz="4" w:space="0"/>
            </w:tcBorders>
            <w:noWrap/>
            <w:vAlign w:val="center"/>
          </w:tcPr>
          <w:p>
            <w:pPr>
              <w:snapToGrid w:val="0"/>
              <w:spacing w:line="580" w:lineRule="exact"/>
              <w:jc w:val="center"/>
            </w:pPr>
            <w:r>
              <w:t>持有型租赁住宅</w:t>
            </w:r>
          </w:p>
        </w:tc>
        <w:tc>
          <w:tcPr>
            <w:tcW w:w="1179" w:type="pct"/>
            <w:vMerge w:val="continue"/>
            <w:tcBorders>
              <w:top w:val="single" w:color="auto" w:sz="4" w:space="0"/>
              <w:left w:val="single" w:color="auto" w:sz="4" w:space="0"/>
              <w:bottom w:val="single" w:color="auto" w:sz="4" w:space="0"/>
              <w:right w:val="single" w:color="auto" w:sz="4" w:space="0"/>
            </w:tcBorders>
            <w:vAlign w:val="center"/>
          </w:tcPr>
          <w:p>
            <w:pPr>
              <w:snapToGrid w:val="0"/>
              <w:spacing w:line="580" w:lineRule="exact"/>
              <w:jc w:val="center"/>
            </w:pPr>
          </w:p>
        </w:tc>
      </w:tr>
      <w:tr>
        <w:tblPrEx>
          <w:tblCellMar>
            <w:top w:w="0" w:type="dxa"/>
            <w:left w:w="108" w:type="dxa"/>
            <w:bottom w:w="0" w:type="dxa"/>
            <w:right w:w="108" w:type="dxa"/>
          </w:tblCellMar>
        </w:tblPrEx>
        <w:trPr>
          <w:trHeight w:val="510" w:hRule="atLeast"/>
          <w:jc w:val="center"/>
        </w:trPr>
        <w:tc>
          <w:tcPr>
            <w:tcW w:w="472" w:type="pct"/>
            <w:tcBorders>
              <w:top w:val="single" w:color="auto" w:sz="4" w:space="0"/>
              <w:left w:val="single" w:color="auto" w:sz="4" w:space="0"/>
              <w:bottom w:val="single" w:color="auto" w:sz="4" w:space="0"/>
              <w:right w:val="single" w:color="auto" w:sz="4" w:space="0"/>
            </w:tcBorders>
            <w:noWrap/>
            <w:vAlign w:val="center"/>
          </w:tcPr>
          <w:p>
            <w:pPr>
              <w:snapToGrid w:val="0"/>
              <w:spacing w:line="580" w:lineRule="exact"/>
              <w:jc w:val="center"/>
            </w:pPr>
            <w:r>
              <w:t>一级</w:t>
            </w:r>
          </w:p>
        </w:tc>
        <w:tc>
          <w:tcPr>
            <w:tcW w:w="1072" w:type="pct"/>
            <w:tcBorders>
              <w:top w:val="single" w:color="auto" w:sz="4" w:space="0"/>
              <w:left w:val="nil"/>
              <w:bottom w:val="single" w:color="auto" w:sz="4" w:space="0"/>
              <w:right w:val="single" w:color="auto" w:sz="4" w:space="0"/>
            </w:tcBorders>
            <w:noWrap/>
            <w:vAlign w:val="center"/>
          </w:tcPr>
          <w:p>
            <w:pPr>
              <w:snapToGrid w:val="0"/>
              <w:spacing w:line="580" w:lineRule="exact"/>
              <w:jc w:val="center"/>
            </w:pPr>
            <w:r>
              <w:t>9450/630</w:t>
            </w:r>
          </w:p>
        </w:tc>
        <w:tc>
          <w:tcPr>
            <w:tcW w:w="919" w:type="pct"/>
            <w:tcBorders>
              <w:top w:val="single" w:color="auto" w:sz="4" w:space="0"/>
              <w:left w:val="nil"/>
              <w:bottom w:val="single" w:color="auto" w:sz="4" w:space="0"/>
              <w:right w:val="single" w:color="auto" w:sz="4" w:space="0"/>
            </w:tcBorders>
            <w:noWrap/>
            <w:vAlign w:val="center"/>
          </w:tcPr>
          <w:p>
            <w:pPr>
              <w:snapToGrid w:val="0"/>
              <w:spacing w:line="580" w:lineRule="exact"/>
              <w:jc w:val="center"/>
            </w:pPr>
            <w:r>
              <w:t>11627/775</w:t>
            </w:r>
          </w:p>
        </w:tc>
        <w:tc>
          <w:tcPr>
            <w:tcW w:w="1356" w:type="pct"/>
            <w:tcBorders>
              <w:top w:val="single" w:color="auto" w:sz="4" w:space="0"/>
              <w:left w:val="nil"/>
              <w:bottom w:val="single" w:color="auto" w:sz="4" w:space="0"/>
              <w:right w:val="single" w:color="auto" w:sz="4" w:space="0"/>
            </w:tcBorders>
            <w:vAlign w:val="center"/>
          </w:tcPr>
          <w:p>
            <w:pPr>
              <w:snapToGrid w:val="0"/>
              <w:spacing w:line="580" w:lineRule="exact"/>
              <w:jc w:val="center"/>
            </w:pPr>
            <w:r>
              <w:t>6270/418</w:t>
            </w:r>
          </w:p>
        </w:tc>
        <w:tc>
          <w:tcPr>
            <w:tcW w:w="1179" w:type="pct"/>
            <w:tcBorders>
              <w:top w:val="single" w:color="auto" w:sz="4" w:space="0"/>
              <w:left w:val="nil"/>
              <w:bottom w:val="single" w:color="auto" w:sz="4" w:space="0"/>
              <w:right w:val="single" w:color="auto" w:sz="4" w:space="0"/>
            </w:tcBorders>
            <w:noWrap/>
            <w:vAlign w:val="center"/>
          </w:tcPr>
          <w:p>
            <w:pPr>
              <w:snapToGrid w:val="0"/>
              <w:spacing w:line="580" w:lineRule="exact"/>
              <w:jc w:val="center"/>
            </w:pPr>
            <w:r>
              <w:t>3717/248</w:t>
            </w:r>
          </w:p>
        </w:tc>
      </w:tr>
      <w:tr>
        <w:tblPrEx>
          <w:tblCellMar>
            <w:top w:w="0" w:type="dxa"/>
            <w:left w:w="108" w:type="dxa"/>
            <w:bottom w:w="0" w:type="dxa"/>
            <w:right w:w="108" w:type="dxa"/>
          </w:tblCellMar>
        </w:tblPrEx>
        <w:trPr>
          <w:trHeight w:val="510" w:hRule="atLeast"/>
          <w:jc w:val="center"/>
        </w:trPr>
        <w:tc>
          <w:tcPr>
            <w:tcW w:w="472" w:type="pct"/>
            <w:tcBorders>
              <w:top w:val="single" w:color="auto" w:sz="4" w:space="0"/>
              <w:left w:val="single" w:color="auto" w:sz="4" w:space="0"/>
              <w:bottom w:val="single" w:color="auto" w:sz="4" w:space="0"/>
              <w:right w:val="single" w:color="auto" w:sz="4" w:space="0"/>
            </w:tcBorders>
            <w:noWrap/>
            <w:vAlign w:val="center"/>
          </w:tcPr>
          <w:p>
            <w:pPr>
              <w:snapToGrid w:val="0"/>
              <w:spacing w:line="580" w:lineRule="exact"/>
              <w:jc w:val="center"/>
            </w:pPr>
            <w:r>
              <w:t>二级</w:t>
            </w:r>
          </w:p>
        </w:tc>
        <w:tc>
          <w:tcPr>
            <w:tcW w:w="1072" w:type="pct"/>
            <w:tcBorders>
              <w:top w:val="single" w:color="auto" w:sz="4" w:space="0"/>
              <w:left w:val="nil"/>
              <w:bottom w:val="single" w:color="auto" w:sz="4" w:space="0"/>
              <w:right w:val="single" w:color="auto" w:sz="4" w:space="0"/>
            </w:tcBorders>
            <w:noWrap/>
            <w:vAlign w:val="center"/>
          </w:tcPr>
          <w:p>
            <w:pPr>
              <w:snapToGrid w:val="0"/>
              <w:spacing w:line="580" w:lineRule="exact"/>
              <w:jc w:val="center"/>
            </w:pPr>
            <w:r>
              <w:t>8364/558</w:t>
            </w:r>
          </w:p>
        </w:tc>
        <w:tc>
          <w:tcPr>
            <w:tcW w:w="919" w:type="pct"/>
            <w:tcBorders>
              <w:top w:val="single" w:color="auto" w:sz="4" w:space="0"/>
              <w:left w:val="nil"/>
              <w:bottom w:val="single" w:color="auto" w:sz="4" w:space="0"/>
              <w:right w:val="single" w:color="auto" w:sz="4" w:space="0"/>
            </w:tcBorders>
            <w:noWrap/>
            <w:vAlign w:val="center"/>
          </w:tcPr>
          <w:p>
            <w:pPr>
              <w:snapToGrid w:val="0"/>
              <w:spacing w:line="580" w:lineRule="exact"/>
              <w:jc w:val="center"/>
            </w:pPr>
            <w:r>
              <w:t>10177/678</w:t>
            </w:r>
          </w:p>
        </w:tc>
        <w:tc>
          <w:tcPr>
            <w:tcW w:w="1356" w:type="pct"/>
            <w:tcBorders>
              <w:top w:val="single" w:color="auto" w:sz="4" w:space="0"/>
              <w:left w:val="nil"/>
              <w:bottom w:val="single" w:color="auto" w:sz="4" w:space="0"/>
              <w:right w:val="single" w:color="auto" w:sz="4" w:space="0"/>
            </w:tcBorders>
            <w:vAlign w:val="center"/>
          </w:tcPr>
          <w:p>
            <w:pPr>
              <w:snapToGrid w:val="0"/>
              <w:spacing w:line="580" w:lineRule="exact"/>
              <w:jc w:val="center"/>
            </w:pPr>
            <w:r>
              <w:t>5489/366</w:t>
            </w:r>
          </w:p>
        </w:tc>
        <w:tc>
          <w:tcPr>
            <w:tcW w:w="1179" w:type="pct"/>
            <w:tcBorders>
              <w:top w:val="single" w:color="auto" w:sz="4" w:space="0"/>
              <w:left w:val="nil"/>
              <w:bottom w:val="single" w:color="auto" w:sz="4" w:space="0"/>
              <w:right w:val="single" w:color="auto" w:sz="4" w:space="0"/>
            </w:tcBorders>
            <w:noWrap/>
            <w:vAlign w:val="center"/>
          </w:tcPr>
          <w:p>
            <w:pPr>
              <w:snapToGrid w:val="0"/>
              <w:spacing w:line="580" w:lineRule="exact"/>
              <w:jc w:val="center"/>
            </w:pPr>
            <w:r>
              <w:t>3456/230</w:t>
            </w:r>
          </w:p>
        </w:tc>
      </w:tr>
      <w:tr>
        <w:tblPrEx>
          <w:tblCellMar>
            <w:top w:w="0" w:type="dxa"/>
            <w:left w:w="108" w:type="dxa"/>
            <w:bottom w:w="0" w:type="dxa"/>
            <w:right w:w="108" w:type="dxa"/>
          </w:tblCellMar>
        </w:tblPrEx>
        <w:trPr>
          <w:trHeight w:val="510" w:hRule="atLeast"/>
          <w:jc w:val="center"/>
        </w:trPr>
        <w:tc>
          <w:tcPr>
            <w:tcW w:w="472"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580" w:lineRule="exact"/>
              <w:jc w:val="center"/>
              <w:textAlignment w:val="center"/>
              <w:rPr>
                <w:rFonts w:eastAsiaTheme="minorEastAsia"/>
                <w:sz w:val="28"/>
                <w:szCs w:val="28"/>
              </w:rPr>
            </w:pPr>
            <w:r>
              <w:rPr>
                <w:rFonts w:eastAsiaTheme="minorEastAsia"/>
                <w:sz w:val="28"/>
                <w:szCs w:val="28"/>
              </w:rPr>
              <w:t>三级</w:t>
            </w:r>
          </w:p>
        </w:tc>
        <w:tc>
          <w:tcPr>
            <w:tcW w:w="1072" w:type="pct"/>
            <w:tcBorders>
              <w:top w:val="single" w:color="auto" w:sz="4" w:space="0"/>
              <w:left w:val="nil"/>
              <w:bottom w:val="single" w:color="auto" w:sz="4" w:space="0"/>
              <w:right w:val="single" w:color="auto" w:sz="4" w:space="0"/>
            </w:tcBorders>
            <w:noWrap/>
            <w:vAlign w:val="center"/>
          </w:tcPr>
          <w:p>
            <w:pPr>
              <w:snapToGrid w:val="0"/>
              <w:spacing w:line="580" w:lineRule="exact"/>
              <w:jc w:val="center"/>
            </w:pPr>
            <w:r>
              <w:t>5675/378</w:t>
            </w:r>
          </w:p>
        </w:tc>
        <w:tc>
          <w:tcPr>
            <w:tcW w:w="919" w:type="pct"/>
            <w:tcBorders>
              <w:top w:val="single" w:color="auto" w:sz="4" w:space="0"/>
              <w:left w:val="nil"/>
              <w:bottom w:val="single" w:color="auto" w:sz="4" w:space="0"/>
              <w:right w:val="single" w:color="auto" w:sz="4" w:space="0"/>
            </w:tcBorders>
            <w:noWrap/>
            <w:vAlign w:val="center"/>
          </w:tcPr>
          <w:p>
            <w:pPr>
              <w:snapToGrid w:val="0"/>
              <w:spacing w:line="580" w:lineRule="exact"/>
              <w:jc w:val="center"/>
            </w:pPr>
            <w:r>
              <w:t>7570/505</w:t>
            </w:r>
          </w:p>
        </w:tc>
        <w:tc>
          <w:tcPr>
            <w:tcW w:w="1356" w:type="pct"/>
            <w:tcBorders>
              <w:top w:val="single" w:color="auto" w:sz="4" w:space="0"/>
              <w:left w:val="nil"/>
              <w:bottom w:val="single" w:color="auto" w:sz="4" w:space="0"/>
              <w:right w:val="single" w:color="auto" w:sz="4" w:space="0"/>
            </w:tcBorders>
            <w:vAlign w:val="center"/>
          </w:tcPr>
          <w:p>
            <w:pPr>
              <w:snapToGrid w:val="0"/>
              <w:spacing w:line="580" w:lineRule="exact"/>
              <w:jc w:val="center"/>
            </w:pPr>
            <w:r>
              <w:t>4130/275</w:t>
            </w:r>
          </w:p>
        </w:tc>
        <w:tc>
          <w:tcPr>
            <w:tcW w:w="1179" w:type="pct"/>
            <w:tcBorders>
              <w:top w:val="single" w:color="auto" w:sz="4" w:space="0"/>
              <w:left w:val="nil"/>
              <w:bottom w:val="single" w:color="auto" w:sz="4" w:space="0"/>
              <w:right w:val="single" w:color="auto" w:sz="4" w:space="0"/>
            </w:tcBorders>
            <w:noWrap/>
            <w:vAlign w:val="center"/>
          </w:tcPr>
          <w:p>
            <w:pPr>
              <w:snapToGrid w:val="0"/>
              <w:spacing w:line="580" w:lineRule="exact"/>
              <w:jc w:val="center"/>
            </w:pPr>
            <w:r>
              <w:t>2696/180</w:t>
            </w:r>
          </w:p>
        </w:tc>
      </w:tr>
    </w:tbl>
    <w:p>
      <w:pPr>
        <w:adjustRightInd w:val="0"/>
        <w:snapToGrid w:val="0"/>
        <w:spacing w:line="580" w:lineRule="exact"/>
        <w:jc w:val="left"/>
        <w:outlineLvl w:val="1"/>
        <w:rPr>
          <w:rFonts w:eastAsia="黑体"/>
          <w:sz w:val="28"/>
          <w:szCs w:val="28"/>
        </w:rPr>
        <w:sectPr>
          <w:footerReference r:id="rId3" w:type="default"/>
          <w:pgSz w:w="11906" w:h="16838"/>
          <w:pgMar w:top="2098" w:right="1474" w:bottom="1984" w:left="1587" w:header="851" w:footer="654" w:gutter="0"/>
          <w:pgNumType w:start="1"/>
          <w:cols w:space="425" w:num="1"/>
          <w:docGrid w:type="lines" w:linePitch="312" w:charSpace="0"/>
        </w:sectPr>
      </w:pPr>
      <w:bookmarkStart w:id="0" w:name="_Toc147932850"/>
    </w:p>
    <w:p>
      <w:pPr>
        <w:numPr>
          <w:ilvl w:val="0"/>
          <w:numId w:val="1"/>
        </w:numPr>
        <w:adjustRightInd w:val="0"/>
        <w:snapToGrid w:val="0"/>
        <w:spacing w:line="580" w:lineRule="exact"/>
        <w:jc w:val="left"/>
        <w:outlineLvl w:val="1"/>
        <w:rPr>
          <w:rFonts w:eastAsia="黑体"/>
          <w:sz w:val="28"/>
          <w:szCs w:val="28"/>
        </w:rPr>
      </w:pPr>
      <w:r>
        <w:rPr>
          <w:rFonts w:hint="eastAsia" w:eastAsia="黑体"/>
          <w:sz w:val="28"/>
          <w:szCs w:val="28"/>
        </w:rPr>
        <w:drawing>
          <wp:anchor distT="0" distB="0" distL="114300" distR="114300" simplePos="0" relativeHeight="251660288" behindDoc="0" locked="0" layoutInCell="1" allowOverlap="1">
            <wp:simplePos x="0" y="0"/>
            <wp:positionH relativeFrom="column">
              <wp:posOffset>948055</wp:posOffset>
            </wp:positionH>
            <wp:positionV relativeFrom="paragraph">
              <wp:posOffset>514985</wp:posOffset>
            </wp:positionV>
            <wp:extent cx="6913245" cy="4889500"/>
            <wp:effectExtent l="0" t="0" r="1905" b="6350"/>
            <wp:wrapTopAndBottom/>
            <wp:docPr id="2" name="图片 2" descr="0雄安新区综合定级成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雄安新区综合定级成果图"/>
                    <pic:cNvPicPr>
                      <a:picLocks noChangeAspect="1"/>
                    </pic:cNvPicPr>
                  </pic:nvPicPr>
                  <pic:blipFill>
                    <a:blip r:embed="rId5"/>
                    <a:stretch>
                      <a:fillRect/>
                    </a:stretch>
                  </pic:blipFill>
                  <pic:spPr>
                    <a:xfrm>
                      <a:off x="0" y="0"/>
                      <a:ext cx="6913245" cy="4889500"/>
                    </a:xfrm>
                    <a:prstGeom prst="rect">
                      <a:avLst/>
                    </a:prstGeom>
                  </pic:spPr>
                </pic:pic>
              </a:graphicData>
            </a:graphic>
          </wp:anchor>
        </w:drawing>
      </w:r>
      <w:r>
        <w:rPr>
          <w:rFonts w:eastAsia="黑体"/>
          <w:sz w:val="28"/>
          <w:szCs w:val="28"/>
        </w:rPr>
        <w:t>雄安新区级别基准地价</w:t>
      </w:r>
      <w:bookmarkEnd w:id="0"/>
      <w:r>
        <w:rPr>
          <w:rFonts w:eastAsia="黑体"/>
          <w:sz w:val="28"/>
          <w:szCs w:val="28"/>
        </w:rPr>
        <w:t>图</w:t>
      </w:r>
    </w:p>
    <w:p>
      <w:pPr>
        <w:adjustRightInd w:val="0"/>
        <w:snapToGrid w:val="0"/>
        <w:spacing w:line="580" w:lineRule="exact"/>
        <w:jc w:val="left"/>
        <w:outlineLvl w:val="1"/>
        <w:rPr>
          <w:rFonts w:eastAsia="黑体"/>
          <w:sz w:val="28"/>
          <w:szCs w:val="28"/>
        </w:rPr>
      </w:pPr>
      <w:r>
        <w:rPr>
          <w:rFonts w:hint="eastAsia"/>
          <w:sz w:val="21"/>
          <w:szCs w:val="21"/>
        </w:rPr>
        <w:drawing>
          <wp:anchor distT="0" distB="0" distL="114300" distR="114300" simplePos="0" relativeHeight="251661312" behindDoc="0" locked="0" layoutInCell="1" allowOverlap="1">
            <wp:simplePos x="0" y="0"/>
            <wp:positionH relativeFrom="column">
              <wp:posOffset>405130</wp:posOffset>
            </wp:positionH>
            <wp:positionV relativeFrom="paragraph">
              <wp:posOffset>-34290</wp:posOffset>
            </wp:positionV>
            <wp:extent cx="8144510" cy="5760085"/>
            <wp:effectExtent l="0" t="0" r="8890" b="12065"/>
            <wp:wrapTopAndBottom/>
            <wp:docPr id="6" name="图片 6" descr="1雄安新区商服用地级别基准地价成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雄安新区商服用地级别基准地价成果图"/>
                    <pic:cNvPicPr>
                      <a:picLocks noChangeAspect="1"/>
                    </pic:cNvPicPr>
                  </pic:nvPicPr>
                  <pic:blipFill>
                    <a:blip r:embed="rId6"/>
                    <a:stretch>
                      <a:fillRect/>
                    </a:stretch>
                  </pic:blipFill>
                  <pic:spPr>
                    <a:xfrm>
                      <a:off x="0" y="0"/>
                      <a:ext cx="8144510" cy="5760085"/>
                    </a:xfrm>
                    <a:prstGeom prst="rect">
                      <a:avLst/>
                    </a:prstGeom>
                  </pic:spPr>
                </pic:pic>
              </a:graphicData>
            </a:graphic>
          </wp:anchor>
        </w:drawing>
      </w:r>
    </w:p>
    <w:p>
      <w:pPr>
        <w:adjustRightInd w:val="0"/>
        <w:snapToGrid w:val="0"/>
        <w:spacing w:line="580" w:lineRule="exact"/>
        <w:jc w:val="center"/>
        <w:rPr>
          <w:sz w:val="21"/>
          <w:szCs w:val="21"/>
        </w:rPr>
      </w:pPr>
      <w:r>
        <w:rPr>
          <w:rFonts w:hint="eastAsia"/>
          <w:sz w:val="21"/>
          <w:szCs w:val="21"/>
        </w:rPr>
        <w:drawing>
          <wp:anchor distT="0" distB="0" distL="114300" distR="114300" simplePos="0" relativeHeight="251662336" behindDoc="0" locked="0" layoutInCell="1" allowOverlap="1">
            <wp:simplePos x="0" y="0"/>
            <wp:positionH relativeFrom="column">
              <wp:posOffset>416560</wp:posOffset>
            </wp:positionH>
            <wp:positionV relativeFrom="paragraph">
              <wp:posOffset>-96520</wp:posOffset>
            </wp:positionV>
            <wp:extent cx="8144510" cy="5760085"/>
            <wp:effectExtent l="0" t="0" r="8890" b="12065"/>
            <wp:wrapTopAndBottom/>
            <wp:docPr id="8" name="图片 8" descr="2雄安新区商品住宅用地级别基准地价成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雄安新区商品住宅用地级别基准地价成果图"/>
                    <pic:cNvPicPr>
                      <a:picLocks noChangeAspect="1"/>
                    </pic:cNvPicPr>
                  </pic:nvPicPr>
                  <pic:blipFill>
                    <a:blip r:embed="rId7"/>
                    <a:stretch>
                      <a:fillRect/>
                    </a:stretch>
                  </pic:blipFill>
                  <pic:spPr>
                    <a:xfrm>
                      <a:off x="0" y="0"/>
                      <a:ext cx="8144510" cy="5760085"/>
                    </a:xfrm>
                    <a:prstGeom prst="rect">
                      <a:avLst/>
                    </a:prstGeom>
                  </pic:spPr>
                </pic:pic>
              </a:graphicData>
            </a:graphic>
          </wp:anchor>
        </w:drawing>
      </w:r>
    </w:p>
    <w:p>
      <w:pPr>
        <w:adjustRightInd w:val="0"/>
        <w:snapToGrid w:val="0"/>
        <w:spacing w:line="580" w:lineRule="exact"/>
        <w:jc w:val="center"/>
        <w:rPr>
          <w:sz w:val="21"/>
          <w:szCs w:val="21"/>
        </w:rPr>
      </w:pPr>
      <w:r>
        <w:rPr>
          <w:rFonts w:hint="eastAsia"/>
          <w:sz w:val="21"/>
          <w:szCs w:val="21"/>
        </w:rPr>
        <w:drawing>
          <wp:anchor distT="0" distB="0" distL="114300" distR="114300" simplePos="0" relativeHeight="251663360" behindDoc="0" locked="0" layoutInCell="1" allowOverlap="1">
            <wp:simplePos x="0" y="0"/>
            <wp:positionH relativeFrom="column">
              <wp:posOffset>400685</wp:posOffset>
            </wp:positionH>
            <wp:positionV relativeFrom="paragraph">
              <wp:posOffset>-158750</wp:posOffset>
            </wp:positionV>
            <wp:extent cx="8144510" cy="5760085"/>
            <wp:effectExtent l="0" t="0" r="8890" b="12065"/>
            <wp:wrapTopAndBottom/>
            <wp:docPr id="9" name="图片 9" descr="3雄安新区持有型租赁住宅用地级别基准地价成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雄安新区持有型租赁住宅用地级别基准地价成果图"/>
                    <pic:cNvPicPr>
                      <a:picLocks noChangeAspect="1"/>
                    </pic:cNvPicPr>
                  </pic:nvPicPr>
                  <pic:blipFill>
                    <a:blip r:embed="rId8"/>
                    <a:stretch>
                      <a:fillRect/>
                    </a:stretch>
                  </pic:blipFill>
                  <pic:spPr>
                    <a:xfrm>
                      <a:off x="0" y="0"/>
                      <a:ext cx="8144510" cy="5760085"/>
                    </a:xfrm>
                    <a:prstGeom prst="rect">
                      <a:avLst/>
                    </a:prstGeom>
                  </pic:spPr>
                </pic:pic>
              </a:graphicData>
            </a:graphic>
          </wp:anchor>
        </w:drawing>
      </w:r>
    </w:p>
    <w:p>
      <w:pPr>
        <w:adjustRightInd w:val="0"/>
        <w:snapToGrid w:val="0"/>
        <w:spacing w:line="580" w:lineRule="exact"/>
        <w:jc w:val="center"/>
      </w:pPr>
      <w:r>
        <w:rPr>
          <w:rFonts w:hint="eastAsia"/>
        </w:rPr>
        <w:drawing>
          <wp:anchor distT="0" distB="0" distL="114300" distR="114300" simplePos="0" relativeHeight="251664384" behindDoc="0" locked="0" layoutInCell="1" allowOverlap="1">
            <wp:simplePos x="0" y="0"/>
            <wp:positionH relativeFrom="column">
              <wp:posOffset>363220</wp:posOffset>
            </wp:positionH>
            <wp:positionV relativeFrom="paragraph">
              <wp:posOffset>-462915</wp:posOffset>
            </wp:positionV>
            <wp:extent cx="8144510" cy="5760085"/>
            <wp:effectExtent l="0" t="0" r="8890" b="12065"/>
            <wp:wrapTopAndBottom/>
            <wp:docPr id="10" name="图片 10" descr="4雄安新区新型产业用地级别基准地价成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雄安新区新型产业用地级别基准地价成果图"/>
                    <pic:cNvPicPr>
                      <a:picLocks noChangeAspect="1"/>
                    </pic:cNvPicPr>
                  </pic:nvPicPr>
                  <pic:blipFill>
                    <a:blip r:embed="rId9"/>
                    <a:stretch>
                      <a:fillRect/>
                    </a:stretch>
                  </pic:blipFill>
                  <pic:spPr>
                    <a:xfrm>
                      <a:off x="0" y="0"/>
                      <a:ext cx="8144510" cy="5760085"/>
                    </a:xfrm>
                    <a:prstGeom prst="rect">
                      <a:avLst/>
                    </a:prstGeom>
                  </pic:spPr>
                </pic:pic>
              </a:graphicData>
            </a:graphic>
          </wp:anchor>
        </w:drawing>
      </w:r>
    </w:p>
    <w:sectPr>
      <w:pgSz w:w="16838" w:h="11906" w:orient="landscape"/>
      <w:pgMar w:top="1800" w:right="1440" w:bottom="1800" w:left="1440" w:header="851" w:footer="654" w:gutter="0"/>
      <w:cols w:space="425"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Calibri Light">
    <w:panose1 w:val="020F0302020204030204"/>
    <w:charset w:val="00"/>
    <w:family w:val="swiss"/>
    <w:pitch w:val="default"/>
    <w:sig w:usb0="E0002A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1</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9"/>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1</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84E13A"/>
    <w:multiLevelType w:val="singleLevel"/>
    <w:tmpl w:val="0984E13A"/>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bordersDoNotSurroundHeader w:val="1"/>
  <w:bordersDoNotSurroundFooter w:val="1"/>
  <w:hideSpellingErrors/>
  <w:documentProtection w:enforcement="0"/>
  <w:defaultTabStop w:val="420"/>
  <w:drawingGridHorizontalSpacing w:val="160"/>
  <w:drawingGridVerticalSpacing w:val="435"/>
  <w:displayHorizont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yNmI0NjY4ZmYyMWUyODg0OTgyZTc1YzNkY2FhYTcifQ=="/>
  </w:docVars>
  <w:rsids>
    <w:rsidRoot w:val="00172A27"/>
    <w:rsid w:val="0000024A"/>
    <w:rsid w:val="000050E5"/>
    <w:rsid w:val="00006F87"/>
    <w:rsid w:val="000169D3"/>
    <w:rsid w:val="00035133"/>
    <w:rsid w:val="000536E4"/>
    <w:rsid w:val="000551E6"/>
    <w:rsid w:val="000603AF"/>
    <w:rsid w:val="00060B49"/>
    <w:rsid w:val="00084397"/>
    <w:rsid w:val="00086A0A"/>
    <w:rsid w:val="00095EBC"/>
    <w:rsid w:val="00096905"/>
    <w:rsid w:val="000B336A"/>
    <w:rsid w:val="000C1247"/>
    <w:rsid w:val="000C638F"/>
    <w:rsid w:val="000D1A14"/>
    <w:rsid w:val="000D2E6D"/>
    <w:rsid w:val="000E1F11"/>
    <w:rsid w:val="000F0545"/>
    <w:rsid w:val="001007AA"/>
    <w:rsid w:val="00100B0E"/>
    <w:rsid w:val="00102408"/>
    <w:rsid w:val="00103681"/>
    <w:rsid w:val="00112DC3"/>
    <w:rsid w:val="00146657"/>
    <w:rsid w:val="00147C4A"/>
    <w:rsid w:val="00154313"/>
    <w:rsid w:val="00165F59"/>
    <w:rsid w:val="00165F75"/>
    <w:rsid w:val="00172A27"/>
    <w:rsid w:val="001A3A55"/>
    <w:rsid w:val="001A3BC3"/>
    <w:rsid w:val="001A3CD0"/>
    <w:rsid w:val="001A6C62"/>
    <w:rsid w:val="001B73F5"/>
    <w:rsid w:val="001D4A28"/>
    <w:rsid w:val="001D62BA"/>
    <w:rsid w:val="001E0ECD"/>
    <w:rsid w:val="001E497B"/>
    <w:rsid w:val="00204AF8"/>
    <w:rsid w:val="00204B7F"/>
    <w:rsid w:val="00211DDF"/>
    <w:rsid w:val="002132DA"/>
    <w:rsid w:val="00214800"/>
    <w:rsid w:val="002200B7"/>
    <w:rsid w:val="002253A6"/>
    <w:rsid w:val="00227A28"/>
    <w:rsid w:val="002306E3"/>
    <w:rsid w:val="002335DB"/>
    <w:rsid w:val="0023443E"/>
    <w:rsid w:val="00240D9D"/>
    <w:rsid w:val="00247263"/>
    <w:rsid w:val="00271BAA"/>
    <w:rsid w:val="00282E1C"/>
    <w:rsid w:val="00286F49"/>
    <w:rsid w:val="002930C5"/>
    <w:rsid w:val="002A2C39"/>
    <w:rsid w:val="002B2CA1"/>
    <w:rsid w:val="002B5247"/>
    <w:rsid w:val="002B604C"/>
    <w:rsid w:val="002C1632"/>
    <w:rsid w:val="002D124F"/>
    <w:rsid w:val="002D26C2"/>
    <w:rsid w:val="002F31D0"/>
    <w:rsid w:val="002F5BC3"/>
    <w:rsid w:val="002F6520"/>
    <w:rsid w:val="003041FB"/>
    <w:rsid w:val="00310460"/>
    <w:rsid w:val="003139CD"/>
    <w:rsid w:val="00323F49"/>
    <w:rsid w:val="0034367D"/>
    <w:rsid w:val="00343752"/>
    <w:rsid w:val="00344DC5"/>
    <w:rsid w:val="00351233"/>
    <w:rsid w:val="00354DCE"/>
    <w:rsid w:val="003567B7"/>
    <w:rsid w:val="00363C10"/>
    <w:rsid w:val="00363E84"/>
    <w:rsid w:val="00371293"/>
    <w:rsid w:val="00391949"/>
    <w:rsid w:val="003A20B7"/>
    <w:rsid w:val="003A632F"/>
    <w:rsid w:val="003B0C3B"/>
    <w:rsid w:val="003C5F1C"/>
    <w:rsid w:val="003E0D3A"/>
    <w:rsid w:val="003E297B"/>
    <w:rsid w:val="003E7F6A"/>
    <w:rsid w:val="00404D6B"/>
    <w:rsid w:val="004166C1"/>
    <w:rsid w:val="004203F6"/>
    <w:rsid w:val="00427079"/>
    <w:rsid w:val="00443909"/>
    <w:rsid w:val="004549F8"/>
    <w:rsid w:val="00457812"/>
    <w:rsid w:val="00463370"/>
    <w:rsid w:val="00465720"/>
    <w:rsid w:val="004678BA"/>
    <w:rsid w:val="0047506F"/>
    <w:rsid w:val="00475991"/>
    <w:rsid w:val="00481325"/>
    <w:rsid w:val="0048367A"/>
    <w:rsid w:val="004953A3"/>
    <w:rsid w:val="00496EF2"/>
    <w:rsid w:val="004A3E97"/>
    <w:rsid w:val="004B339D"/>
    <w:rsid w:val="004B359F"/>
    <w:rsid w:val="004B70D3"/>
    <w:rsid w:val="004C06FD"/>
    <w:rsid w:val="004C0D56"/>
    <w:rsid w:val="004D01B1"/>
    <w:rsid w:val="004E244A"/>
    <w:rsid w:val="00502765"/>
    <w:rsid w:val="0050623D"/>
    <w:rsid w:val="00517180"/>
    <w:rsid w:val="00537260"/>
    <w:rsid w:val="0054253B"/>
    <w:rsid w:val="00550191"/>
    <w:rsid w:val="00555CD9"/>
    <w:rsid w:val="005618B6"/>
    <w:rsid w:val="00564074"/>
    <w:rsid w:val="00567C9D"/>
    <w:rsid w:val="005717C4"/>
    <w:rsid w:val="00583109"/>
    <w:rsid w:val="005853F6"/>
    <w:rsid w:val="005878DF"/>
    <w:rsid w:val="005E2927"/>
    <w:rsid w:val="0061032C"/>
    <w:rsid w:val="00610E0E"/>
    <w:rsid w:val="006112B4"/>
    <w:rsid w:val="0063146E"/>
    <w:rsid w:val="00636F46"/>
    <w:rsid w:val="00650468"/>
    <w:rsid w:val="00651DA1"/>
    <w:rsid w:val="00661FA7"/>
    <w:rsid w:val="00666946"/>
    <w:rsid w:val="00677BDA"/>
    <w:rsid w:val="0068424A"/>
    <w:rsid w:val="0068711D"/>
    <w:rsid w:val="00694A37"/>
    <w:rsid w:val="0069560A"/>
    <w:rsid w:val="006961D4"/>
    <w:rsid w:val="006B1DE8"/>
    <w:rsid w:val="006C51EA"/>
    <w:rsid w:val="006D0153"/>
    <w:rsid w:val="006D135E"/>
    <w:rsid w:val="006D1CE7"/>
    <w:rsid w:val="006D6FD2"/>
    <w:rsid w:val="006E23AB"/>
    <w:rsid w:val="006E2F8B"/>
    <w:rsid w:val="006E5461"/>
    <w:rsid w:val="007118CC"/>
    <w:rsid w:val="00715897"/>
    <w:rsid w:val="00727CC6"/>
    <w:rsid w:val="00732FC4"/>
    <w:rsid w:val="00735CC2"/>
    <w:rsid w:val="007416F1"/>
    <w:rsid w:val="00741C74"/>
    <w:rsid w:val="0076106D"/>
    <w:rsid w:val="0076755E"/>
    <w:rsid w:val="00784A38"/>
    <w:rsid w:val="00791DD5"/>
    <w:rsid w:val="00793BAD"/>
    <w:rsid w:val="007A361B"/>
    <w:rsid w:val="007B68B6"/>
    <w:rsid w:val="007B6A60"/>
    <w:rsid w:val="007C2C68"/>
    <w:rsid w:val="007D0ABF"/>
    <w:rsid w:val="007D1B0F"/>
    <w:rsid w:val="007D44B9"/>
    <w:rsid w:val="007D57DB"/>
    <w:rsid w:val="007E0731"/>
    <w:rsid w:val="007E28B9"/>
    <w:rsid w:val="007F7406"/>
    <w:rsid w:val="0080346C"/>
    <w:rsid w:val="0080459B"/>
    <w:rsid w:val="00813C96"/>
    <w:rsid w:val="008145C0"/>
    <w:rsid w:val="008149AE"/>
    <w:rsid w:val="00815946"/>
    <w:rsid w:val="008159DA"/>
    <w:rsid w:val="00821DF3"/>
    <w:rsid w:val="008376FD"/>
    <w:rsid w:val="00837AEF"/>
    <w:rsid w:val="008479F6"/>
    <w:rsid w:val="008503BE"/>
    <w:rsid w:val="00851846"/>
    <w:rsid w:val="00875894"/>
    <w:rsid w:val="00884AE4"/>
    <w:rsid w:val="00885755"/>
    <w:rsid w:val="008A1345"/>
    <w:rsid w:val="008A5C4B"/>
    <w:rsid w:val="008A73C6"/>
    <w:rsid w:val="008B4A17"/>
    <w:rsid w:val="008C0A77"/>
    <w:rsid w:val="008C2883"/>
    <w:rsid w:val="008C4130"/>
    <w:rsid w:val="008D7192"/>
    <w:rsid w:val="00911C2B"/>
    <w:rsid w:val="00914C17"/>
    <w:rsid w:val="0091503D"/>
    <w:rsid w:val="00916CFB"/>
    <w:rsid w:val="00921F20"/>
    <w:rsid w:val="0092394A"/>
    <w:rsid w:val="00924C09"/>
    <w:rsid w:val="009250C8"/>
    <w:rsid w:val="00937162"/>
    <w:rsid w:val="009401C6"/>
    <w:rsid w:val="0096316E"/>
    <w:rsid w:val="00970D42"/>
    <w:rsid w:val="009901DE"/>
    <w:rsid w:val="00991FEE"/>
    <w:rsid w:val="009A3F46"/>
    <w:rsid w:val="009A65B9"/>
    <w:rsid w:val="009B1B89"/>
    <w:rsid w:val="009B1D48"/>
    <w:rsid w:val="009B733E"/>
    <w:rsid w:val="009E33E4"/>
    <w:rsid w:val="009E4B13"/>
    <w:rsid w:val="009E7472"/>
    <w:rsid w:val="009F2794"/>
    <w:rsid w:val="00A04898"/>
    <w:rsid w:val="00A05BC3"/>
    <w:rsid w:val="00A06B1F"/>
    <w:rsid w:val="00A37095"/>
    <w:rsid w:val="00A40050"/>
    <w:rsid w:val="00A57F27"/>
    <w:rsid w:val="00A631D2"/>
    <w:rsid w:val="00A71E94"/>
    <w:rsid w:val="00A7462A"/>
    <w:rsid w:val="00A8698D"/>
    <w:rsid w:val="00A96FDE"/>
    <w:rsid w:val="00AA0964"/>
    <w:rsid w:val="00AA6099"/>
    <w:rsid w:val="00AA7B47"/>
    <w:rsid w:val="00AB0B82"/>
    <w:rsid w:val="00AB4B03"/>
    <w:rsid w:val="00AC18A8"/>
    <w:rsid w:val="00AC22CA"/>
    <w:rsid w:val="00AC36AF"/>
    <w:rsid w:val="00AC4857"/>
    <w:rsid w:val="00AD1BBF"/>
    <w:rsid w:val="00AD4F34"/>
    <w:rsid w:val="00AD653C"/>
    <w:rsid w:val="00AD6F69"/>
    <w:rsid w:val="00AF32D0"/>
    <w:rsid w:val="00B00154"/>
    <w:rsid w:val="00B02AF6"/>
    <w:rsid w:val="00B03E31"/>
    <w:rsid w:val="00B13A25"/>
    <w:rsid w:val="00B21B8C"/>
    <w:rsid w:val="00B27EC8"/>
    <w:rsid w:val="00B3553B"/>
    <w:rsid w:val="00B518E1"/>
    <w:rsid w:val="00B547AB"/>
    <w:rsid w:val="00B96077"/>
    <w:rsid w:val="00BA5279"/>
    <w:rsid w:val="00BD2166"/>
    <w:rsid w:val="00BF2EDB"/>
    <w:rsid w:val="00BF3A31"/>
    <w:rsid w:val="00C06777"/>
    <w:rsid w:val="00C113A3"/>
    <w:rsid w:val="00C27C66"/>
    <w:rsid w:val="00C3531D"/>
    <w:rsid w:val="00C36413"/>
    <w:rsid w:val="00C62172"/>
    <w:rsid w:val="00C6281D"/>
    <w:rsid w:val="00C868E2"/>
    <w:rsid w:val="00C940BF"/>
    <w:rsid w:val="00CB0D5E"/>
    <w:rsid w:val="00CB2941"/>
    <w:rsid w:val="00CC122D"/>
    <w:rsid w:val="00CC2862"/>
    <w:rsid w:val="00CC3896"/>
    <w:rsid w:val="00CC4122"/>
    <w:rsid w:val="00CC5B23"/>
    <w:rsid w:val="00CD4C30"/>
    <w:rsid w:val="00CD7DD6"/>
    <w:rsid w:val="00CE00C9"/>
    <w:rsid w:val="00CE16E5"/>
    <w:rsid w:val="00CE2059"/>
    <w:rsid w:val="00CF71E7"/>
    <w:rsid w:val="00CF7330"/>
    <w:rsid w:val="00CF7956"/>
    <w:rsid w:val="00D1365B"/>
    <w:rsid w:val="00D21CB5"/>
    <w:rsid w:val="00D24F1A"/>
    <w:rsid w:val="00D3068F"/>
    <w:rsid w:val="00D3516B"/>
    <w:rsid w:val="00D365A4"/>
    <w:rsid w:val="00D40ABA"/>
    <w:rsid w:val="00D45CB1"/>
    <w:rsid w:val="00D47FF6"/>
    <w:rsid w:val="00D57419"/>
    <w:rsid w:val="00D5779D"/>
    <w:rsid w:val="00D61D39"/>
    <w:rsid w:val="00D625BA"/>
    <w:rsid w:val="00D7598A"/>
    <w:rsid w:val="00D75FC0"/>
    <w:rsid w:val="00D77148"/>
    <w:rsid w:val="00D815B6"/>
    <w:rsid w:val="00D82DF3"/>
    <w:rsid w:val="00DA0CD6"/>
    <w:rsid w:val="00DA19B7"/>
    <w:rsid w:val="00DA53E0"/>
    <w:rsid w:val="00DB11C4"/>
    <w:rsid w:val="00DF25EF"/>
    <w:rsid w:val="00DF3BB4"/>
    <w:rsid w:val="00DF66CE"/>
    <w:rsid w:val="00E019C4"/>
    <w:rsid w:val="00E150B6"/>
    <w:rsid w:val="00E27176"/>
    <w:rsid w:val="00E33597"/>
    <w:rsid w:val="00E42B3D"/>
    <w:rsid w:val="00E535B2"/>
    <w:rsid w:val="00E63437"/>
    <w:rsid w:val="00E72733"/>
    <w:rsid w:val="00E75E15"/>
    <w:rsid w:val="00E77F2A"/>
    <w:rsid w:val="00E828BF"/>
    <w:rsid w:val="00E84172"/>
    <w:rsid w:val="00EA01B6"/>
    <w:rsid w:val="00EA5113"/>
    <w:rsid w:val="00EB2E53"/>
    <w:rsid w:val="00EB4D6D"/>
    <w:rsid w:val="00EB6797"/>
    <w:rsid w:val="00EC1026"/>
    <w:rsid w:val="00EC251A"/>
    <w:rsid w:val="00EC253A"/>
    <w:rsid w:val="00EC4928"/>
    <w:rsid w:val="00EC51DA"/>
    <w:rsid w:val="00ED0BAE"/>
    <w:rsid w:val="00ED229D"/>
    <w:rsid w:val="00ED336F"/>
    <w:rsid w:val="00EE3089"/>
    <w:rsid w:val="00EE3AEC"/>
    <w:rsid w:val="00EF6058"/>
    <w:rsid w:val="00F02792"/>
    <w:rsid w:val="00F035FF"/>
    <w:rsid w:val="00F03CE4"/>
    <w:rsid w:val="00F17654"/>
    <w:rsid w:val="00F24251"/>
    <w:rsid w:val="00F31A17"/>
    <w:rsid w:val="00F35227"/>
    <w:rsid w:val="00F45BA1"/>
    <w:rsid w:val="00F5191C"/>
    <w:rsid w:val="00F726C5"/>
    <w:rsid w:val="00F768DF"/>
    <w:rsid w:val="00F83DE6"/>
    <w:rsid w:val="00F845F0"/>
    <w:rsid w:val="00F915F9"/>
    <w:rsid w:val="00F94D03"/>
    <w:rsid w:val="00FA0F1B"/>
    <w:rsid w:val="00FB27F6"/>
    <w:rsid w:val="00FC5F12"/>
    <w:rsid w:val="00FD074C"/>
    <w:rsid w:val="00FD0B2D"/>
    <w:rsid w:val="00FD7732"/>
    <w:rsid w:val="00FE0A9B"/>
    <w:rsid w:val="00FE0C2B"/>
    <w:rsid w:val="00FE1665"/>
    <w:rsid w:val="00FE4258"/>
    <w:rsid w:val="00FE47B2"/>
    <w:rsid w:val="00FE5B4F"/>
    <w:rsid w:val="00FF449A"/>
    <w:rsid w:val="00FF695D"/>
    <w:rsid w:val="00FF7962"/>
    <w:rsid w:val="03A12E1D"/>
    <w:rsid w:val="09DB51E6"/>
    <w:rsid w:val="0D8B3D52"/>
    <w:rsid w:val="10AB6E20"/>
    <w:rsid w:val="1125512B"/>
    <w:rsid w:val="12585022"/>
    <w:rsid w:val="153A25B8"/>
    <w:rsid w:val="1950733E"/>
    <w:rsid w:val="23800822"/>
    <w:rsid w:val="291C5A96"/>
    <w:rsid w:val="29E321D5"/>
    <w:rsid w:val="2BD45890"/>
    <w:rsid w:val="31BF78C5"/>
    <w:rsid w:val="32937E17"/>
    <w:rsid w:val="3BCF662E"/>
    <w:rsid w:val="3CCA2828"/>
    <w:rsid w:val="3F2A4008"/>
    <w:rsid w:val="3F304A04"/>
    <w:rsid w:val="46EC57F5"/>
    <w:rsid w:val="4AD92475"/>
    <w:rsid w:val="4BE1057C"/>
    <w:rsid w:val="521F3325"/>
    <w:rsid w:val="54DA7145"/>
    <w:rsid w:val="552C6E97"/>
    <w:rsid w:val="56892970"/>
    <w:rsid w:val="57043FE4"/>
    <w:rsid w:val="58244F39"/>
    <w:rsid w:val="5F5C1802"/>
    <w:rsid w:val="63D062E3"/>
    <w:rsid w:val="69DE697C"/>
    <w:rsid w:val="6C434FF6"/>
    <w:rsid w:val="756743F0"/>
    <w:rsid w:val="760B6009"/>
    <w:rsid w:val="7B3A252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仿宋_GB2312" w:cs="Times New Roman"/>
      <w:kern w:val="2"/>
      <w:sz w:val="32"/>
      <w:szCs w:val="32"/>
      <w:lang w:val="en-US" w:eastAsia="zh-CN" w:bidi="ar-SA"/>
    </w:rPr>
  </w:style>
  <w:style w:type="paragraph" w:styleId="2">
    <w:name w:val="heading 1"/>
    <w:basedOn w:val="3"/>
    <w:next w:val="1"/>
    <w:qFormat/>
    <w:uiPriority w:val="99"/>
    <w:pPr>
      <w:adjustRightInd w:val="0"/>
      <w:snapToGrid w:val="0"/>
      <w:spacing w:beforeLines="50" w:afterLines="50" w:line="360" w:lineRule="auto"/>
      <w:ind w:firstLine="560" w:firstLineChars="200"/>
      <w:jc w:val="center"/>
      <w:outlineLvl w:val="0"/>
    </w:pPr>
    <w:rPr>
      <w:rFonts w:ascii="Times New Roman" w:eastAsia="华文中宋"/>
      <w:kern w:val="48"/>
      <w:szCs w:val="20"/>
      <w:shd w:val="clear" w:color="auto" w:fill="FFFFFF"/>
    </w:rPr>
  </w:style>
  <w:style w:type="paragraph" w:styleId="3">
    <w:name w:val="heading 2"/>
    <w:basedOn w:val="4"/>
    <w:next w:val="1"/>
    <w:autoRedefine/>
    <w:qFormat/>
    <w:uiPriority w:val="0"/>
    <w:pPr>
      <w:outlineLvl w:val="1"/>
    </w:pPr>
    <w:rPr>
      <w:bCs w:val="0"/>
      <w:szCs w:val="30"/>
      <w:lang w:val="zh-CN"/>
    </w:rPr>
  </w:style>
  <w:style w:type="paragraph" w:styleId="4">
    <w:name w:val="heading 3"/>
    <w:basedOn w:val="1"/>
    <w:next w:val="1"/>
    <w:autoRedefine/>
    <w:qFormat/>
    <w:uiPriority w:val="99"/>
    <w:pPr>
      <w:keepNext/>
      <w:keepLines/>
      <w:spacing w:beforeLines="30" w:afterLines="30" w:line="400" w:lineRule="exact"/>
      <w:outlineLvl w:val="2"/>
    </w:pPr>
    <w:rPr>
      <w:rFonts w:ascii="仿宋_GB2312"/>
      <w:b/>
      <w:bCs/>
      <w:kern w:val="44"/>
      <w:sz w:val="24"/>
      <w:szCs w:val="28"/>
    </w:rPr>
  </w:style>
  <w:style w:type="paragraph" w:styleId="5">
    <w:name w:val="heading 4"/>
    <w:basedOn w:val="1"/>
    <w:next w:val="1"/>
    <w:link w:val="55"/>
    <w:autoRedefine/>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7">
    <w:name w:val="Default Paragraph Font"/>
    <w:autoRedefine/>
    <w:semiHidden/>
    <w:unhideWhenUsed/>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6">
    <w:name w:val="annotation text"/>
    <w:basedOn w:val="1"/>
    <w:link w:val="21"/>
    <w:autoRedefine/>
    <w:semiHidden/>
    <w:unhideWhenUsed/>
    <w:qFormat/>
    <w:uiPriority w:val="99"/>
    <w:pPr>
      <w:jc w:val="left"/>
    </w:pPr>
  </w:style>
  <w:style w:type="paragraph" w:styleId="7">
    <w:name w:val="Date"/>
    <w:basedOn w:val="1"/>
    <w:next w:val="1"/>
    <w:link w:val="57"/>
    <w:autoRedefine/>
    <w:semiHidden/>
    <w:unhideWhenUsed/>
    <w:qFormat/>
    <w:uiPriority w:val="99"/>
    <w:pPr>
      <w:ind w:left="100" w:leftChars="2500"/>
    </w:pPr>
  </w:style>
  <w:style w:type="paragraph" w:styleId="8">
    <w:name w:val="Balloon Text"/>
    <w:basedOn w:val="1"/>
    <w:link w:val="22"/>
    <w:autoRedefine/>
    <w:semiHidden/>
    <w:unhideWhenUsed/>
    <w:qFormat/>
    <w:uiPriority w:val="99"/>
    <w:rPr>
      <w:sz w:val="18"/>
      <w:szCs w:val="18"/>
    </w:rPr>
  </w:style>
  <w:style w:type="paragraph" w:styleId="9">
    <w:name w:val="footer"/>
    <w:basedOn w:val="1"/>
    <w:link w:val="23"/>
    <w:autoRedefine/>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0">
    <w:name w:val="header"/>
    <w:basedOn w:val="1"/>
    <w:link w:val="24"/>
    <w:autoRedefine/>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1">
    <w:name w:val="Subtitle"/>
    <w:next w:val="3"/>
    <w:autoRedefine/>
    <w:qFormat/>
    <w:uiPriority w:val="11"/>
    <w:pPr>
      <w:widowControl w:val="0"/>
      <w:spacing w:beforeLines="50" w:afterLines="50" w:line="360" w:lineRule="auto"/>
      <w:outlineLvl w:val="1"/>
    </w:pPr>
    <w:rPr>
      <w:rFonts w:ascii="Times New Roman" w:hAnsi="Times New Roman" w:eastAsia="华文中宋" w:cs="Times New Roman"/>
      <w:b/>
      <w:bCs/>
      <w:sz w:val="36"/>
      <w:szCs w:val="32"/>
      <w:lang w:val="en-US" w:eastAsia="zh-CN" w:bidi="ar-SA"/>
    </w:rPr>
  </w:style>
  <w:style w:type="paragraph" w:styleId="12">
    <w:name w:val="Normal (Web)"/>
    <w:basedOn w:val="1"/>
    <w:autoRedefine/>
    <w:qFormat/>
    <w:uiPriority w:val="0"/>
    <w:pPr>
      <w:widowControl/>
      <w:spacing w:before="100" w:beforeAutospacing="1" w:after="100" w:afterAutospacing="1"/>
      <w:jc w:val="left"/>
    </w:pPr>
    <w:rPr>
      <w:rFonts w:ascii="宋体" w:hAnsi="宋体" w:eastAsia="宋体"/>
      <w:color w:val="000000"/>
      <w:kern w:val="0"/>
      <w:sz w:val="18"/>
      <w:szCs w:val="18"/>
    </w:rPr>
  </w:style>
  <w:style w:type="paragraph" w:styleId="13">
    <w:name w:val="Title"/>
    <w:next w:val="2"/>
    <w:autoRedefine/>
    <w:qFormat/>
    <w:uiPriority w:val="10"/>
    <w:pPr>
      <w:widowControl w:val="0"/>
      <w:spacing w:beforeLines="200" w:afterLines="100" w:line="360" w:lineRule="auto"/>
      <w:jc w:val="center"/>
      <w:outlineLvl w:val="0"/>
    </w:pPr>
    <w:rPr>
      <w:rFonts w:ascii="Times New Roman" w:hAnsi="Times New Roman" w:eastAsia="华文中宋" w:cs="Times New Roman"/>
      <w:b/>
      <w:bCs/>
      <w:sz w:val="44"/>
      <w:szCs w:val="32"/>
      <w:lang w:val="en-US" w:eastAsia="zh-CN" w:bidi="ar-SA"/>
    </w:rPr>
  </w:style>
  <w:style w:type="paragraph" w:styleId="14">
    <w:name w:val="annotation subject"/>
    <w:basedOn w:val="6"/>
    <w:next w:val="6"/>
    <w:link w:val="25"/>
    <w:autoRedefine/>
    <w:semiHidden/>
    <w:unhideWhenUsed/>
    <w:qFormat/>
    <w:uiPriority w:val="99"/>
    <w:rPr>
      <w:b/>
      <w:bCs/>
    </w:rPr>
  </w:style>
  <w:style w:type="table" w:styleId="16">
    <w:name w:val="Table Grid"/>
    <w:basedOn w:val="15"/>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FollowedHyperlink"/>
    <w:basedOn w:val="17"/>
    <w:semiHidden/>
    <w:unhideWhenUsed/>
    <w:qFormat/>
    <w:uiPriority w:val="99"/>
    <w:rPr>
      <w:color w:val="800080"/>
      <w:u w:val="single"/>
    </w:rPr>
  </w:style>
  <w:style w:type="character" w:styleId="19">
    <w:name w:val="Hyperlink"/>
    <w:basedOn w:val="17"/>
    <w:autoRedefine/>
    <w:semiHidden/>
    <w:unhideWhenUsed/>
    <w:qFormat/>
    <w:uiPriority w:val="99"/>
    <w:rPr>
      <w:color w:val="0000FF"/>
      <w:u w:val="single"/>
    </w:rPr>
  </w:style>
  <w:style w:type="character" w:styleId="20">
    <w:name w:val="annotation reference"/>
    <w:basedOn w:val="17"/>
    <w:semiHidden/>
    <w:unhideWhenUsed/>
    <w:qFormat/>
    <w:uiPriority w:val="99"/>
    <w:rPr>
      <w:sz w:val="21"/>
      <w:szCs w:val="21"/>
    </w:rPr>
  </w:style>
  <w:style w:type="character" w:customStyle="1" w:styleId="21">
    <w:name w:val="批注文字 字符"/>
    <w:basedOn w:val="17"/>
    <w:link w:val="6"/>
    <w:semiHidden/>
    <w:qFormat/>
    <w:uiPriority w:val="99"/>
    <w:rPr>
      <w:rFonts w:eastAsia="仿宋_GB2312"/>
      <w:kern w:val="2"/>
      <w:sz w:val="32"/>
      <w:szCs w:val="32"/>
    </w:rPr>
  </w:style>
  <w:style w:type="character" w:customStyle="1" w:styleId="22">
    <w:name w:val="批注框文本 字符"/>
    <w:basedOn w:val="17"/>
    <w:link w:val="8"/>
    <w:autoRedefine/>
    <w:semiHidden/>
    <w:qFormat/>
    <w:uiPriority w:val="99"/>
    <w:rPr>
      <w:rFonts w:eastAsia="仿宋_GB2312"/>
      <w:kern w:val="2"/>
      <w:sz w:val="18"/>
      <w:szCs w:val="18"/>
    </w:rPr>
  </w:style>
  <w:style w:type="character" w:customStyle="1" w:styleId="23">
    <w:name w:val="页脚 字符"/>
    <w:basedOn w:val="17"/>
    <w:link w:val="9"/>
    <w:autoRedefine/>
    <w:qFormat/>
    <w:uiPriority w:val="99"/>
    <w:rPr>
      <w:sz w:val="18"/>
      <w:szCs w:val="18"/>
    </w:rPr>
  </w:style>
  <w:style w:type="character" w:customStyle="1" w:styleId="24">
    <w:name w:val="页眉 字符"/>
    <w:basedOn w:val="17"/>
    <w:link w:val="10"/>
    <w:autoRedefine/>
    <w:uiPriority w:val="99"/>
    <w:rPr>
      <w:sz w:val="18"/>
      <w:szCs w:val="18"/>
    </w:rPr>
  </w:style>
  <w:style w:type="character" w:customStyle="1" w:styleId="25">
    <w:name w:val="批注主题 字符"/>
    <w:basedOn w:val="21"/>
    <w:link w:val="14"/>
    <w:semiHidden/>
    <w:qFormat/>
    <w:uiPriority w:val="99"/>
    <w:rPr>
      <w:rFonts w:eastAsia="仿宋_GB2312"/>
      <w:b/>
      <w:bCs/>
      <w:kern w:val="2"/>
      <w:sz w:val="32"/>
      <w:szCs w:val="32"/>
    </w:rPr>
  </w:style>
  <w:style w:type="paragraph" w:customStyle="1" w:styleId="26">
    <w:name w:val="Char Char Char Char Char Char1 Char"/>
    <w:basedOn w:val="1"/>
    <w:autoRedefine/>
    <w:qFormat/>
    <w:uiPriority w:val="0"/>
    <w:pPr>
      <w:widowControl/>
      <w:spacing w:after="160" w:line="240" w:lineRule="exact"/>
      <w:jc w:val="left"/>
    </w:pPr>
    <w:rPr>
      <w:rFonts w:ascii="Verdana" w:hAnsi="Verdana"/>
      <w:kern w:val="0"/>
      <w:sz w:val="24"/>
      <w:szCs w:val="20"/>
      <w:lang w:eastAsia="en-US"/>
    </w:rPr>
  </w:style>
  <w:style w:type="paragraph" w:customStyle="1" w:styleId="27">
    <w:name w:val="00-正文"/>
    <w:link w:val="53"/>
    <w:autoRedefine/>
    <w:qFormat/>
    <w:uiPriority w:val="0"/>
    <w:pPr>
      <w:widowControl w:val="0"/>
      <w:spacing w:line="560" w:lineRule="exact"/>
      <w:ind w:firstLine="200" w:firstLineChars="200"/>
      <w:jc w:val="both"/>
      <w:textAlignment w:val="center"/>
    </w:pPr>
    <w:rPr>
      <w:rFonts w:ascii="Times New Roman" w:hAnsi="Times New Roman" w:eastAsia="仿宋_GB2312" w:cs="Times New Roman"/>
      <w:sz w:val="28"/>
      <w:szCs w:val="22"/>
      <w:lang w:val="zh-CN" w:eastAsia="zh-CN" w:bidi="ar-SA"/>
    </w:rPr>
  </w:style>
  <w:style w:type="paragraph" w:customStyle="1" w:styleId="28">
    <w:name w:val="07－图表号"/>
    <w:autoRedefine/>
    <w:qFormat/>
    <w:uiPriority w:val="0"/>
    <w:pPr>
      <w:spacing w:line="360" w:lineRule="auto"/>
      <w:jc w:val="center"/>
    </w:pPr>
    <w:rPr>
      <w:rFonts w:ascii="Times New Roman" w:hAnsi="Times New Roman" w:eastAsia="仿宋_GB2312" w:cs="Times New Roman"/>
      <w:b/>
      <w:spacing w:val="6"/>
      <w:kern w:val="28"/>
      <w:sz w:val="24"/>
      <w:szCs w:val="28"/>
      <w:lang w:val="en-US" w:eastAsia="zh-CN" w:bidi="ar-SA"/>
    </w:rPr>
  </w:style>
  <w:style w:type="paragraph" w:customStyle="1" w:styleId="29">
    <w:name w:val="3级-cx"/>
    <w:basedOn w:val="4"/>
    <w:autoRedefine/>
    <w:qFormat/>
    <w:uiPriority w:val="0"/>
    <w:pPr>
      <w:spacing w:beforeLines="25" w:afterLines="25" w:line="300" w:lineRule="auto"/>
      <w:ind w:firstLine="482"/>
    </w:pPr>
  </w:style>
  <w:style w:type="paragraph" w:customStyle="1" w:styleId="30">
    <w:name w:val="95-公式"/>
    <w:qFormat/>
    <w:uiPriority w:val="0"/>
    <w:pPr>
      <w:widowControl w:val="0"/>
      <w:spacing w:beforeLines="20" w:afterLines="20"/>
      <w:jc w:val="center"/>
    </w:pPr>
    <w:rPr>
      <w:rFonts w:ascii="Times New Roman" w:hAnsi="Times New Roman" w:eastAsia="仿宋_GB2312" w:cs="Times New Roman"/>
      <w:sz w:val="28"/>
      <w:szCs w:val="22"/>
      <w:lang w:val="en-US" w:eastAsia="zh-CN" w:bidi="ar-SA"/>
    </w:rPr>
  </w:style>
  <w:style w:type="paragraph" w:customStyle="1" w:styleId="31">
    <w:name w:val="9-2表内容"/>
    <w:basedOn w:val="27"/>
    <w:autoRedefine/>
    <w:qFormat/>
    <w:uiPriority w:val="0"/>
    <w:pPr>
      <w:spacing w:line="240" w:lineRule="auto"/>
      <w:ind w:firstLine="0" w:firstLineChars="0"/>
      <w:jc w:val="center"/>
    </w:pPr>
    <w:rPr>
      <w:sz w:val="21"/>
    </w:rPr>
  </w:style>
  <w:style w:type="paragraph" w:customStyle="1" w:styleId="32">
    <w:name w:val="9-3表下标"/>
    <w:autoRedefine/>
    <w:qFormat/>
    <w:uiPriority w:val="0"/>
    <w:pPr>
      <w:ind w:left="50" w:leftChars="50" w:hanging="425" w:hangingChars="200"/>
    </w:pPr>
    <w:rPr>
      <w:rFonts w:ascii="Times New Roman" w:hAnsi="Times New Roman" w:eastAsia="仿宋_GB2312" w:cs="Times New Roman"/>
      <w:sz w:val="21"/>
      <w:szCs w:val="22"/>
      <w:lang w:val="zh-CN" w:eastAsia="zh-CN" w:bidi="ar-SA"/>
    </w:rPr>
  </w:style>
  <w:style w:type="paragraph" w:customStyle="1" w:styleId="33">
    <w:name w:val="font5"/>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34">
    <w:name w:val="xl64"/>
    <w:basedOn w:val="1"/>
    <w:autoRedefine/>
    <w:qFormat/>
    <w:uiPriority w:val="0"/>
    <w:pPr>
      <w:widowControl/>
      <w:pBdr>
        <w:bottom w:val="single" w:color="000000" w:sz="8" w:space="0"/>
        <w:right w:val="single" w:color="000000" w:sz="8"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35">
    <w:name w:val="xl65"/>
    <w:basedOn w:val="1"/>
    <w:qFormat/>
    <w:uiPriority w:val="0"/>
    <w:pPr>
      <w:widowControl/>
      <w:pBdr>
        <w:left w:val="single" w:color="000000" w:sz="8" w:space="0"/>
        <w:bottom w:val="single" w:color="000000" w:sz="8" w:space="0"/>
        <w:right w:val="single" w:color="000000" w:sz="8"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36">
    <w:name w:val="xl66"/>
    <w:basedOn w:val="1"/>
    <w:autoRedefine/>
    <w:qFormat/>
    <w:uiPriority w:val="0"/>
    <w:pPr>
      <w:widowControl/>
      <w:pBdr>
        <w:bottom w:val="single" w:color="000000" w:sz="8" w:space="0"/>
        <w:right w:val="single" w:color="000000" w:sz="8"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37">
    <w:name w:val="xl67"/>
    <w:basedOn w:val="1"/>
    <w:uiPriority w:val="0"/>
    <w:pPr>
      <w:widowControl/>
      <w:pBdr>
        <w:bottom w:val="single" w:color="000000" w:sz="8" w:space="0"/>
        <w:right w:val="single" w:color="000000" w:sz="8"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38">
    <w:name w:val="xl68"/>
    <w:basedOn w:val="1"/>
    <w:autoRedefine/>
    <w:qFormat/>
    <w:uiPriority w:val="0"/>
    <w:pPr>
      <w:widowControl/>
      <w:pBdr>
        <w:top w:val="single" w:color="000000" w:sz="8" w:space="0"/>
        <w:left w:val="single" w:color="000000" w:sz="8" w:space="0"/>
        <w:right w:val="single" w:color="000000" w:sz="8"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39">
    <w:name w:val="xl69"/>
    <w:basedOn w:val="1"/>
    <w:autoRedefine/>
    <w:qFormat/>
    <w:uiPriority w:val="0"/>
    <w:pPr>
      <w:widowControl/>
      <w:pBdr>
        <w:left w:val="single" w:color="000000" w:sz="8" w:space="0"/>
        <w:right w:val="single" w:color="000000" w:sz="8"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40">
    <w:name w:val="xl70"/>
    <w:basedOn w:val="1"/>
    <w:uiPriority w:val="0"/>
    <w:pPr>
      <w:widowControl/>
      <w:pBdr>
        <w:left w:val="single" w:color="000000" w:sz="8" w:space="0"/>
        <w:bottom w:val="single" w:color="000000" w:sz="8" w:space="0"/>
        <w:right w:val="single" w:color="000000" w:sz="8"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41">
    <w:name w:val="xl71"/>
    <w:basedOn w:val="1"/>
    <w:autoRedefine/>
    <w:qFormat/>
    <w:uiPriority w:val="0"/>
    <w:pPr>
      <w:widowControl/>
      <w:pBdr>
        <w:top w:val="single" w:color="000000" w:sz="8" w:space="0"/>
        <w:left w:val="single" w:color="000000" w:sz="8"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42">
    <w:name w:val="xl72"/>
    <w:basedOn w:val="1"/>
    <w:qFormat/>
    <w:uiPriority w:val="0"/>
    <w:pPr>
      <w:widowControl/>
      <w:pBdr>
        <w:top w:val="single" w:color="000000" w:sz="8" w:space="0"/>
        <w:right w:val="single" w:color="000000" w:sz="8"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43">
    <w:name w:val="xl73"/>
    <w:basedOn w:val="1"/>
    <w:autoRedefine/>
    <w:qFormat/>
    <w:uiPriority w:val="0"/>
    <w:pPr>
      <w:widowControl/>
      <w:pBdr>
        <w:left w:val="single" w:color="000000" w:sz="8" w:space="0"/>
        <w:bottom w:val="single" w:color="000000" w:sz="8"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44">
    <w:name w:val="xl74"/>
    <w:basedOn w:val="1"/>
    <w:qFormat/>
    <w:uiPriority w:val="0"/>
    <w:pPr>
      <w:widowControl/>
      <w:pBdr>
        <w:top w:val="single" w:color="000000" w:sz="8" w:space="0"/>
        <w:left w:val="single" w:color="000000" w:sz="8" w:space="0"/>
        <w:right w:val="single" w:color="000000" w:sz="8"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45">
    <w:name w:val="xl75"/>
    <w:basedOn w:val="1"/>
    <w:autoRedefine/>
    <w:qFormat/>
    <w:uiPriority w:val="0"/>
    <w:pPr>
      <w:widowControl/>
      <w:pBdr>
        <w:left w:val="single" w:color="000000" w:sz="8" w:space="0"/>
        <w:right w:val="single" w:color="000000" w:sz="8"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46">
    <w:name w:val="xl76"/>
    <w:basedOn w:val="1"/>
    <w:autoRedefine/>
    <w:qFormat/>
    <w:uiPriority w:val="0"/>
    <w:pPr>
      <w:widowControl/>
      <w:pBdr>
        <w:left w:val="single" w:color="000000" w:sz="8" w:space="0"/>
        <w:bottom w:val="single" w:color="000000" w:sz="8" w:space="0"/>
        <w:right w:val="single" w:color="000000" w:sz="8"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styleId="47">
    <w:name w:val="List Paragraph"/>
    <w:basedOn w:val="1"/>
    <w:link w:val="56"/>
    <w:autoRedefine/>
    <w:qFormat/>
    <w:uiPriority w:val="34"/>
    <w:pPr>
      <w:ind w:firstLine="420" w:firstLineChars="200"/>
    </w:pPr>
  </w:style>
  <w:style w:type="paragraph" w:customStyle="1" w:styleId="48">
    <w:name w:val="xl77"/>
    <w:basedOn w:val="1"/>
    <w:autoRedefine/>
    <w:qFormat/>
    <w:uiPriority w:val="0"/>
    <w:pPr>
      <w:widowControl/>
      <w:pBdr>
        <w:top w:val="single" w:color="000000" w:sz="8" w:space="0"/>
        <w:left w:val="single" w:color="000000" w:sz="8" w:space="0"/>
        <w:right w:val="single" w:color="000000" w:sz="8"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49">
    <w:name w:val="xl78"/>
    <w:basedOn w:val="1"/>
    <w:qFormat/>
    <w:uiPriority w:val="0"/>
    <w:pPr>
      <w:widowControl/>
      <w:pBdr>
        <w:left w:val="single" w:color="000000" w:sz="8" w:space="0"/>
        <w:right w:val="single" w:color="000000" w:sz="8"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50">
    <w:name w:val="xl79"/>
    <w:basedOn w:val="1"/>
    <w:qFormat/>
    <w:uiPriority w:val="0"/>
    <w:pPr>
      <w:widowControl/>
      <w:pBdr>
        <w:left w:val="single" w:color="000000" w:sz="8" w:space="0"/>
        <w:bottom w:val="single" w:color="000000" w:sz="8" w:space="0"/>
        <w:right w:val="single" w:color="000000" w:sz="8"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51">
    <w:name w:val="xl80"/>
    <w:basedOn w:val="1"/>
    <w:qFormat/>
    <w:uiPriority w:val="0"/>
    <w:pPr>
      <w:widowControl/>
      <w:pBdr>
        <w:bottom w:val="single" w:color="000000" w:sz="8" w:space="0"/>
        <w:right w:val="single" w:color="000000" w:sz="8"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52">
    <w:name w:val="xl81"/>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53">
    <w:name w:val="00-正文 Char"/>
    <w:link w:val="27"/>
    <w:autoRedefine/>
    <w:qFormat/>
    <w:uiPriority w:val="0"/>
    <w:rPr>
      <w:rFonts w:eastAsia="仿宋_GB2312"/>
      <w:sz w:val="28"/>
      <w:szCs w:val="22"/>
      <w:lang w:val="zh-CN"/>
    </w:rPr>
  </w:style>
  <w:style w:type="paragraph" w:customStyle="1" w:styleId="54">
    <w:name w:val="Char Char1 Char Char Char Char Char Char"/>
    <w:basedOn w:val="1"/>
    <w:qFormat/>
    <w:uiPriority w:val="0"/>
    <w:pPr>
      <w:widowControl/>
      <w:spacing w:after="160" w:line="240" w:lineRule="exact"/>
      <w:jc w:val="left"/>
    </w:pPr>
    <w:rPr>
      <w:szCs w:val="20"/>
    </w:rPr>
  </w:style>
  <w:style w:type="character" w:customStyle="1" w:styleId="55">
    <w:name w:val="标题 4 字符"/>
    <w:basedOn w:val="17"/>
    <w:link w:val="5"/>
    <w:autoRedefine/>
    <w:semiHidden/>
    <w:qFormat/>
    <w:uiPriority w:val="9"/>
    <w:rPr>
      <w:rFonts w:asciiTheme="majorHAnsi" w:hAnsiTheme="majorHAnsi" w:eastAsiaTheme="majorEastAsia" w:cstheme="majorBidi"/>
      <w:b/>
      <w:bCs/>
      <w:kern w:val="2"/>
      <w:sz w:val="28"/>
      <w:szCs w:val="28"/>
    </w:rPr>
  </w:style>
  <w:style w:type="character" w:customStyle="1" w:styleId="56">
    <w:name w:val="列表段落 字符"/>
    <w:link w:val="47"/>
    <w:autoRedefine/>
    <w:qFormat/>
    <w:uiPriority w:val="34"/>
    <w:rPr>
      <w:rFonts w:eastAsia="仿宋_GB2312"/>
      <w:kern w:val="2"/>
      <w:sz w:val="32"/>
      <w:szCs w:val="32"/>
    </w:rPr>
  </w:style>
  <w:style w:type="character" w:customStyle="1" w:styleId="57">
    <w:name w:val="日期 字符"/>
    <w:basedOn w:val="17"/>
    <w:link w:val="7"/>
    <w:autoRedefine/>
    <w:semiHidden/>
    <w:qFormat/>
    <w:uiPriority w:val="99"/>
    <w:rPr>
      <w:rFonts w:eastAsia="仿宋_GB2312"/>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F82B56-1E7C-45F1-AFEC-2AF12772592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232</Words>
  <Characters>1328</Characters>
  <Lines>11</Lines>
  <Paragraphs>3</Paragraphs>
  <TotalTime>14</TotalTime>
  <ScaleCrop>false</ScaleCrop>
  <LinksUpToDate>false</LinksUpToDate>
  <CharactersWithSpaces>1557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2020-07-14T00:50:00Z</dcterms:created>
  <dc:creator>杜凯</dc:creator>
  <cp:lastModifiedBy>WPS_1694004752</cp:lastModifiedBy>
  <cp:lastPrinted>2024-02-05T04:02:00Z</cp:lastPrinted>
  <dcterms:modified xsi:type="dcterms:W3CDTF">2024-02-14T13:42:55Z</dcterms:modified>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935574D03ACF4FF69818F4D6083048A3_13</vt:lpwstr>
  </property>
</Properties>
</file>