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jc w:val="center"/>
        <w:rPr>
          <w:rFonts w:ascii="方正小标宋简体" w:hAnsi="方正小标宋简体" w:eastAsia="方正小标宋简体" w:cs="方正小标宋简体"/>
          <w:color w:val="000000"/>
          <w:w w:val="90"/>
          <w:sz w:val="36"/>
          <w:szCs w:val="36"/>
        </w:rPr>
      </w:pPr>
      <w:r>
        <w:rPr>
          <w:rFonts w:hint="eastAsia" w:ascii="方正小标宋简体" w:hAnsi="方正小标宋简体" w:eastAsia="方正小标宋简体" w:cs="方正小标宋简体"/>
          <w:color w:val="000000"/>
          <w:w w:val="90"/>
          <w:sz w:val="36"/>
          <w:szCs w:val="36"/>
        </w:rPr>
        <w:t>河北雄安新区首届创新创业大赛暨第三届“中国创翼”</w:t>
      </w:r>
      <w:r>
        <w:rPr>
          <w:rFonts w:hint="eastAsia" w:ascii="方正小标宋简体" w:hAnsi="方正小标宋简体" w:eastAsia="方正小标宋简体" w:cs="方正小标宋简体"/>
          <w:color w:val="000000"/>
          <w:w w:val="85"/>
          <w:sz w:val="36"/>
          <w:szCs w:val="36"/>
        </w:rPr>
        <w:t>创业创新大赛雄安新区选拔赛创业（商业）计划书模板</w:t>
      </w:r>
    </w:p>
    <w:p>
      <w:pPr>
        <w:widowControl/>
        <w:snapToGrid w:val="0"/>
        <w:spacing w:beforeLines="50" w:line="360" w:lineRule="auto"/>
        <w:jc w:val="left"/>
        <w:rPr>
          <w:rFonts w:ascii="黑体" w:eastAsia="黑体" w:cs="黑体"/>
          <w:color w:val="000000"/>
          <w:sz w:val="32"/>
          <w:szCs w:val="32"/>
          <w:shd w:val="clear" w:color="auto" w:fill="FFFFFF"/>
        </w:rPr>
      </w:pPr>
      <w:r>
        <w:rPr>
          <w:rFonts w:hint="eastAsia" w:ascii="黑体" w:eastAsia="黑体" w:cs="黑体"/>
          <w:color w:val="000000"/>
          <w:kern w:val="0"/>
          <w:sz w:val="32"/>
          <w:szCs w:val="32"/>
          <w:shd w:val="clear" w:color="auto" w:fill="FFFFFF"/>
        </w:rPr>
        <w:t>一、执行摘要</w:t>
      </w:r>
    </w:p>
    <w:tbl>
      <w:tblPr>
        <w:tblStyle w:val="4"/>
        <w:tblW w:w="9329"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76" w:hRule="atLeast"/>
          <w:jc w:val="center"/>
        </w:trPr>
        <w:tc>
          <w:tcPr>
            <w:tcW w:w="1792"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atLeast"/>
          <w:jc w:val="center"/>
        </w:trPr>
        <w:tc>
          <w:tcPr>
            <w:tcW w:w="1792"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注册资金</w:t>
            </w:r>
          </w:p>
        </w:tc>
        <w:tc>
          <w:tcPr>
            <w:tcW w:w="7537" w:type="dxa"/>
            <w:gridSpan w:val="6"/>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82" w:hRule="atLeast"/>
          <w:jc w:val="center"/>
        </w:trPr>
        <w:tc>
          <w:tcPr>
            <w:tcW w:w="1792"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公司类型</w:t>
            </w:r>
          </w:p>
        </w:tc>
        <w:tc>
          <w:tcPr>
            <w:tcW w:w="7537" w:type="dxa"/>
            <w:gridSpan w:val="6"/>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 有限责任公司  □ 个体工商户  □ 个人独资企业  □ 合伙企业</w:t>
            </w:r>
          </w:p>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93" w:hRule="atLeast"/>
          <w:jc w:val="center"/>
        </w:trPr>
        <w:tc>
          <w:tcPr>
            <w:tcW w:w="1792"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描述经营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01" w:hRule="atLeast"/>
          <w:jc w:val="center"/>
        </w:trPr>
        <w:tc>
          <w:tcPr>
            <w:tcW w:w="1792"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市场机会</w:t>
            </w:r>
          </w:p>
        </w:tc>
        <w:tc>
          <w:tcPr>
            <w:tcW w:w="7537" w:type="dxa"/>
            <w:gridSpan w:val="6"/>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指已经出现或即将出现在市场上，但未得到实现或完全实现的市场需求。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35" w:hRule="atLeast"/>
          <w:jc w:val="center"/>
        </w:trPr>
        <w:tc>
          <w:tcPr>
            <w:tcW w:w="1792"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商业模式</w:t>
            </w:r>
          </w:p>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（盈利模式）</w:t>
            </w:r>
          </w:p>
        </w:tc>
        <w:tc>
          <w:tcPr>
            <w:tcW w:w="7537" w:type="dxa"/>
            <w:gridSpan w:val="6"/>
            <w:tcBorders>
              <w:top w:val="single" w:color="000000" w:sz="8" w:space="0"/>
              <w:left w:val="single" w:color="000000" w:sz="8" w:space="0"/>
              <w:bottom w:val="single" w:color="000000" w:sz="8" w:space="0"/>
              <w:right w:val="single" w:color="000000" w:sz="8" w:space="0"/>
            </w:tcBorders>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7" w:hRule="atLeast"/>
          <w:jc w:val="center"/>
        </w:trPr>
        <w:tc>
          <w:tcPr>
            <w:tcW w:w="1792"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投资额（元）</w:t>
            </w:r>
          </w:p>
        </w:tc>
        <w:tc>
          <w:tcPr>
            <w:tcW w:w="2443"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p>
        </w:tc>
        <w:tc>
          <w:tcPr>
            <w:tcW w:w="3449" w:type="dxa"/>
            <w:gridSpan w:val="3"/>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7" w:hRule="exact"/>
          <w:jc w:val="center"/>
        </w:trPr>
        <w:tc>
          <w:tcPr>
            <w:tcW w:w="1792" w:type="dxa"/>
            <w:vMerge w:val="restart"/>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第一年</w:t>
            </w:r>
          </w:p>
        </w:tc>
        <w:tc>
          <w:tcPr>
            <w:tcW w:w="2874" w:type="dxa"/>
            <w:gridSpan w:val="2"/>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第二年</w:t>
            </w:r>
          </w:p>
        </w:tc>
        <w:tc>
          <w:tcPr>
            <w:tcW w:w="2220" w:type="dxa"/>
            <w:gridSpan w:val="3"/>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4" w:hRule="exact"/>
          <w:jc w:val="center"/>
        </w:trPr>
        <w:tc>
          <w:tcPr>
            <w:tcW w:w="179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p>
        </w:tc>
        <w:tc>
          <w:tcPr>
            <w:tcW w:w="2443"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p>
        </w:tc>
        <w:tc>
          <w:tcPr>
            <w:tcW w:w="1898"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年增长率</w:t>
            </w:r>
          </w:p>
        </w:tc>
        <w:tc>
          <w:tcPr>
            <w:tcW w:w="976"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w:t>
            </w:r>
          </w:p>
        </w:tc>
        <w:tc>
          <w:tcPr>
            <w:tcW w:w="1294" w:type="dxa"/>
            <w:gridSpan w:val="2"/>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年增长率</w:t>
            </w:r>
          </w:p>
        </w:tc>
        <w:tc>
          <w:tcPr>
            <w:tcW w:w="926"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7" w:hRule="exact"/>
          <w:jc w:val="center"/>
        </w:trPr>
        <w:tc>
          <w:tcPr>
            <w:tcW w:w="1792" w:type="dxa"/>
            <w:vMerge w:val="restart"/>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备  注</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560" w:lineRule="exact"/>
              <w:rPr>
                <w:rFonts w:ascii="仿宋" w:hAnsi="仿宋" w:eastAsia="仿宋" w:cs="仿宋"/>
                <w:color w:val="000000"/>
                <w:szCs w:val="21"/>
              </w:rPr>
            </w:pPr>
            <w:r>
              <w:rPr>
                <w:rFonts w:hint="eastAsia" w:ascii="仿宋" w:hAnsi="仿宋" w:eastAsia="仿宋" w:cs="仿宋"/>
                <w:color w:val="000000"/>
                <w:kern w:val="0"/>
                <w:szCs w:val="21"/>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7" w:hRule="atLeast"/>
          <w:jc w:val="center"/>
        </w:trPr>
        <w:tc>
          <w:tcPr>
            <w:tcW w:w="179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560" w:lineRule="exact"/>
              <w:rPr>
                <w:rFonts w:ascii="仿宋" w:hAnsi="仿宋" w:eastAsia="仿宋" w:cs="仿宋"/>
                <w:color w:val="000000"/>
                <w:szCs w:val="21"/>
              </w:rPr>
            </w:pPr>
            <w:r>
              <w:rPr>
                <w:rFonts w:hint="eastAsia" w:ascii="仿宋" w:hAnsi="仿宋" w:eastAsia="仿宋" w:cs="仿宋"/>
                <w:color w:val="000000"/>
                <w:kern w:val="0"/>
                <w:szCs w:val="21"/>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0" w:hRule="atLeast"/>
          <w:jc w:val="center"/>
        </w:trPr>
        <w:tc>
          <w:tcPr>
            <w:tcW w:w="179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560" w:lineRule="exact"/>
              <w:rPr>
                <w:rFonts w:ascii="仿宋" w:hAnsi="仿宋" w:eastAsia="仿宋" w:cs="仿宋"/>
                <w:color w:val="000000"/>
                <w:szCs w:val="21"/>
              </w:rPr>
            </w:pPr>
            <w:r>
              <w:rPr>
                <w:rFonts w:hint="eastAsia" w:ascii="仿宋" w:hAnsi="仿宋" w:eastAsia="仿宋" w:cs="仿宋"/>
                <w:color w:val="000000"/>
                <w:kern w:val="0"/>
                <w:szCs w:val="21"/>
              </w:rPr>
              <w:t>此表中“总投资额”项的金额等于资金需求合计</w:t>
            </w:r>
          </w:p>
        </w:tc>
      </w:tr>
    </w:tbl>
    <w:p>
      <w:pPr>
        <w:widowControl/>
        <w:snapToGrid w:val="0"/>
        <w:spacing w:line="360" w:lineRule="auto"/>
        <w:jc w:val="left"/>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br w:type="page"/>
      </w:r>
      <w:r>
        <w:rPr>
          <w:rFonts w:hint="eastAsia" w:ascii="黑体" w:hAnsi="黑体" w:eastAsia="黑体" w:cs="黑体"/>
          <w:color w:val="000000"/>
          <w:kern w:val="0"/>
          <w:sz w:val="32"/>
          <w:szCs w:val="32"/>
          <w:shd w:val="clear" w:color="auto" w:fill="FFFFFF"/>
        </w:rPr>
        <w:t>二、市场分析</w:t>
      </w:r>
      <w:bookmarkStart w:id="0" w:name="_Toc234146997"/>
    </w:p>
    <w:bookmarkEnd w:id="0"/>
    <w:tbl>
      <w:tblPr>
        <w:tblStyle w:val="4"/>
        <w:tblW w:w="924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93" w:hRule="atLeast"/>
          <w:jc w:val="center"/>
        </w:trPr>
        <w:tc>
          <w:tcPr>
            <w:tcW w:w="162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市场定位</w:t>
            </w:r>
          </w:p>
        </w:tc>
        <w:tc>
          <w:tcPr>
            <w:tcW w:w="762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1、产品定位：侧重于产品实体定位质量/成本/特征/性能/可靠性/实用性/款式</w:t>
            </w:r>
          </w:p>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2、竞争定位：确定企业相对与竞争者的市场位置</w:t>
            </w:r>
          </w:p>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3、消费者定位：确定企业的目标顾客群 ，指你究竟想要把产品卖给谁？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目标客户</w:t>
            </w:r>
          </w:p>
        </w:tc>
        <w:tc>
          <w:tcPr>
            <w:tcW w:w="762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市场预测</w:t>
            </w:r>
          </w:p>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（市场占有率）</w:t>
            </w:r>
          </w:p>
        </w:tc>
        <w:tc>
          <w:tcPr>
            <w:tcW w:w="762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在已有“市场机会”的基础上着重分析市场容量等市场需求情况及其变化趋势；企业提供的产品或服务所占的市场份额。</w:t>
            </w:r>
          </w:p>
        </w:tc>
      </w:tr>
    </w:tbl>
    <w:p>
      <w:pPr>
        <w:widowControl/>
        <w:snapToGrid w:val="0"/>
        <w:spacing w:beforeLines="50" w:line="480" w:lineRule="auto"/>
        <w:jc w:val="left"/>
        <w:rPr>
          <w:rFonts w:ascii="黑体" w:hAnsi="黑体" w:eastAsia="黑体" w:cs="黑体"/>
          <w:color w:val="000000"/>
          <w:kern w:val="0"/>
          <w:sz w:val="32"/>
          <w:szCs w:val="32"/>
          <w:shd w:val="clear" w:color="auto" w:fill="FFFFFF"/>
        </w:rPr>
      </w:pPr>
      <w:bookmarkStart w:id="1" w:name="_Toc256779581"/>
      <w:r>
        <w:rPr>
          <w:rFonts w:hint="eastAsia" w:ascii="黑体" w:hAnsi="黑体" w:eastAsia="黑体" w:cs="黑体"/>
          <w:color w:val="000000"/>
          <w:kern w:val="0"/>
          <w:sz w:val="32"/>
          <w:szCs w:val="32"/>
          <w:shd w:val="clear" w:color="auto" w:fill="FFFFFF"/>
        </w:rPr>
        <w:t>三、营销策略</w:t>
      </w:r>
    </w:p>
    <w:tbl>
      <w:tblPr>
        <w:tblStyle w:val="4"/>
        <w:tblW w:w="92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szCs w:val="21"/>
              </w:rPr>
              <w:t>营销计划</w:t>
            </w:r>
          </w:p>
        </w:tc>
        <w:tc>
          <w:tcPr>
            <w:tcW w:w="7844" w:type="dxa"/>
            <w:tcBorders>
              <w:top w:val="single" w:color="auto" w:sz="8" w:space="0"/>
              <w:left w:val="single" w:color="auto" w:sz="8" w:space="0"/>
              <w:bottom w:val="single" w:color="auto" w:sz="8" w:space="0"/>
              <w:right w:val="single" w:color="auto"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18" w:hRule="atLeast"/>
          <w:jc w:val="center"/>
        </w:trPr>
        <w:tc>
          <w:tcPr>
            <w:tcW w:w="1416"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szCs w:val="21"/>
              </w:rPr>
              <w:t>竞争分析</w:t>
            </w:r>
          </w:p>
        </w:tc>
        <w:tc>
          <w:tcPr>
            <w:tcW w:w="7844" w:type="dxa"/>
            <w:tcBorders>
              <w:top w:val="single" w:color="auto" w:sz="8" w:space="0"/>
              <w:left w:val="single" w:color="auto" w:sz="8" w:space="0"/>
              <w:bottom w:val="single" w:color="auto" w:sz="8" w:space="0"/>
              <w:right w:val="single" w:color="auto" w:sz="8" w:space="0"/>
            </w:tcBorders>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列出在本公司目标市场中的1-3个主要竞争者；分析竞争者的优势和劣势。</w:t>
            </w:r>
          </w:p>
          <w:p>
            <w:pPr>
              <w:widowControl/>
              <w:spacing w:line="560" w:lineRule="exact"/>
              <w:rPr>
                <w:rFonts w:ascii="仿宋" w:hAnsi="仿宋" w:eastAsia="仿宋" w:cs="仿宋"/>
                <w:color w:val="000000"/>
                <w:szCs w:val="21"/>
              </w:rPr>
            </w:pPr>
          </w:p>
        </w:tc>
      </w:tr>
    </w:tbl>
    <w:p>
      <w:pPr>
        <w:widowControl/>
        <w:snapToGrid w:val="0"/>
        <w:spacing w:beforeLines="50" w:line="480" w:lineRule="auto"/>
        <w:jc w:val="lef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四、管理团队</w:t>
      </w:r>
    </w:p>
    <w:bookmarkEnd w:id="1"/>
    <w:tbl>
      <w:tblPr>
        <w:tblStyle w:val="4"/>
        <w:tblW w:w="920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姓名</w:t>
            </w: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年龄</w:t>
            </w: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职务</w:t>
            </w: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学历及专业</w:t>
            </w: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主要工作经历</w:t>
            </w:r>
          </w:p>
        </w:tc>
        <w:tc>
          <w:tcPr>
            <w:tcW w:w="2378"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78"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78"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78"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78"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80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78"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bl>
    <w:p>
      <w:pPr>
        <w:widowControl/>
        <w:snapToGrid w:val="0"/>
        <w:spacing w:beforeLines="50"/>
        <w:jc w:val="lef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五、财务分析报告</w:t>
      </w:r>
      <w:bookmarkStart w:id="2" w:name="_Toc256779598"/>
    </w:p>
    <w:p>
      <w:pPr>
        <w:widowControl/>
        <w:snapToGrid w:val="0"/>
        <w:spacing w:line="560" w:lineRule="exact"/>
        <w:jc w:val="left"/>
        <w:rPr>
          <w:rFonts w:ascii="仿宋" w:hAnsi="仿宋" w:eastAsia="仿宋" w:cs="仿宋"/>
          <w:color w:val="000000"/>
          <w:sz w:val="24"/>
          <w:shd w:val="clear" w:color="auto" w:fill="FFFFFF"/>
        </w:rPr>
      </w:pPr>
      <w:r>
        <w:rPr>
          <w:rFonts w:hint="eastAsia" w:ascii="楷体_GB2312" w:hAnsi="楷体_GB2312" w:eastAsia="楷体_GB2312" w:cs="楷体_GB2312"/>
          <w:bCs/>
          <w:color w:val="000000"/>
          <w:kern w:val="0"/>
          <w:sz w:val="24"/>
          <w:shd w:val="clear" w:color="auto" w:fill="FFFFFF"/>
        </w:rPr>
        <w:t xml:space="preserve">（一）启动资金来源 </w:t>
      </w:r>
      <w:r>
        <w:rPr>
          <w:rFonts w:hint="eastAsia" w:ascii="仿宋" w:hAnsi="仿宋" w:eastAsia="仿宋" w:cs="仿宋"/>
          <w:b/>
          <w:color w:val="000000"/>
          <w:kern w:val="0"/>
          <w:sz w:val="24"/>
          <w:shd w:val="clear" w:color="auto" w:fill="FFFFFF"/>
        </w:rPr>
        <w:t xml:space="preserve">                                          </w:t>
      </w:r>
      <w:r>
        <w:rPr>
          <w:rFonts w:hint="eastAsia" w:ascii="仿宋" w:hAnsi="仿宋" w:eastAsia="仿宋" w:cs="仿宋"/>
          <w:color w:val="000000"/>
          <w:kern w:val="0"/>
          <w:sz w:val="24"/>
          <w:shd w:val="clear" w:color="auto" w:fill="FFFFFF"/>
        </w:rPr>
        <w:t xml:space="preserve">  单位：万元</w:t>
      </w:r>
      <w:bookmarkEnd w:id="2"/>
    </w:p>
    <w:tbl>
      <w:tblPr>
        <w:tblStyle w:val="4"/>
        <w:tblW w:w="8693" w:type="dxa"/>
        <w:tblInd w:w="0" w:type="dxa"/>
        <w:tblLayout w:type="fixed"/>
        <w:tblCellMar>
          <w:top w:w="0" w:type="dxa"/>
          <w:left w:w="108" w:type="dxa"/>
          <w:bottom w:w="0" w:type="dxa"/>
          <w:right w:w="108" w:type="dxa"/>
        </w:tblCellMar>
      </w:tblPr>
      <w:tblGrid>
        <w:gridCol w:w="1517"/>
        <w:gridCol w:w="2341"/>
        <w:gridCol w:w="2451"/>
        <w:gridCol w:w="2384"/>
      </w:tblGrid>
      <w:tr>
        <w:tblPrEx>
          <w:tblLayout w:type="fixed"/>
          <w:tblCellMar>
            <w:top w:w="0" w:type="dxa"/>
            <w:left w:w="108" w:type="dxa"/>
            <w:bottom w:w="0" w:type="dxa"/>
            <w:right w:w="108" w:type="dxa"/>
          </w:tblCellMar>
        </w:tblPrEx>
        <w:trPr>
          <w:trHeight w:val="56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筹资渠道</w:t>
            </w:r>
          </w:p>
        </w:tc>
        <w:tc>
          <w:tcPr>
            <w:tcW w:w="234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金额</w:t>
            </w:r>
          </w:p>
        </w:tc>
        <w:tc>
          <w:tcPr>
            <w:tcW w:w="2384"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占投资总额比例</w:t>
            </w:r>
          </w:p>
        </w:tc>
      </w:tr>
      <w:tr>
        <w:tblPrEx>
          <w:tblLayout w:type="fixed"/>
          <w:tblCellMar>
            <w:top w:w="0" w:type="dxa"/>
            <w:left w:w="108" w:type="dxa"/>
            <w:bottom w:w="0" w:type="dxa"/>
            <w:right w:w="108" w:type="dxa"/>
          </w:tblCellMar>
        </w:tblPrEx>
        <w:trPr>
          <w:trHeight w:val="56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自有资金</w:t>
            </w:r>
          </w:p>
        </w:tc>
        <w:tc>
          <w:tcPr>
            <w:tcW w:w="234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股东</w:t>
            </w:r>
          </w:p>
        </w:tc>
        <w:tc>
          <w:tcPr>
            <w:tcW w:w="245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84"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w:t>
            </w:r>
          </w:p>
        </w:tc>
      </w:tr>
      <w:tr>
        <w:tblPrEx>
          <w:tblLayout w:type="fixed"/>
          <w:tblCellMar>
            <w:top w:w="0" w:type="dxa"/>
            <w:left w:w="108" w:type="dxa"/>
            <w:bottom w:w="0" w:type="dxa"/>
            <w:right w:w="108" w:type="dxa"/>
          </w:tblCellMar>
        </w:tblPrEx>
        <w:trPr>
          <w:trHeight w:val="56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私人拆借</w:t>
            </w:r>
          </w:p>
        </w:tc>
        <w:tc>
          <w:tcPr>
            <w:tcW w:w="234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亲属、朋友</w:t>
            </w:r>
          </w:p>
        </w:tc>
        <w:tc>
          <w:tcPr>
            <w:tcW w:w="245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84"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w:t>
            </w:r>
          </w:p>
        </w:tc>
      </w:tr>
      <w:tr>
        <w:tblPrEx>
          <w:tblLayout w:type="fixed"/>
          <w:tblCellMar>
            <w:top w:w="0" w:type="dxa"/>
            <w:left w:w="108" w:type="dxa"/>
            <w:bottom w:w="0" w:type="dxa"/>
            <w:right w:w="108" w:type="dxa"/>
          </w:tblCellMar>
        </w:tblPrEx>
        <w:trPr>
          <w:trHeight w:val="56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银行贷款</w:t>
            </w:r>
          </w:p>
        </w:tc>
        <w:tc>
          <w:tcPr>
            <w:tcW w:w="234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银行</w:t>
            </w:r>
          </w:p>
        </w:tc>
        <w:tc>
          <w:tcPr>
            <w:tcW w:w="245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84"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w:t>
            </w:r>
          </w:p>
        </w:tc>
      </w:tr>
      <w:tr>
        <w:tblPrEx>
          <w:tblLayout w:type="fixed"/>
          <w:tblCellMar>
            <w:top w:w="0" w:type="dxa"/>
            <w:left w:w="108" w:type="dxa"/>
            <w:bottom w:w="0" w:type="dxa"/>
            <w:right w:w="108" w:type="dxa"/>
          </w:tblCellMar>
        </w:tblPrEx>
        <w:trPr>
          <w:trHeight w:val="56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政府小额贷款</w:t>
            </w:r>
          </w:p>
        </w:tc>
        <w:tc>
          <w:tcPr>
            <w:tcW w:w="234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政府相关部门</w:t>
            </w:r>
          </w:p>
        </w:tc>
        <w:tc>
          <w:tcPr>
            <w:tcW w:w="245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84"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w:t>
            </w:r>
          </w:p>
        </w:tc>
      </w:tr>
      <w:tr>
        <w:tblPrEx>
          <w:tblLayout w:type="fixed"/>
          <w:tblCellMar>
            <w:top w:w="0" w:type="dxa"/>
            <w:left w:w="108" w:type="dxa"/>
            <w:bottom w:w="0" w:type="dxa"/>
            <w:right w:w="108" w:type="dxa"/>
          </w:tblCellMar>
        </w:tblPrEx>
        <w:trPr>
          <w:trHeight w:val="56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总计</w:t>
            </w:r>
          </w:p>
        </w:tc>
        <w:tc>
          <w:tcPr>
            <w:tcW w:w="234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451"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2384" w:type="dxa"/>
            <w:tcBorders>
              <w:top w:val="single" w:color="000000" w:sz="8" w:space="0"/>
              <w:left w:val="nil"/>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w:t>
            </w:r>
          </w:p>
        </w:tc>
      </w:tr>
    </w:tbl>
    <w:p>
      <w:pPr>
        <w:widowControl/>
        <w:snapToGrid w:val="0"/>
        <w:spacing w:line="560" w:lineRule="exact"/>
        <w:jc w:val="left"/>
        <w:rPr>
          <w:rFonts w:ascii="仿宋" w:hAnsi="仿宋" w:eastAsia="仿宋" w:cs="仿宋"/>
          <w:color w:val="000000"/>
          <w:sz w:val="24"/>
          <w:shd w:val="clear" w:color="auto" w:fill="FFFFFF"/>
        </w:rPr>
      </w:pPr>
      <w:r>
        <w:rPr>
          <w:rFonts w:hint="eastAsia" w:ascii="楷体_GB2312" w:hAnsi="楷体_GB2312" w:eastAsia="楷体_GB2312" w:cs="楷体_GB2312"/>
          <w:bCs/>
          <w:color w:val="000000"/>
          <w:kern w:val="0"/>
          <w:sz w:val="24"/>
          <w:shd w:val="clear" w:color="auto" w:fill="FFFFFF"/>
        </w:rPr>
        <w:t xml:space="preserve">（二）最近年度利润（创新团队可不填） </w:t>
      </w:r>
      <w:r>
        <w:rPr>
          <w:rFonts w:hint="eastAsia" w:ascii="仿宋" w:hAnsi="仿宋" w:eastAsia="仿宋" w:cs="仿宋"/>
          <w:b/>
          <w:color w:val="000000"/>
          <w:kern w:val="0"/>
          <w:sz w:val="24"/>
          <w:shd w:val="clear" w:color="auto" w:fill="FFFFFF"/>
        </w:rPr>
        <w:t xml:space="preserve">           </w:t>
      </w:r>
      <w:r>
        <w:rPr>
          <w:rFonts w:hint="eastAsia" w:ascii="仿宋" w:hAnsi="仿宋" w:eastAsia="仿宋" w:cs="仿宋"/>
          <w:color w:val="000000"/>
          <w:kern w:val="0"/>
          <w:sz w:val="24"/>
          <w:shd w:val="clear" w:color="auto" w:fill="FFFFFF"/>
        </w:rPr>
        <w:t xml:space="preserve">               单位：万元</w:t>
      </w:r>
    </w:p>
    <w:tbl>
      <w:tblPr>
        <w:tblStyle w:val="4"/>
        <w:tblW w:w="882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项  目</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 w:hAnsi="仿宋" w:eastAsia="仿宋" w:cs="仿宋"/>
                <w:b/>
                <w:color w:val="000000"/>
                <w:szCs w:val="21"/>
              </w:rPr>
            </w:pPr>
            <w:r>
              <w:rPr>
                <w:rFonts w:hint="eastAsia" w:ascii="仿宋" w:hAnsi="仿宋" w:eastAsia="仿宋" w:cs="仿宋"/>
                <w:b/>
                <w:color w:val="000000"/>
                <w:kern w:val="0"/>
                <w:szCs w:val="21"/>
              </w:rPr>
              <w:t>15年期末余额</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 w:hAnsi="仿宋" w:eastAsia="仿宋" w:cs="仿宋"/>
                <w:b/>
                <w:color w:val="000000"/>
                <w:szCs w:val="21"/>
              </w:rPr>
            </w:pPr>
            <w:r>
              <w:rPr>
                <w:rFonts w:hint="eastAsia" w:ascii="仿宋" w:hAnsi="仿宋" w:eastAsia="仿宋" w:cs="仿宋"/>
                <w:b/>
                <w:color w:val="000000"/>
                <w:kern w:val="0"/>
                <w:szCs w:val="21"/>
              </w:rPr>
              <w:t>16年期末余额</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 w:hAnsi="仿宋" w:eastAsia="仿宋" w:cs="仿宋"/>
                <w:b/>
                <w:color w:val="000000"/>
                <w:szCs w:val="21"/>
              </w:rPr>
            </w:pPr>
            <w:r>
              <w:rPr>
                <w:rFonts w:hint="eastAsia" w:ascii="仿宋" w:hAnsi="仿宋" w:eastAsia="仿宋" w:cs="仿宋"/>
                <w:b/>
                <w:color w:val="000000"/>
                <w:kern w:val="0"/>
                <w:szCs w:val="21"/>
              </w:rPr>
              <w:t>17年期末余额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一、主营业务收入</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加：其他收入</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减：主营业务成本</w:t>
            </w: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生产/采购成本</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营业税金及附加(按5.5%计算)</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变动销售费用</w:t>
            </w: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销售提成</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000000"/>
                <w:szCs w:val="21"/>
              </w:rPr>
            </w:pPr>
            <w:r>
              <w:rPr>
                <w:rFonts w:hint="eastAsia" w:ascii="仿宋" w:hAnsi="仿宋" w:eastAsia="仿宋" w:cs="仿宋"/>
                <w:color w:val="000000"/>
                <w:kern w:val="0"/>
                <w:szCs w:val="21"/>
              </w:rPr>
              <w:t>边际贡献率(%)=（主营业务收入-主营业务成本-营业税金-销售提成）/主营业务收入</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rPr>
                <w:rFonts w:ascii="仿宋" w:hAnsi="仿宋" w:eastAsia="仿宋" w:cs="仿宋"/>
                <w:color w:val="000000"/>
                <w:szCs w:val="21"/>
              </w:rPr>
            </w:pPr>
            <w:r>
              <w:rPr>
                <w:rFonts w:hint="eastAsia" w:ascii="仿宋" w:hAnsi="仿宋" w:eastAsia="仿宋" w:cs="仿宋"/>
                <w:color w:val="000000"/>
                <w:kern w:val="0"/>
                <w:szCs w:val="21"/>
              </w:rPr>
              <w:t>固定销售费用</w:t>
            </w: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宣传推广费</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vMerge w:val="restart"/>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rPr>
                <w:rFonts w:ascii="仿宋" w:hAnsi="仿宋" w:eastAsia="仿宋" w:cs="仿宋"/>
                <w:color w:val="000000"/>
                <w:szCs w:val="21"/>
              </w:rPr>
            </w:pPr>
            <w:r>
              <w:rPr>
                <w:rFonts w:hint="eastAsia" w:ascii="仿宋" w:hAnsi="仿宋" w:eastAsia="仿宋" w:cs="仿宋"/>
                <w:color w:val="000000"/>
                <w:kern w:val="0"/>
                <w:szCs w:val="21"/>
              </w:rPr>
              <w:t>管理费用</w:t>
            </w: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场地租金</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员工薪酬</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办公用品及耗材</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水、电、交通差旅费</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固定资产折旧</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其他管理费用</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2524"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rPr>
                <w:rFonts w:ascii="仿宋" w:hAnsi="仿宋" w:eastAsia="仿宋" w:cs="仿宋"/>
                <w:color w:val="000000"/>
                <w:szCs w:val="21"/>
              </w:rPr>
            </w:pPr>
            <w:r>
              <w:rPr>
                <w:rFonts w:hint="eastAsia" w:ascii="仿宋" w:hAnsi="仿宋" w:eastAsia="仿宋" w:cs="仿宋"/>
                <w:color w:val="000000"/>
                <w:kern w:val="0"/>
                <w:szCs w:val="21"/>
              </w:rPr>
              <w:t>财务费用</w:t>
            </w:r>
          </w:p>
        </w:tc>
        <w:tc>
          <w:tcPr>
            <w:tcW w:w="305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left"/>
              <w:rPr>
                <w:rFonts w:ascii="仿宋" w:hAnsi="仿宋" w:eastAsia="仿宋" w:cs="仿宋"/>
                <w:color w:val="000000"/>
                <w:szCs w:val="21"/>
              </w:rPr>
            </w:pPr>
            <w:r>
              <w:rPr>
                <w:rFonts w:hint="eastAsia" w:ascii="仿宋" w:hAnsi="仿宋" w:eastAsia="仿宋" w:cs="仿宋"/>
                <w:color w:val="000000"/>
                <w:kern w:val="0"/>
                <w:szCs w:val="21"/>
              </w:rPr>
              <w:t>利息支出</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rPr>
                <w:rFonts w:ascii="仿宋" w:hAnsi="仿宋" w:eastAsia="仿宋" w:cs="仿宋"/>
                <w:color w:val="000000"/>
                <w:szCs w:val="21"/>
              </w:rPr>
            </w:pPr>
            <w:r>
              <w:rPr>
                <w:rFonts w:hint="eastAsia" w:ascii="仿宋" w:hAnsi="仿宋" w:eastAsia="仿宋" w:cs="仿宋"/>
                <w:color w:val="000000"/>
                <w:kern w:val="0"/>
                <w:szCs w:val="21"/>
              </w:rPr>
              <w:t>二、营业利润</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rPr>
                <w:rFonts w:ascii="仿宋" w:hAnsi="仿宋" w:eastAsia="仿宋" w:cs="仿宋"/>
                <w:color w:val="000000"/>
                <w:szCs w:val="21"/>
              </w:rPr>
            </w:pPr>
            <w:r>
              <w:rPr>
                <w:rFonts w:hint="eastAsia" w:ascii="仿宋" w:hAnsi="仿宋" w:eastAsia="仿宋" w:cs="仿宋"/>
                <w:color w:val="000000"/>
                <w:kern w:val="0"/>
                <w:szCs w:val="21"/>
              </w:rPr>
              <w:t>减：所得税费用（按25％计算）</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rPr>
                <w:rFonts w:ascii="仿宋" w:hAnsi="仿宋" w:eastAsia="仿宋" w:cs="仿宋"/>
                <w:color w:val="000000"/>
                <w:szCs w:val="21"/>
              </w:rPr>
            </w:pPr>
            <w:r>
              <w:rPr>
                <w:rFonts w:hint="eastAsia" w:ascii="仿宋" w:hAnsi="仿宋" w:eastAsia="仿宋" w:cs="仿宋"/>
                <w:color w:val="000000"/>
                <w:kern w:val="0"/>
                <w:szCs w:val="21"/>
              </w:rPr>
              <w:t>三、净利润</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8820" w:type="dxa"/>
            <w:gridSpan w:val="5"/>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备注：员工薪酬包括企业主薪酬和职工薪酬，本计划书所提到的员工薪酬都符合该条件。</w:t>
            </w:r>
          </w:p>
        </w:tc>
      </w:tr>
    </w:tbl>
    <w:p>
      <w:pPr>
        <w:widowControl/>
        <w:snapToGrid w:val="0"/>
        <w:spacing w:line="560" w:lineRule="exact"/>
        <w:jc w:val="left"/>
        <w:rPr>
          <w:rFonts w:ascii="仿宋" w:hAnsi="仿宋" w:eastAsia="仿宋" w:cs="仿宋"/>
          <w:color w:val="000000"/>
          <w:sz w:val="24"/>
          <w:shd w:val="clear" w:color="auto" w:fill="FFFFFF"/>
        </w:rPr>
      </w:pPr>
      <w:r>
        <w:rPr>
          <w:rFonts w:hint="eastAsia" w:ascii="楷体_GB2312" w:hAnsi="楷体_GB2312" w:eastAsia="楷体_GB2312" w:cs="楷体_GB2312"/>
          <w:color w:val="000000"/>
          <w:kern w:val="0"/>
          <w:sz w:val="28"/>
          <w:szCs w:val="28"/>
          <w:shd w:val="clear" w:color="auto" w:fill="FFFFFF"/>
        </w:rPr>
        <w:t xml:space="preserve">（三）利润预测 </w:t>
      </w:r>
      <w:r>
        <w:rPr>
          <w:rFonts w:hint="eastAsia" w:ascii="仿宋" w:hAnsi="仿宋" w:eastAsia="仿宋" w:cs="仿宋"/>
          <w:b/>
          <w:color w:val="000000"/>
          <w:kern w:val="0"/>
          <w:sz w:val="24"/>
          <w:shd w:val="clear" w:color="auto" w:fill="FFFFFF"/>
        </w:rPr>
        <w:t xml:space="preserve">                                              </w:t>
      </w:r>
      <w:r>
        <w:rPr>
          <w:rFonts w:hint="eastAsia" w:ascii="仿宋" w:hAnsi="仿宋" w:eastAsia="仿宋" w:cs="仿宋"/>
          <w:color w:val="000000"/>
          <w:kern w:val="0"/>
          <w:sz w:val="24"/>
          <w:shd w:val="clear" w:color="auto" w:fill="FFFFFF"/>
        </w:rPr>
        <w:t>单位：万元</w:t>
      </w:r>
    </w:p>
    <w:tbl>
      <w:tblPr>
        <w:tblStyle w:val="4"/>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exac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项  目</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2018年</w:t>
            </w: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2019年</w:t>
            </w: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2020年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exac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一、主营业务收入</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12" w:hRule="exac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400" w:lineRule="exact"/>
              <w:ind w:firstLine="1470" w:firstLineChars="700"/>
              <w:jc w:val="left"/>
              <w:rPr>
                <w:rFonts w:ascii="仿宋" w:hAnsi="仿宋" w:eastAsia="仿宋" w:cs="仿宋"/>
                <w:color w:val="000000"/>
                <w:szCs w:val="21"/>
              </w:rPr>
            </w:pPr>
            <w:r>
              <w:rPr>
                <w:rFonts w:hint="eastAsia" w:ascii="仿宋" w:hAnsi="仿宋" w:eastAsia="仿宋" w:cs="仿宋"/>
                <w:color w:val="000000"/>
                <w:kern w:val="0"/>
                <w:szCs w:val="21"/>
              </w:rPr>
              <w:t>加：其他收入</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exact"/>
        </w:trPr>
        <w:tc>
          <w:tcPr>
            <w:tcW w:w="263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减：主营业务成本</w:t>
            </w: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生产/采购成本</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exac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营业税金及附加(按5.5%计算)</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12" w:hRule="exact"/>
        </w:trPr>
        <w:tc>
          <w:tcPr>
            <w:tcW w:w="263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变动销售费用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销售提成</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99" w:hRule="atLeas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1" w:hRule="exact"/>
        </w:trPr>
        <w:tc>
          <w:tcPr>
            <w:tcW w:w="263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固定销售费用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宣传推广费</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exact"/>
        </w:trPr>
        <w:tc>
          <w:tcPr>
            <w:tcW w:w="2632"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管理费用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场地租金</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0" w:hRule="exact"/>
        </w:trPr>
        <w:tc>
          <w:tcPr>
            <w:tcW w:w="263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员工薪酬</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9" w:hRule="exact"/>
        </w:trPr>
        <w:tc>
          <w:tcPr>
            <w:tcW w:w="263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办公用品及耗材</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1" w:hRule="exact"/>
        </w:trPr>
        <w:tc>
          <w:tcPr>
            <w:tcW w:w="263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水、电、交通差旅费</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1" w:hRule="exact"/>
        </w:trPr>
        <w:tc>
          <w:tcPr>
            <w:tcW w:w="263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固定资产折旧</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0" w:hRule="exact"/>
        </w:trPr>
        <w:tc>
          <w:tcPr>
            <w:tcW w:w="2632"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其他管理费用</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1" w:hRule="exact"/>
        </w:trPr>
        <w:tc>
          <w:tcPr>
            <w:tcW w:w="263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r>
              <w:rPr>
                <w:rFonts w:hint="eastAsia" w:ascii="仿宋" w:hAnsi="仿宋" w:eastAsia="仿宋" w:cs="仿宋"/>
                <w:color w:val="000000"/>
                <w:kern w:val="0"/>
                <w:szCs w:val="21"/>
              </w:rPr>
              <w:t>财务费用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利息支出</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exac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二、营业利润</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exac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kern w:val="0"/>
                <w:szCs w:val="21"/>
              </w:rPr>
              <w:t>减：所得税费用（按25％计算）</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9" w:hRule="exact"/>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三、净利润</w:t>
            </w:r>
          </w:p>
        </w:tc>
        <w:tc>
          <w:tcPr>
            <w:tcW w:w="1481"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p>
        </w:tc>
        <w:tc>
          <w:tcPr>
            <w:tcW w:w="1440"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7" w:hRule="atLeast"/>
        </w:trPr>
        <w:tc>
          <w:tcPr>
            <w:tcW w:w="9000" w:type="dxa"/>
            <w:gridSpan w:val="5"/>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仿宋" w:hAnsi="仿宋" w:eastAsia="仿宋" w:cs="仿宋"/>
                <w:color w:val="000000"/>
                <w:szCs w:val="21"/>
              </w:rPr>
            </w:pPr>
            <w:r>
              <w:rPr>
                <w:rFonts w:hint="eastAsia" w:ascii="仿宋" w:hAnsi="仿宋" w:eastAsia="仿宋" w:cs="仿宋"/>
                <w:color w:val="000000"/>
                <w:kern w:val="0"/>
                <w:szCs w:val="21"/>
              </w:rPr>
              <w:t>备注：员工薪酬包括企业主薪酬和职工薪酬，本计划书所提到的员工薪酬都符合该条件。</w:t>
            </w:r>
          </w:p>
        </w:tc>
      </w:tr>
    </w:tbl>
    <w:p>
      <w:pPr>
        <w:widowControl/>
        <w:snapToGrid w:val="0"/>
        <w:spacing w:line="560" w:lineRule="exact"/>
        <w:jc w:val="left"/>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br w:type="page"/>
      </w:r>
      <w:bookmarkStart w:id="3" w:name="_Toc256779600"/>
      <w:r>
        <w:rPr>
          <w:rFonts w:hint="eastAsia" w:ascii="黑体" w:hAnsi="黑体" w:eastAsia="黑体" w:cs="黑体"/>
          <w:color w:val="000000"/>
          <w:kern w:val="0"/>
          <w:sz w:val="32"/>
          <w:szCs w:val="32"/>
          <w:shd w:val="clear" w:color="auto" w:fill="FFFFFF"/>
        </w:rPr>
        <w:t>六、融资需求</w:t>
      </w:r>
    </w:p>
    <w:tbl>
      <w:tblPr>
        <w:tblStyle w:val="4"/>
        <w:tblW w:w="883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0"/>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szCs w:val="21"/>
              </w:rPr>
              <w:t>融资金额(万元)</w:t>
            </w:r>
          </w:p>
        </w:tc>
        <w:tc>
          <w:tcPr>
            <w:tcW w:w="1671"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 w:hAnsi="仿宋" w:eastAsia="仿宋" w:cs="仿宋"/>
                <w:color w:val="000000"/>
                <w:szCs w:val="21"/>
              </w:rPr>
            </w:pPr>
            <w:r>
              <w:rPr>
                <w:rFonts w:hint="eastAsia" w:ascii="仿宋" w:hAnsi="仿宋" w:eastAsia="仿宋" w:cs="仿宋"/>
                <w:color w:val="000000"/>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36" w:hRule="atLeast"/>
          <w:jc w:val="center"/>
        </w:trPr>
        <w:tc>
          <w:tcPr>
            <w:tcW w:w="141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b/>
                <w:color w:val="000000"/>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□科技咨询□融资担保□应收账款融资□技术/产权转让□金融租赁</w:t>
            </w:r>
          </w:p>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□股改和上市咨询□科技保险□小额贷款□信用贷款□股权质押贷款</w:t>
            </w:r>
          </w:p>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□知识产权质押贷款□中小企业集合债券发行□并购重组□资产管理</w:t>
            </w:r>
          </w:p>
          <w:p>
            <w:pPr>
              <w:widowControl/>
              <w:spacing w:line="560" w:lineRule="exact"/>
              <w:jc w:val="left"/>
              <w:rPr>
                <w:rFonts w:ascii="仿宋" w:hAnsi="仿宋" w:eastAsia="仿宋" w:cs="仿宋"/>
                <w:color w:val="000000"/>
                <w:szCs w:val="21"/>
              </w:rPr>
            </w:pPr>
            <w:r>
              <w:rPr>
                <w:rFonts w:hint="eastAsia" w:ascii="仿宋" w:hAnsi="仿宋" w:eastAsia="仿宋" w:cs="仿宋"/>
                <w:color w:val="000000"/>
                <w:szCs w:val="21"/>
              </w:rPr>
              <w:t>□其他服务需求_____________（可复选项）  □无融资需求</w:t>
            </w:r>
          </w:p>
        </w:tc>
      </w:tr>
    </w:tbl>
    <w:p>
      <w:pPr>
        <w:widowControl/>
        <w:snapToGrid w:val="0"/>
        <w:spacing w:line="560" w:lineRule="exact"/>
        <w:jc w:val="left"/>
        <w:rPr>
          <w:rFonts w:ascii="黑体" w:hAnsi="黑体" w:eastAsia="黑体" w:cs="黑体"/>
          <w:color w:val="000000"/>
          <w:sz w:val="32"/>
          <w:szCs w:val="32"/>
          <w:shd w:val="clear" w:color="auto" w:fill="FFFFFF"/>
        </w:rPr>
      </w:pPr>
      <w:r>
        <w:rPr>
          <w:rFonts w:hint="eastAsia" w:ascii="黑体" w:hAnsi="黑体" w:eastAsia="黑体" w:cs="黑体"/>
          <w:color w:val="000000"/>
          <w:kern w:val="0"/>
          <w:sz w:val="32"/>
          <w:szCs w:val="32"/>
          <w:shd w:val="clear" w:color="auto" w:fill="FFFFFF"/>
        </w:rPr>
        <w:t>七、风险分析与对策</w:t>
      </w:r>
      <w:bookmarkEnd w:id="3"/>
    </w:p>
    <w:tbl>
      <w:tblPr>
        <w:tblStyle w:val="4"/>
        <w:tblW w:w="864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220"/>
        <w:gridCol w:w="21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创业风险</w:t>
            </w:r>
          </w:p>
        </w:tc>
        <w:tc>
          <w:tcPr>
            <w:tcW w:w="5220"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分析</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80"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行业风险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指行业的生命周期、行业的波动性、行业的集中程度。</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91"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政策风险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指因国家宏观政策（如货币政策、财政政策、行业政策等）发生变化，导致市场价格波动而产生风险。</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51"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市场风险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市场风险涉及的因素有：市场需求量、市场接受时间、市场价格、市场战略等。</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24"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技术风险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指企业产品创新过程中技术不确定性、前景的不确定性、技术效果的不确定性、技术寿命的不确定性。</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31"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资金风险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资金风险主要有两类：一是缺少创业资金风险，二是融资成本风险。</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51"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管理风险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企业经营过程中的风险，如管理者素质风险、决策风险、组织风险、人才风险等。</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91"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环境风险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r>
              <w:rPr>
                <w:rFonts w:hint="eastAsia" w:ascii="仿宋" w:hAnsi="仿宋" w:eastAsia="仿宋" w:cs="仿宋"/>
                <w:color w:val="000000"/>
                <w:kern w:val="0"/>
                <w:szCs w:val="21"/>
              </w:rPr>
              <w:t>指社会、政治、政策、法律环境变化或由于意外灾害发生而造成失败的可能性。</w:t>
            </w: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71"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仿宋" w:hAnsi="仿宋" w:eastAsia="仿宋" w:cs="仿宋"/>
                <w:b/>
                <w:color w:val="000000"/>
                <w:szCs w:val="21"/>
              </w:rPr>
            </w:pPr>
            <w:r>
              <w:rPr>
                <w:rFonts w:hint="eastAsia" w:ascii="仿宋" w:hAnsi="仿宋" w:eastAsia="仿宋" w:cs="仿宋"/>
                <w:b/>
                <w:color w:val="000000"/>
                <w:kern w:val="0"/>
                <w:szCs w:val="21"/>
              </w:rPr>
              <w:t>其他风险</w:t>
            </w:r>
          </w:p>
        </w:tc>
        <w:tc>
          <w:tcPr>
            <w:tcW w:w="5220"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仿宋" w:hAnsi="仿宋" w:eastAsia="仿宋" w:cs="仿宋"/>
                <w:color w:val="000000"/>
                <w:szCs w:val="21"/>
              </w:rPr>
            </w:pPr>
          </w:p>
        </w:tc>
        <w:tc>
          <w:tcPr>
            <w:tcW w:w="2176" w:type="dxa"/>
            <w:tcBorders>
              <w:top w:val="single" w:color="000000" w:sz="8" w:space="0"/>
              <w:left w:val="single" w:color="000000" w:sz="8" w:space="0"/>
              <w:bottom w:val="single" w:color="000000" w:sz="8" w:space="0"/>
              <w:right w:val="single" w:color="000000" w:sz="8" w:space="0"/>
            </w:tcBorders>
          </w:tcPr>
          <w:p>
            <w:pPr>
              <w:widowControl/>
              <w:spacing w:line="560" w:lineRule="exact"/>
              <w:jc w:val="center"/>
              <w:rPr>
                <w:rFonts w:ascii="仿宋" w:hAnsi="仿宋" w:eastAsia="仿宋" w:cs="仿宋"/>
                <w:color w:val="000000"/>
                <w:szCs w:val="21"/>
              </w:rPr>
            </w:pPr>
          </w:p>
        </w:tc>
      </w:tr>
    </w:tbl>
    <w:p>
      <w:pPr>
        <w:widowControl/>
        <w:snapToGrid w:val="0"/>
        <w:spacing w:line="560" w:lineRule="exact"/>
        <w:ind w:firstLine="420" w:firstLineChars="200"/>
        <w:jc w:val="left"/>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注：只需要填写本企业涉及到的风险。</w:t>
      </w:r>
    </w:p>
    <w:p>
      <w:pPr>
        <w:widowControl/>
        <w:snapToGrid w:val="0"/>
        <w:spacing w:line="560" w:lineRule="exact"/>
        <w:jc w:val="left"/>
        <w:rPr>
          <w:rFonts w:ascii="黑体" w:hAnsi="黑体" w:eastAsia="黑体" w:cs="黑体"/>
          <w:color w:val="000000"/>
          <w:sz w:val="28"/>
          <w:szCs w:val="28"/>
          <w:shd w:val="clear" w:color="auto" w:fill="FFFFFF"/>
        </w:rPr>
      </w:pPr>
      <w:r>
        <w:rPr>
          <w:rFonts w:hint="eastAsia" w:ascii="黑体" w:hAnsi="黑体" w:eastAsia="黑体" w:cs="黑体"/>
          <w:color w:val="000000"/>
          <w:kern w:val="0"/>
          <w:sz w:val="28"/>
          <w:szCs w:val="28"/>
          <w:shd w:val="clear" w:color="auto" w:fill="FFFFFF"/>
        </w:rPr>
        <w:t>八、企业愿景</w:t>
      </w:r>
    </w:p>
    <w:tbl>
      <w:tblPr>
        <w:tblStyle w:val="4"/>
        <w:tblW w:w="8678"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519" w:hRule="atLeast"/>
          <w:jc w:val="center"/>
        </w:trPr>
        <w:tc>
          <w:tcPr>
            <w:tcW w:w="8678" w:type="dxa"/>
            <w:tcBorders>
              <w:top w:val="single" w:color="000000" w:sz="8" w:space="0"/>
              <w:left w:val="single" w:color="000000" w:sz="8" w:space="0"/>
              <w:bottom w:val="single" w:color="000000" w:sz="8" w:space="0"/>
              <w:right w:val="single" w:color="000000" w:sz="8" w:space="0"/>
            </w:tcBorders>
          </w:tcPr>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企业及其内部全体员工共同追求的企业发展愿望和长远目标的情景式描述，对企业发展具有导向功能，对员工具有激励与凝聚作用。</w:t>
            </w: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kern w:val="0"/>
                <w:szCs w:val="21"/>
              </w:rPr>
            </w:pPr>
          </w:p>
          <w:p>
            <w:pPr>
              <w:widowControl/>
              <w:spacing w:line="560" w:lineRule="exact"/>
              <w:jc w:val="left"/>
              <w:rPr>
                <w:rFonts w:ascii="仿宋" w:hAnsi="仿宋" w:eastAsia="仿宋" w:cs="仿宋"/>
                <w:color w:val="000000"/>
                <w:szCs w:val="21"/>
              </w:rPr>
            </w:pPr>
          </w:p>
        </w:tc>
      </w:tr>
    </w:tbl>
    <w:p>
      <w:pPr>
        <w:ind w:firstLine="420"/>
        <w:rPr>
          <w:rFonts w:ascii="仿宋" w:hAnsi="仿宋" w:eastAsia="仿宋" w:cs="仿宋"/>
          <w:color w:val="000000"/>
          <w:sz w:val="30"/>
          <w:szCs w:val="30"/>
        </w:rPr>
      </w:pPr>
      <w:r>
        <w:rPr>
          <w:rFonts w:hint="eastAsia" w:ascii="仿宋" w:hAnsi="仿宋" w:eastAsia="仿宋" w:cs="仿宋"/>
          <w:color w:val="000000"/>
          <w:kern w:val="0"/>
          <w:szCs w:val="21"/>
          <w:shd w:val="clear" w:color="auto" w:fill="FFFFFF"/>
        </w:rPr>
        <w:t>注：创业（商业）计划书要求表述条理清晰，应避免拖沓冗长，力求简洁、清晰、重点突出、条理分明；专业语言的运用要准确和适度；相关数据科学、详实。</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Microsoft YaHei UI"/>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050FE"/>
    <w:rsid w:val="0B6050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KI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2018-05-27T06:16:00Z</dcterms:created>
  <dc:creator>TheKING</dc:creator>
  <cp:lastModifiedBy>TheKING</cp:lastModifiedBy>
  <dcterms:modified xsi:type="dcterms:W3CDTF">2018-05-27T06:16:34Z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