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43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</w:t>
      </w:r>
    </w:p>
    <w:p w14:paraId="187E20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跨境人民币结算奖励资金申报指南</w:t>
      </w:r>
    </w:p>
    <w:p w14:paraId="6F0D0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 w14:paraId="7C35E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一、奖励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范围</w:t>
      </w:r>
    </w:p>
    <w:p w14:paraId="36D0C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yellow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在雄安自由贸易试验区内登记注册，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  <w:t>具有独立法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shd w:val="clear" w:fill="FFFFFF"/>
        </w:rPr>
        <w:t>人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  <w:t>的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跨境收支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  <w:t>企业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。</w:t>
      </w:r>
    </w:p>
    <w:p w14:paraId="06DAC2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二、申报事项、条件和材料</w:t>
      </w:r>
    </w:p>
    <w:p w14:paraId="7D193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方正公文楷体" w:hAnsi="方正公文楷体" w:eastAsia="方正公文楷体" w:cs="方正公文楷体"/>
          <w:b w:val="0"/>
          <w:bCs w:val="0"/>
          <w:sz w:val="32"/>
          <w:szCs w:val="32"/>
          <w:lang w:val="en-US" w:eastAsia="zh-CN"/>
        </w:rPr>
        <w:t>申报事项</w:t>
      </w:r>
    </w:p>
    <w:p w14:paraId="4C6D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  <w:t>对办理货物贸易、服务贸易、跨境直接投资（不含资金池业务）三类业务中使用跨境人民币结算的自贸区内企业，按照结算总量的一定比例给予奖励，每家企业年度奖励金额最高不超过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  <w:t>50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  <w:t>万元。</w:t>
      </w:r>
    </w:p>
    <w:p w14:paraId="15CD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（二）申报条件</w:t>
      </w:r>
    </w:p>
    <w:p w14:paraId="0104EFE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highlight w:val="none"/>
        </w:rPr>
        <w:t>.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  <w:t>办理</w:t>
      </w:r>
      <w:r>
        <w:rPr>
          <w:rFonts w:hint="eastAsia" w:ascii="方正公文仿宋" w:hAnsi="方正公文仿宋" w:eastAsia="方正公文仿宋" w:cs="方正公文仿宋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货物贸易、服务贸易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  <w:t>、跨境直接投资（不含资金池业务）三类业务，且跨境人民币结算业务发生在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  <w:t>年度；</w:t>
      </w:r>
    </w:p>
    <w:p w14:paraId="5B74D8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在雄安自由贸易试验区内登记注册，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  <w:t>具有独立法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shd w:val="clear" w:fill="FFFFFF"/>
        </w:rPr>
        <w:t>人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  <w:t>的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跨境收支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  <w:t>企业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；</w:t>
      </w:r>
    </w:p>
    <w:p w14:paraId="5883697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</w:t>
      </w:r>
      <w:r>
        <w:rPr>
          <w:rFonts w:hint="eastAsia" w:ascii="方正公文仿宋" w:hAnsi="方正公文仿宋" w:eastAsia="方正公文仿宋" w:cs="方正公文仿宋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highlight w:val="none"/>
        </w:rPr>
        <w:t>企业有运作良好的内控管理机制，能够自行妥善留存跨境人民币业务相关交易单证等真实性证明资料，并愿意配合经办银行、</w:t>
      </w:r>
      <w:r>
        <w:rPr>
          <w:rFonts w:hint="eastAsia" w:ascii="方正公文仿宋" w:hAnsi="方正公文仿宋" w:eastAsia="方正公文仿宋" w:cs="方正公文仿宋"/>
          <w:highlight w:val="none"/>
          <w:lang w:eastAsia="zh-CN"/>
        </w:rPr>
        <w:t>外汇局</w:t>
      </w:r>
      <w:r>
        <w:rPr>
          <w:rFonts w:hint="eastAsia" w:ascii="方正公文仿宋" w:hAnsi="方正公文仿宋" w:eastAsia="方正公文仿宋" w:cs="方正公文仿宋"/>
          <w:highlight w:val="none"/>
        </w:rPr>
        <w:t>的事中事后抽查、核实工作</w:t>
      </w:r>
      <w:r>
        <w:rPr>
          <w:rFonts w:hint="eastAsia" w:ascii="方正公文仿宋" w:hAnsi="方正公文仿宋" w:eastAsia="方正公文仿宋" w:cs="方正公文仿宋"/>
          <w:highlight w:val="none"/>
          <w:lang w:eastAsia="zh-CN"/>
        </w:rPr>
        <w:t>；</w:t>
      </w:r>
    </w:p>
    <w:p w14:paraId="65EFEE9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highlight w:val="none"/>
        </w:rPr>
        <w:t>守法自律，近</w:t>
      </w:r>
      <w:r>
        <w:rPr>
          <w:rFonts w:hint="eastAsia" w:ascii="方正公文仿宋" w:hAnsi="方正公文仿宋" w:eastAsia="方正公文仿宋" w:cs="方正公文仿宋"/>
          <w:highlight w:val="none"/>
          <w:lang w:val="en-US" w:eastAsia="zh-CN"/>
        </w:rPr>
        <w:t>两</w:t>
      </w:r>
      <w:r>
        <w:rPr>
          <w:rFonts w:hint="eastAsia" w:ascii="方正公文仿宋" w:hAnsi="方正公文仿宋" w:eastAsia="方正公文仿宋" w:cs="方正公文仿宋"/>
          <w:highlight w:val="none"/>
        </w:rPr>
        <w:t>年无实质性违反或故意规避跨境人民币管理规定、外汇管理法规、国家“三反”规定等法律、法规的情形；</w:t>
      </w:r>
    </w:p>
    <w:p w14:paraId="7C998E5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highlight w:val="none"/>
        </w:rPr>
        <w:t>未被纳入跨境人民币</w:t>
      </w:r>
      <w:r>
        <w:rPr>
          <w:rFonts w:hint="eastAsia" w:ascii="方正公文仿宋" w:hAnsi="方正公文仿宋" w:eastAsia="方正公文仿宋" w:cs="方正公文仿宋"/>
          <w:color w:val="auto"/>
          <w:highlight w:val="none"/>
        </w:rPr>
        <w:t>业务重点监管</w:t>
      </w:r>
      <w:r>
        <w:rPr>
          <w:rFonts w:hint="eastAsia" w:ascii="方正公文仿宋" w:hAnsi="方正公文仿宋" w:eastAsia="方正公文仿宋" w:cs="方正公文仿宋"/>
          <w:color w:val="auto"/>
          <w:highlight w:val="none"/>
          <w:lang w:eastAsia="zh-CN"/>
        </w:rPr>
        <w:t>企业</w:t>
      </w:r>
      <w:r>
        <w:rPr>
          <w:rFonts w:hint="eastAsia" w:ascii="方正公文仿宋" w:hAnsi="方正公文仿宋" w:eastAsia="方正公文仿宋" w:cs="方正公文仿宋"/>
          <w:color w:val="auto"/>
          <w:highlight w:val="none"/>
        </w:rPr>
        <w:t>名单和货</w:t>
      </w:r>
      <w:r>
        <w:rPr>
          <w:rFonts w:hint="eastAsia" w:ascii="方正公文仿宋" w:hAnsi="方正公文仿宋" w:eastAsia="方正公文仿宋" w:cs="方正公文仿宋"/>
          <w:highlight w:val="none"/>
        </w:rPr>
        <w:t>物贸易外汇管理</w:t>
      </w:r>
      <w:r>
        <w:rPr>
          <w:rFonts w:hint="eastAsia" w:ascii="宋体" w:hAnsi="宋体" w:eastAsia="宋体" w:cs="宋体"/>
          <w:highlight w:val="none"/>
        </w:rPr>
        <w:t>B</w:t>
      </w:r>
      <w:r>
        <w:rPr>
          <w:rFonts w:hint="eastAsia" w:ascii="方正公文仿宋" w:hAnsi="方正公文仿宋" w:eastAsia="方正公文仿宋" w:cs="方正公文仿宋"/>
          <w:highlight w:val="none"/>
        </w:rPr>
        <w:t>、</w:t>
      </w:r>
      <w:r>
        <w:rPr>
          <w:rFonts w:hint="eastAsia" w:ascii="宋体" w:hAnsi="宋体" w:eastAsia="宋体" w:cs="宋体"/>
          <w:highlight w:val="none"/>
        </w:rPr>
        <w:t>C</w:t>
      </w:r>
      <w:r>
        <w:rPr>
          <w:rFonts w:hint="eastAsia" w:ascii="方正公文仿宋" w:hAnsi="方正公文仿宋" w:eastAsia="方正公文仿宋" w:cs="方正公文仿宋"/>
          <w:highlight w:val="none"/>
        </w:rPr>
        <w:t>类企业；</w:t>
      </w:r>
    </w:p>
    <w:p w14:paraId="1391CF6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方正公文仿宋" w:hAnsi="方正公文仿宋" w:eastAsia="方正公文仿宋" w:cs="方正公文仿宋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highlight w:val="none"/>
          <w:shd w:val="clear" w:fill="FFFFFF"/>
        </w:rPr>
        <w:t>未</w:t>
      </w:r>
      <w:r>
        <w:rPr>
          <w:rFonts w:hint="eastAsia" w:ascii="方正公文仿宋" w:hAnsi="方正公文仿宋" w:eastAsia="方正公文仿宋" w:cs="方正公文仿宋"/>
          <w:highlight w:val="none"/>
        </w:rPr>
        <w:t>涉嫌大规模跨境投机套利活动</w:t>
      </w:r>
      <w:r>
        <w:rPr>
          <w:rFonts w:hint="eastAsia" w:ascii="方正公文仿宋" w:hAnsi="方正公文仿宋" w:eastAsia="方正公文仿宋" w:cs="方正公文仿宋"/>
          <w:highlight w:val="none"/>
          <w:lang w:eastAsia="zh-CN"/>
        </w:rPr>
        <w:t>。</w:t>
      </w:r>
    </w:p>
    <w:p w14:paraId="59A24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（三）申报材料</w:t>
      </w:r>
    </w:p>
    <w:p w14:paraId="0696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.跨境人民币奖补资金申请表（附表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）；</w:t>
      </w:r>
    </w:p>
    <w:p w14:paraId="39FE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上一个年度跨境人民币结算业务明细表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（附表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；</w:t>
      </w:r>
    </w:p>
    <w:p w14:paraId="7BCB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企业营业执照复印件并加盖公章；</w:t>
      </w:r>
    </w:p>
    <w:p w14:paraId="2DC0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.企业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是否享受其他相关政策支持情况说明；</w:t>
      </w:r>
    </w:p>
    <w:p w14:paraId="13834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.发生结算业务对应的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highlight w:val="none"/>
          <w:lang w:val="en-US" w:eastAsia="zh-CN" w:bidi="ar-SA"/>
        </w:rPr>
        <w:t>货物贸易、服务贸易合同复印件，或跨境直接投资业务登记凭证复印件及银行汇款凭证复印件；</w:t>
      </w:r>
    </w:p>
    <w:p w14:paraId="432A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按照要求提供其他能够证明业务真实</w:t>
      </w:r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</w:rPr>
        <w:t>性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资料。</w:t>
      </w:r>
    </w:p>
    <w:p w14:paraId="0F8C3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eastAsia="宋体"/>
          <w:lang w:val="en-US" w:eastAsia="zh-CN"/>
        </w:rPr>
      </w:pPr>
      <w:r>
        <w:br w:type="page"/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1-1</w:t>
      </w:r>
    </w:p>
    <w:p w14:paraId="3D9AA410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跨境人民币奖补资金申请表</w:t>
      </w:r>
    </w:p>
    <w:p w14:paraId="540BAB10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1"/>
        <w:gridCol w:w="1750"/>
        <w:gridCol w:w="2168"/>
        <w:gridCol w:w="2017"/>
      </w:tblGrid>
      <w:tr w14:paraId="57C3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0A8800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申报项目名称</w:t>
            </w:r>
          </w:p>
        </w:tc>
        <w:tc>
          <w:tcPr>
            <w:tcW w:w="5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660FF1"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3431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FF53D2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5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5215DE"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0B29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BC149A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企业地址</w:t>
            </w:r>
          </w:p>
        </w:tc>
        <w:tc>
          <w:tcPr>
            <w:tcW w:w="5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02F145"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0EC3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94408E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是否注册在自贸区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E49969">
            <w:pPr>
              <w:spacing w:before="0" w:beforeAutospacing="0" w:after="0" w:afterAutospacing="0" w:line="560" w:lineRule="exact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40DBBB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符合条件的跨境人民币结算金额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440C9">
            <w:pPr>
              <w:spacing w:before="0" w:beforeAutospacing="0" w:after="0" w:afterAutospacing="0" w:line="560" w:lineRule="exact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5F14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DEB682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对公账户</w:t>
            </w:r>
          </w:p>
          <w:p w14:paraId="45EA938A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开户银行名称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BF1E33">
            <w:pPr>
              <w:spacing w:before="0" w:beforeAutospacing="0" w:after="0" w:afterAutospacing="0" w:line="560" w:lineRule="exact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6DA322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对公账户</w:t>
            </w:r>
          </w:p>
          <w:p w14:paraId="7DCEB9B7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8C05AA">
            <w:pPr>
              <w:spacing w:before="0" w:beforeAutospacing="0" w:after="0" w:afterAutospacing="0" w:line="560" w:lineRule="exact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229E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25390F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94413C">
            <w:pPr>
              <w:spacing w:before="0" w:beforeAutospacing="0" w:after="0" w:afterAutospacing="0" w:line="560" w:lineRule="exact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6D13D5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A56155">
            <w:pPr>
              <w:spacing w:before="0" w:beforeAutospacing="0" w:after="0" w:afterAutospacing="0" w:line="560" w:lineRule="exact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3250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445919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5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76BD2D"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76EF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029CA5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申请背景</w:t>
            </w:r>
          </w:p>
        </w:tc>
        <w:tc>
          <w:tcPr>
            <w:tcW w:w="5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E718A1">
            <w:pPr>
              <w:widowControl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介绍公司背景、设立情况、目前经营情况（是否存在违规情况等）</w:t>
            </w:r>
          </w:p>
        </w:tc>
      </w:tr>
      <w:tr w14:paraId="419C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2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06BC4D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sz w:val="24"/>
                <w:highlight w:val="none"/>
              </w:rPr>
            </w:pPr>
          </w:p>
          <w:p w14:paraId="29EA299E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11"/>
                <w:rFonts w:hint="eastAsia" w:ascii="方正公文仿宋" w:hAnsi="方正公文仿宋" w:eastAsia="方正公文仿宋" w:cs="方正公文仿宋"/>
              </w:rPr>
            </w:pP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  <w:lang w:val="en-US" w:eastAsia="zh-CN"/>
              </w:rPr>
              <w:t xml:space="preserve">                       </w:t>
            </w: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</w:rPr>
              <w:t>法定代表人</w:t>
            </w: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  <w:lang w:eastAsia="zh-CN"/>
              </w:rPr>
              <w:t>或委托人</w:t>
            </w: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</w:rPr>
              <w:t>签字：</w:t>
            </w:r>
          </w:p>
          <w:p w14:paraId="1FEEA94F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</w:rPr>
            </w:pP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</w:rPr>
              <w:t>单位</w:t>
            </w: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  <w:shd w:val="clear" w:fill="FFFFFF"/>
              </w:rPr>
              <w:t>盖</w:t>
            </w: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</w:rPr>
              <w:t>章：</w:t>
            </w:r>
          </w:p>
          <w:p w14:paraId="76C781EB">
            <w:pPr>
              <w:widowControl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sz w:val="24"/>
                <w:highlight w:val="none"/>
              </w:rPr>
            </w:pP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Style w:val="11"/>
                <w:rFonts w:hint="eastAsia" w:ascii="方正公文仿宋" w:hAnsi="方正公文仿宋" w:eastAsia="方正公文仿宋" w:cs="方正公文仿宋"/>
                <w:highlight w:val="none"/>
              </w:rPr>
              <w:t xml:space="preserve">签字日期：                                                  </w:t>
            </w:r>
          </w:p>
        </w:tc>
      </w:tr>
    </w:tbl>
    <w:p w14:paraId="5F7D59DE">
      <w:pPr>
        <w:spacing w:before="319" w:beforeLines="100" w:after="319" w:afterLines="100" w:line="560" w:lineRule="exact"/>
        <w:jc w:val="both"/>
        <w:rPr>
          <w:rFonts w:ascii="Times New Roman" w:hAnsi="Times New Roman" w:eastAsia="方正小标宋简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9" w:charSpace="0"/>
        </w:sectPr>
      </w:pPr>
    </w:p>
    <w:p w14:paraId="516ECF3F">
      <w:pPr>
        <w:spacing w:before="312" w:beforeLines="100" w:after="312" w:afterLines="100" w:line="560" w:lineRule="exact"/>
        <w:jc w:val="left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1-2</w:t>
      </w:r>
    </w:p>
    <w:p w14:paraId="79A841D4">
      <w:pPr>
        <w:spacing w:before="312" w:beforeLines="100" w:after="312" w:afterLines="100"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跨境人民币结算业务明细表</w:t>
      </w:r>
    </w:p>
    <w:tbl>
      <w:tblPr>
        <w:tblStyle w:val="8"/>
        <w:tblW w:w="14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2375"/>
        <w:gridCol w:w="1562"/>
        <w:gridCol w:w="2281"/>
        <w:gridCol w:w="1207"/>
        <w:gridCol w:w="1537"/>
        <w:gridCol w:w="1425"/>
        <w:gridCol w:w="1624"/>
        <w:gridCol w:w="1286"/>
      </w:tblGrid>
      <w:tr w14:paraId="457D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3CADE7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B05945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3FDF13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企业组织机构代码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76E753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申报号码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08961A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金额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8586A6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经办银行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E0297F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交易日期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92A78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国际收支交易编码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3C57F6">
            <w:pPr>
              <w:widowControl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69CD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D0B15E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350B1E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9D179E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A97731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879745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6A197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9F42E7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BF3A65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E45D4F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</w:tr>
      <w:tr w14:paraId="6AAE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F4AB2B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00DCE8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3E4437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14FBD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D33014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8382A6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CE36AD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FAD39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7556CC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</w:tr>
      <w:tr w14:paraId="48BB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F55FB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8AF95B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1866D5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76038D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A7FE31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33F3B5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6013F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B05240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AEBB40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</w:tr>
      <w:tr w14:paraId="4A27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66EB6C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26C91A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4AA77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E8AA89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36EB53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C0643B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381658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18FF9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345DE6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</w:tr>
      <w:tr w14:paraId="3472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A6CF14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8EF9F4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6D8590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4972D3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0A78B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0F2EA2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C064DB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2D590B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8CB9FD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</w:tr>
      <w:tr w14:paraId="1C9C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35ABD8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C4110A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C6BEF0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CA49A9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5456C9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9D4833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C13F74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FBB0AE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85C974">
            <w:pPr>
              <w:spacing w:before="0" w:beforeAutospacing="0" w:after="0" w:afterAutospacing="0"/>
              <w:ind w:left="0" w:right="0"/>
              <w:rPr>
                <w:rFonts w:hint="eastAsia" w:ascii="方正公文仿宋" w:hAnsi="方正公文仿宋" w:eastAsia="方正公文仿宋" w:cs="方正公文仿宋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4D185EAB"/>
    <w:p w14:paraId="6FC705C0">
      <w:pPr>
        <w:pStyle w:val="2"/>
        <w:sectPr>
          <w:pgSz w:w="16838" w:h="11906" w:orient="landscape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105645BC">
      <w:pPr>
        <w:spacing w:before="312" w:beforeLines="100" w:after="312" w:afterLines="100" w:line="560" w:lineRule="exact"/>
        <w:jc w:val="left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1-3</w:t>
      </w:r>
    </w:p>
    <w:p w14:paraId="191D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承诺书</w:t>
      </w:r>
    </w:p>
    <w:p w14:paraId="2C61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</w:p>
    <w:p w14:paraId="341A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按照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eastAsia="zh-CN"/>
        </w:rPr>
        <w:t>跨境人民币结算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奖励资金申报指南要求，我公司向中国人民银行雄安新区分行提交了此次申请</w:t>
      </w:r>
      <w:r>
        <w:rPr>
          <w:rFonts w:hint="eastAsia" w:ascii="宋体" w:hAnsi="宋体" w:eastAsia="宋体" w:cs="宋体"/>
          <w:sz w:val="28"/>
          <w:szCs w:val="28"/>
        </w:rPr>
        <w:t>2025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年度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eastAsia="zh-CN"/>
        </w:rPr>
        <w:t>跨境人民币资金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奖</w:t>
      </w:r>
      <w:r>
        <w:rPr>
          <w:rFonts w:hint="eastAsia" w:ascii="方正公文仿宋" w:hAnsi="方正公文仿宋" w:eastAsia="方正公文仿宋" w:cs="方正公文仿宋"/>
          <w:sz w:val="28"/>
          <w:szCs w:val="28"/>
          <w:shd w:val="clear" w:fill="FFFFFF"/>
        </w:rPr>
        <w:t>补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的相关材料，并对下列情况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作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出承诺：</w:t>
      </w:r>
    </w:p>
    <w:p w14:paraId="5947E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一、所提供的资料是真实的、完整的。</w:t>
      </w:r>
    </w:p>
    <w:p w14:paraId="786C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二、我公司未在雄安新区享受其他相关同类型政策支持。</w:t>
      </w:r>
    </w:p>
    <w:p w14:paraId="3831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三、如果所提供的资料存在不真实、不完整情况，愿承担相应的法律责任。</w:t>
      </w:r>
    </w:p>
    <w:p w14:paraId="35B7C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</w:p>
    <w:p w14:paraId="23E8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                      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       </w:t>
      </w:r>
      <w:r>
        <w:rPr>
          <w:rFonts w:hint="eastAsia" w:ascii="方正公文仿宋" w:hAnsi="方正公文仿宋" w:eastAsia="方正公文仿宋" w:cs="方正公文仿宋"/>
          <w:sz w:val="28"/>
          <w:szCs w:val="28"/>
          <w:shd w:val="clear" w:fill="FFFFFF"/>
        </w:rPr>
        <w:t>xxx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企业（加盖公章）</w:t>
      </w:r>
    </w:p>
    <w:p w14:paraId="760918EC"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                  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 年 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884D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6098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1007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9CCFE1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0.5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1f2nWAAAAAwEAAA8AAAAAAAAAAQAgAAAAIgAAAGRycy9kb3du&#10;cmV2LnhtbFBLAQIUABQAAAAIAIdO4kC+uJ6GAQIAAPQDAAAOAAAAAAAAAAEAIAAAACUBAABkcnMv&#10;ZTJvRG9jLnhtbFBLBQYAAAAABgAGAFkBAACYBQAAAAA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 w14:paraId="59CCFE1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28B1"/>
    <w:rsid w:val="11E2040E"/>
    <w:rsid w:val="29CC0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index 9"/>
    <w:basedOn w:val="1"/>
    <w:next w:val="1"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character" w:customStyle="1" w:styleId="11">
    <w:name w:val="fontstyle01"/>
    <w:basedOn w:val="9"/>
    <w:uiPriority w:val="0"/>
    <w:rPr>
      <w:rFonts w:ascii="仿宋_GB2312" w:hAnsi="仿宋_GB2312" w:eastAsia="仿宋_GB2312" w:cs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8F1E7-0C43-4294-8A80-222A481BA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936</Words>
  <Characters>967</Characters>
  <Lines>0</Lines>
  <Paragraphs>42</Paragraphs>
  <TotalTime>5</TotalTime>
  <ScaleCrop>false</ScaleCrop>
  <LinksUpToDate>false</LinksUpToDate>
  <CharactersWithSpaces>1205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2026-02-05T23:47:00Z</dcterms:created>
  <dc:creator>user</dc:creator>
  <cp:lastModifiedBy>monky</cp:lastModifiedBy>
  <dcterms:modified xsi:type="dcterms:W3CDTF">2026-02-07T10:38:35Z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eyJoZGlkIjoiOWU5MTU0OTMxYTAzYWQzMTM2OWMwZDQ4MWM2Y2YyZjQiLCJ1c2VySWQiOiIyNjY3MTU5MTUifQ==</vt:lpwstr>
  </property>
  <property fmtid="{D5CDD505-2E9C-101B-9397-08002B2CF9AE}" pid="4" name="ICV">
    <vt:lpwstr>45CDFF15F6284FE3A9351CA04E8BD4BF_13</vt:lpwstr>
  </property>
</Properties>
</file>