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15EF3">
      <w:pPr>
        <w:spacing w:line="5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9"/>
        <w:tblW w:w="922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99"/>
        <w:gridCol w:w="1312"/>
        <w:gridCol w:w="956"/>
        <w:gridCol w:w="687"/>
        <w:gridCol w:w="612"/>
        <w:gridCol w:w="813"/>
        <w:gridCol w:w="1933"/>
      </w:tblGrid>
      <w:tr w14:paraId="0159D1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exact"/>
          <w:jc w:val="center"/>
        </w:trPr>
        <w:tc>
          <w:tcPr>
            <w:tcW w:w="9221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1982FEE3">
            <w:pPr>
              <w:pStyle w:val="8"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r>
              <w:rPr>
                <w:rFonts w:hint="eastAsia" w:ascii="方正公文小标宋" w:hAnsi="方正公文小标宋" w:eastAsia="方正公文小标宋" w:cs="方正公文小标宋"/>
                <w:b w:val="0"/>
                <w:kern w:val="0"/>
                <w:sz w:val="36"/>
                <w:szCs w:val="36"/>
                <w:lang w:val="en-US" w:eastAsia="zh-CN"/>
              </w:rPr>
              <w:t>2024年定安社区工作经费和党组织服务群众工作专项经费</w:t>
            </w:r>
            <w:r>
              <w:rPr>
                <w:rFonts w:hint="eastAsia" w:ascii="方正公文小标宋" w:hAnsi="方正公文小标宋" w:eastAsia="方正公文小标宋" w:cs="方正公文小标宋"/>
                <w:b w:val="0"/>
                <w:kern w:val="0"/>
                <w:sz w:val="36"/>
                <w:szCs w:val="36"/>
              </w:rPr>
              <w:t>项目绩效自评表</w:t>
            </w:r>
          </w:p>
        </w:tc>
      </w:tr>
      <w:tr w14:paraId="7C9A69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221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19E4BC5"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填报单位：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河北雄安新区容东管理委员会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填报人（签名）：</w:t>
            </w:r>
          </w:p>
        </w:tc>
      </w:tr>
      <w:tr w14:paraId="4ADC13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1B5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9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129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定安社区工作经费和党组织服务群众工作专项经费</w:t>
            </w:r>
            <w:bookmarkEnd w:id="0"/>
          </w:p>
        </w:tc>
      </w:tr>
      <w:tr w14:paraId="50818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4C0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DE2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河北雄安新区容东管理委员会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8A2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E1C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河北雄安新区容东管理委员会</w:t>
            </w:r>
          </w:p>
        </w:tc>
      </w:tr>
      <w:tr w14:paraId="488AB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5E2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B35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E3BF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EF7E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319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7F3C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B0B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7462B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B79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6872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7909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25.9376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4AA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25.7576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24E4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64D5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99.31%</w:t>
            </w:r>
          </w:p>
        </w:tc>
        <w:tc>
          <w:tcPr>
            <w:tcW w:w="1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7AD2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65737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2B0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46F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其中：当年财政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拨款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E398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25.9376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025E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25.7576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15F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2323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99.31%</w:t>
            </w:r>
          </w:p>
        </w:tc>
        <w:tc>
          <w:tcPr>
            <w:tcW w:w="1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61E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BA5D8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B0E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275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15F1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D20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520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223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C85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A737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2E0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FF3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A370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D73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38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8E1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BD1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6F075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67B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411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709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0A4BE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FB6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33F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保障定安社区办公正常运转</w:t>
            </w:r>
          </w:p>
        </w:tc>
        <w:tc>
          <w:tcPr>
            <w:tcW w:w="40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3D7D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社区党群中心正常办公</w:t>
            </w:r>
          </w:p>
        </w:tc>
      </w:tr>
      <w:tr w14:paraId="10D9C3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B4A4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E2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0C6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EC6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AF7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6676E5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A5E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12D750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C21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7CA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FB2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C07B7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7D6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CE8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FE4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4056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举办活动场次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638BC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A736B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-SA"/>
              </w:rPr>
              <w:t>113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122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9C3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AEB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C0C5D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exact"/>
          <w:jc w:val="center"/>
        </w:trPr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C6F3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280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15E0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5060248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  <w:p w14:paraId="475EC4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群众文化活动参与率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0250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≥98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CE27B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1206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63DF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0E8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9F4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exact"/>
          <w:jc w:val="center"/>
        </w:trPr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6E8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CE3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D57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C2CF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专项资金拨付及时率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827B0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546D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C94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A047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C743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1882B2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D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0950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F2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E660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成本控制率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CA171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2D7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99.3%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4D61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5AE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7996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00FD8A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exact"/>
          <w:jc w:val="center"/>
        </w:trPr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4ED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9FF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6B3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经济效益</w:t>
            </w:r>
          </w:p>
          <w:p w14:paraId="0C2235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BCA4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带动相关领域及行业效益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3CBA2">
            <w:pPr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≥92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62B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F5D1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8C7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14.7</w:t>
            </w:r>
          </w:p>
        </w:tc>
        <w:tc>
          <w:tcPr>
            <w:tcW w:w="1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BD6D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eastAsia="zh-CN"/>
              </w:rPr>
              <w:t>活动在促进周边商业发展的效果上欠佳。后续会继续加大与周边商业的联建合作，提高商业知名度，促进商业发展。</w:t>
            </w:r>
          </w:p>
        </w:tc>
      </w:tr>
      <w:tr w14:paraId="30D58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C47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2B0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A5A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0300625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53435C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2BDF9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宣传、活动影响力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18501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14A5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DB9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C04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A5F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5F4A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62F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ADA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69F5FB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611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BAC1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956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27B827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013AF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6075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1460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7A4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447EB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E64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FD5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EB4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99.7</w:t>
            </w:r>
          </w:p>
        </w:tc>
        <w:tc>
          <w:tcPr>
            <w:tcW w:w="1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D7F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B5F68B5">
      <w:pPr>
        <w:pStyle w:val="2"/>
        <w:rPr>
          <w:rFonts w:hint="eastAsia"/>
          <w:lang w:eastAsia="zh-CN"/>
        </w:rPr>
      </w:pPr>
    </w:p>
    <w:sectPr>
      <w:headerReference r:id="rId3" w:type="default"/>
      <w:footerReference r:id="rId4" w:type="default"/>
      <w:pgSz w:w="11906" w:h="16838"/>
      <w:pgMar w:top="1928" w:right="1474" w:bottom="1814" w:left="1588" w:header="851" w:footer="992" w:gutter="0"/>
      <w:pgNumType w:fmt="numberInDash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EE97D18-8959-462F-8C3C-F8804FDE6DC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F0B83EBD-6272-4CA6-A955-7DB28BFCA89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67B94B1C-59EF-4ED0-AAA0-A7863E87EE78}"/>
  </w:font>
  <w:font w:name="WPSEMBED1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85FA14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30EE9A51">
                          <w:pPr>
                            <w:pStyle w:val="5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AbIchB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0EE9A51">
                    <w:pPr>
                      <w:pStyle w:val="5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6C685738">
                          <w:pPr>
                            <w:pStyle w:val="5"/>
                          </w:pP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OqXm5zwAAAAUBAAAP&#10;AAAAAAAAAAEAIAAAACIAAABkcnMvZG93bnJldi54bWxQSwECFAAUAAAACACHTuJARQa37egBAADK&#10;AwAADgAAAAAAAAABACAAAAAe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C685738">
                    <w:pPr>
                      <w:pStyle w:val="5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99FBEF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IxMjQ2NDhlNTJlM2MzZjAxZWYxZmJhYTlmN2QifQ=="/>
  </w:docVars>
  <w:rsids>
    <w:rsidRoot w:val="00664E70"/>
    <w:rsid w:val="002103F3"/>
    <w:rsid w:val="003033E5"/>
    <w:rsid w:val="00664E70"/>
    <w:rsid w:val="02195EB4"/>
    <w:rsid w:val="024A0FB8"/>
    <w:rsid w:val="05EF10DD"/>
    <w:rsid w:val="05F16ED1"/>
    <w:rsid w:val="06171425"/>
    <w:rsid w:val="08716687"/>
    <w:rsid w:val="09680DE5"/>
    <w:rsid w:val="0A271F7F"/>
    <w:rsid w:val="0A7275D3"/>
    <w:rsid w:val="0A7A684A"/>
    <w:rsid w:val="0B6D0DC3"/>
    <w:rsid w:val="0E5775E4"/>
    <w:rsid w:val="0FE06F39"/>
    <w:rsid w:val="10032FEE"/>
    <w:rsid w:val="1012185B"/>
    <w:rsid w:val="101A232B"/>
    <w:rsid w:val="10DC022C"/>
    <w:rsid w:val="10FD24F6"/>
    <w:rsid w:val="116A2871"/>
    <w:rsid w:val="125B3C29"/>
    <w:rsid w:val="141B1830"/>
    <w:rsid w:val="14A800EA"/>
    <w:rsid w:val="15EF0849"/>
    <w:rsid w:val="160D35A5"/>
    <w:rsid w:val="167E20F6"/>
    <w:rsid w:val="179E7583"/>
    <w:rsid w:val="187524B2"/>
    <w:rsid w:val="1CC35ED2"/>
    <w:rsid w:val="1D6A5869"/>
    <w:rsid w:val="1E2B0B3B"/>
    <w:rsid w:val="1F301408"/>
    <w:rsid w:val="21F62105"/>
    <w:rsid w:val="237C5D01"/>
    <w:rsid w:val="247179A7"/>
    <w:rsid w:val="2716624D"/>
    <w:rsid w:val="27950868"/>
    <w:rsid w:val="27AC4283"/>
    <w:rsid w:val="27D5721A"/>
    <w:rsid w:val="28065AFB"/>
    <w:rsid w:val="294B45E1"/>
    <w:rsid w:val="2B9D14DF"/>
    <w:rsid w:val="2F57210C"/>
    <w:rsid w:val="313D6318"/>
    <w:rsid w:val="324A242A"/>
    <w:rsid w:val="34A57A68"/>
    <w:rsid w:val="36201D7F"/>
    <w:rsid w:val="365060AA"/>
    <w:rsid w:val="36E97291"/>
    <w:rsid w:val="37362EDC"/>
    <w:rsid w:val="397740ED"/>
    <w:rsid w:val="3AE57DAD"/>
    <w:rsid w:val="3C71212F"/>
    <w:rsid w:val="3CA17BCF"/>
    <w:rsid w:val="3D950AC9"/>
    <w:rsid w:val="3D9E3267"/>
    <w:rsid w:val="3E37114F"/>
    <w:rsid w:val="3EBA681F"/>
    <w:rsid w:val="4198071E"/>
    <w:rsid w:val="42E81DAB"/>
    <w:rsid w:val="438E5C03"/>
    <w:rsid w:val="4464716A"/>
    <w:rsid w:val="461863CB"/>
    <w:rsid w:val="47602F0A"/>
    <w:rsid w:val="4871646A"/>
    <w:rsid w:val="49D571FE"/>
    <w:rsid w:val="4D6E2F78"/>
    <w:rsid w:val="4E582B32"/>
    <w:rsid w:val="4FE94451"/>
    <w:rsid w:val="50DD69E7"/>
    <w:rsid w:val="53306449"/>
    <w:rsid w:val="53986036"/>
    <w:rsid w:val="53A70392"/>
    <w:rsid w:val="53B46384"/>
    <w:rsid w:val="549A1AF8"/>
    <w:rsid w:val="54EE796B"/>
    <w:rsid w:val="57FF15DE"/>
    <w:rsid w:val="58B10642"/>
    <w:rsid w:val="595E6596"/>
    <w:rsid w:val="5AD50DCA"/>
    <w:rsid w:val="5CAE5D1B"/>
    <w:rsid w:val="5DE1313F"/>
    <w:rsid w:val="5DEA3B54"/>
    <w:rsid w:val="5FC25423"/>
    <w:rsid w:val="617A7CE6"/>
    <w:rsid w:val="64063A4B"/>
    <w:rsid w:val="64683742"/>
    <w:rsid w:val="66F422E8"/>
    <w:rsid w:val="690A6954"/>
    <w:rsid w:val="6AE41158"/>
    <w:rsid w:val="6C244AF9"/>
    <w:rsid w:val="6DEC3D34"/>
    <w:rsid w:val="6DF5679B"/>
    <w:rsid w:val="6E097976"/>
    <w:rsid w:val="6F7D33FF"/>
    <w:rsid w:val="71F4281A"/>
    <w:rsid w:val="722757D2"/>
    <w:rsid w:val="75D4243B"/>
    <w:rsid w:val="77EB9929"/>
    <w:rsid w:val="7C4D199F"/>
    <w:rsid w:val="7CAB3FD5"/>
    <w:rsid w:val="7CFFCBB2"/>
    <w:rsid w:val="7DCD862B"/>
    <w:rsid w:val="7E7B25D1"/>
    <w:rsid w:val="AF69EB4A"/>
    <w:rsid w:val="BD6F3E5D"/>
    <w:rsid w:val="D7B7AAEE"/>
    <w:rsid w:val="EFF6A709"/>
    <w:rsid w:val="F6D6A7D3"/>
    <w:rsid w:val="FC6F99AF"/>
    <w:rsid w:val="FFDE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qFormat="1" w:uiPriority="0" w:semiHidden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ar-SA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link w:val="13"/>
    <w:qFormat/>
    <w:uiPriority w:val="99"/>
    <w:rPr>
      <w:rFonts w:ascii="宋体" w:hAnsi="Courier New" w:cs="宋体"/>
    </w:rPr>
  </w:style>
  <w:style w:type="paragraph" w:styleId="3">
    <w:name w:val="index 9"/>
    <w:basedOn w:val="1"/>
    <w:next w:val="1"/>
    <w:unhideWhenUsed/>
    <w:qFormat/>
    <w:uiPriority w:val="0"/>
    <w:pPr>
      <w:ind w:left="1600" w:leftChars="1600"/>
    </w:p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Calibri" w:hAnsi="Calibri"/>
      <w:szCs w:val="21"/>
    </w:rPr>
  </w:style>
  <w:style w:type="paragraph" w:styleId="5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  <w:style w:type="character" w:styleId="11">
    <w:name w:val="page number"/>
    <w:basedOn w:val="10"/>
    <w:qFormat/>
    <w:uiPriority w:val="0"/>
  </w:style>
  <w:style w:type="paragraph" w:customStyle="1" w:styleId="12">
    <w:name w:val="Plain Text1"/>
    <w:basedOn w:val="1"/>
    <w:qFormat/>
    <w:uiPriority w:val="0"/>
    <w:rPr>
      <w:rFonts w:ascii="宋体" w:hAnsi="Courier New" w:eastAsia="宋体"/>
      <w:sz w:val="22"/>
    </w:rPr>
  </w:style>
  <w:style w:type="character" w:customStyle="1" w:styleId="13">
    <w:name w:val="纯文本 Char"/>
    <w:basedOn w:val="10"/>
    <w:link w:val="2"/>
    <w:qFormat/>
    <w:uiPriority w:val="99"/>
    <w:rPr>
      <w:rFonts w:ascii="宋体" w:hAnsi="Courier New" w:eastAsia="宋体" w:cs="宋体"/>
      <w:szCs w:val="24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1866</Words>
  <Characters>2069</Characters>
  <Lines>1</Lines>
  <Paragraphs>1</Paragraphs>
  <TotalTime>0</TotalTime>
  <ScaleCrop>false</ScaleCrop>
  <LinksUpToDate>false</LinksUpToDate>
  <CharactersWithSpaces>2109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2022-05-14T00:28:00Z</dcterms:created>
  <dc:creator>user</dc:creator>
  <cp:lastModifiedBy>川</cp:lastModifiedBy>
  <cp:lastPrinted>2024-03-09T18:22:00Z</cp:lastPrinted>
  <dcterms:modified xsi:type="dcterms:W3CDTF">2025-08-25T10:37:45Z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50B3B3D1074E481B95FEB92BA256C42D_13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