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33</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34</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34</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35</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705雄县人民检察院</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1297.00</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r>
              <w:t>1081.82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158.70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21.00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37.50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1297.00</w:t>
            </w:r>
          </w:p>
        </w:tc>
        <w:tc>
          <w:tcPr>
            <w:tcW w:w="4535" w:type="dxa"/>
            <w:vAlign w:val="center"/>
          </w:tcPr>
          <w:p>
            <w:pPr>
              <w:pStyle w:val="15"/>
            </w:pPr>
            <w:r>
              <w:t>本年支出合计</w:t>
            </w:r>
          </w:p>
        </w:tc>
        <w:tc>
          <w:tcPr>
            <w:tcW w:w="2126" w:type="dxa"/>
            <w:vAlign w:val="center"/>
          </w:tcPr>
          <w:p>
            <w:pPr>
              <w:pStyle w:val="16"/>
            </w:pPr>
            <w:r>
              <w:t>1299.02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r>
              <w:t>2.02</w:t>
            </w: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1299.02</w:t>
            </w:r>
          </w:p>
        </w:tc>
        <w:tc>
          <w:tcPr>
            <w:tcW w:w="4535" w:type="dxa"/>
            <w:vAlign w:val="center"/>
          </w:tcPr>
          <w:p>
            <w:pPr>
              <w:pStyle w:val="15"/>
            </w:pPr>
            <w:r>
              <w:t>支出总计</w:t>
            </w:r>
          </w:p>
        </w:tc>
        <w:tc>
          <w:tcPr>
            <w:tcW w:w="2126" w:type="dxa"/>
            <w:vAlign w:val="center"/>
          </w:tcPr>
          <w:p>
            <w:pPr>
              <w:pStyle w:val="16"/>
            </w:pPr>
            <w:r>
              <w:t>1299.02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705雄县人民检察院</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1299.02</w:t>
            </w:r>
          </w:p>
        </w:tc>
        <w:tc>
          <w:tcPr>
            <w:tcW w:w="1134" w:type="dxa"/>
            <w:vAlign w:val="center"/>
          </w:tcPr>
          <w:p>
            <w:pPr>
              <w:pStyle w:val="16"/>
            </w:pPr>
            <w:r>
              <w:t>1297.00</w:t>
            </w:r>
          </w:p>
        </w:tc>
        <w:tc>
          <w:tcPr>
            <w:tcW w:w="1134" w:type="dxa"/>
            <w:vAlign w:val="center"/>
          </w:tcPr>
          <w:p>
            <w:pPr>
              <w:pStyle w:val="16"/>
            </w:pPr>
            <w:r>
              <w:t>1297.00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2.02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204</w:t>
            </w:r>
          </w:p>
        </w:tc>
        <w:tc>
          <w:tcPr>
            <w:tcW w:w="1559" w:type="dxa"/>
            <w:vAlign w:val="center"/>
          </w:tcPr>
          <w:p>
            <w:pPr>
              <w:pStyle w:val="13"/>
            </w:pPr>
            <w:r>
              <w:t>公共安全支出</w:t>
            </w:r>
          </w:p>
        </w:tc>
        <w:tc>
          <w:tcPr>
            <w:tcW w:w="1134" w:type="dxa"/>
            <w:vAlign w:val="center"/>
          </w:tcPr>
          <w:p>
            <w:pPr>
              <w:pStyle w:val="12"/>
            </w:pPr>
            <w:r>
              <w:t>1081.82</w:t>
            </w:r>
          </w:p>
        </w:tc>
        <w:tc>
          <w:tcPr>
            <w:tcW w:w="1134" w:type="dxa"/>
            <w:vAlign w:val="center"/>
          </w:tcPr>
          <w:p>
            <w:pPr>
              <w:pStyle w:val="12"/>
            </w:pPr>
            <w:r>
              <w:t>1079.80</w:t>
            </w:r>
          </w:p>
        </w:tc>
        <w:tc>
          <w:tcPr>
            <w:tcW w:w="1134" w:type="dxa"/>
            <w:vAlign w:val="center"/>
          </w:tcPr>
          <w:p>
            <w:pPr>
              <w:pStyle w:val="12"/>
            </w:pPr>
            <w:r>
              <w:t>1079.80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20404</w:t>
            </w:r>
          </w:p>
        </w:tc>
        <w:tc>
          <w:tcPr>
            <w:tcW w:w="1559" w:type="dxa"/>
            <w:vAlign w:val="center"/>
          </w:tcPr>
          <w:p>
            <w:pPr>
              <w:pStyle w:val="13"/>
            </w:pPr>
            <w:r>
              <w:t>检察</w:t>
            </w:r>
          </w:p>
        </w:tc>
        <w:tc>
          <w:tcPr>
            <w:tcW w:w="1134" w:type="dxa"/>
            <w:vAlign w:val="center"/>
          </w:tcPr>
          <w:p>
            <w:pPr>
              <w:pStyle w:val="12"/>
            </w:pPr>
            <w:r>
              <w:t>1081.82</w:t>
            </w:r>
          </w:p>
        </w:tc>
        <w:tc>
          <w:tcPr>
            <w:tcW w:w="1134" w:type="dxa"/>
            <w:vAlign w:val="center"/>
          </w:tcPr>
          <w:p>
            <w:pPr>
              <w:pStyle w:val="12"/>
            </w:pPr>
            <w:r>
              <w:t>1079.80</w:t>
            </w:r>
          </w:p>
        </w:tc>
        <w:tc>
          <w:tcPr>
            <w:tcW w:w="1134" w:type="dxa"/>
            <w:vAlign w:val="center"/>
          </w:tcPr>
          <w:p>
            <w:pPr>
              <w:pStyle w:val="12"/>
            </w:pPr>
            <w:r>
              <w:t>1079.80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2040401</w:t>
            </w:r>
          </w:p>
        </w:tc>
        <w:tc>
          <w:tcPr>
            <w:tcW w:w="1559" w:type="dxa"/>
            <w:vAlign w:val="center"/>
          </w:tcPr>
          <w:p>
            <w:pPr>
              <w:pStyle w:val="13"/>
            </w:pPr>
            <w:r>
              <w:t>行政运行</w:t>
            </w:r>
          </w:p>
        </w:tc>
        <w:tc>
          <w:tcPr>
            <w:tcW w:w="1134" w:type="dxa"/>
            <w:vAlign w:val="center"/>
          </w:tcPr>
          <w:p>
            <w:pPr>
              <w:pStyle w:val="12"/>
            </w:pPr>
            <w:r>
              <w:t>840.00</w:t>
            </w:r>
          </w:p>
        </w:tc>
        <w:tc>
          <w:tcPr>
            <w:tcW w:w="1134" w:type="dxa"/>
            <w:vAlign w:val="center"/>
          </w:tcPr>
          <w:p>
            <w:pPr>
              <w:pStyle w:val="12"/>
            </w:pPr>
            <w:r>
              <w:t>840.00</w:t>
            </w:r>
          </w:p>
        </w:tc>
        <w:tc>
          <w:tcPr>
            <w:tcW w:w="1134" w:type="dxa"/>
            <w:vAlign w:val="center"/>
          </w:tcPr>
          <w:p>
            <w:pPr>
              <w:pStyle w:val="12"/>
            </w:pPr>
            <w:r>
              <w:t>840.00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2040402</w:t>
            </w:r>
          </w:p>
        </w:tc>
        <w:tc>
          <w:tcPr>
            <w:tcW w:w="1559" w:type="dxa"/>
            <w:vAlign w:val="center"/>
          </w:tcPr>
          <w:p>
            <w:pPr>
              <w:pStyle w:val="13"/>
            </w:pPr>
            <w:r>
              <w:t>一般行政管理事务</w:t>
            </w:r>
          </w:p>
        </w:tc>
        <w:tc>
          <w:tcPr>
            <w:tcW w:w="1134" w:type="dxa"/>
            <w:vAlign w:val="center"/>
          </w:tcPr>
          <w:p>
            <w:pPr>
              <w:pStyle w:val="12"/>
            </w:pPr>
            <w:r>
              <w:t>1.80</w:t>
            </w:r>
          </w:p>
        </w:tc>
        <w:tc>
          <w:tcPr>
            <w:tcW w:w="1134" w:type="dxa"/>
            <w:vAlign w:val="center"/>
          </w:tcPr>
          <w:p>
            <w:pPr>
              <w:pStyle w:val="12"/>
            </w:pPr>
            <w:r>
              <w:t>1.80</w:t>
            </w:r>
          </w:p>
        </w:tc>
        <w:tc>
          <w:tcPr>
            <w:tcW w:w="1134" w:type="dxa"/>
            <w:vAlign w:val="center"/>
          </w:tcPr>
          <w:p>
            <w:pPr>
              <w:pStyle w:val="12"/>
            </w:pPr>
            <w:r>
              <w:t>1.80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2040410</w:t>
            </w:r>
          </w:p>
        </w:tc>
        <w:tc>
          <w:tcPr>
            <w:tcW w:w="1559" w:type="dxa"/>
            <w:vAlign w:val="center"/>
          </w:tcPr>
          <w:p>
            <w:pPr>
              <w:pStyle w:val="13"/>
            </w:pPr>
            <w:r>
              <w:t>检察监督</w:t>
            </w:r>
          </w:p>
        </w:tc>
        <w:tc>
          <w:tcPr>
            <w:tcW w:w="1134" w:type="dxa"/>
            <w:vAlign w:val="center"/>
          </w:tcPr>
          <w:p>
            <w:pPr>
              <w:pStyle w:val="12"/>
            </w:pPr>
            <w:r>
              <w:t>50.50</w:t>
            </w:r>
          </w:p>
        </w:tc>
        <w:tc>
          <w:tcPr>
            <w:tcW w:w="1134" w:type="dxa"/>
            <w:vAlign w:val="center"/>
          </w:tcPr>
          <w:p>
            <w:pPr>
              <w:pStyle w:val="12"/>
            </w:pPr>
            <w:r>
              <w:t>50.00</w:t>
            </w:r>
          </w:p>
        </w:tc>
        <w:tc>
          <w:tcPr>
            <w:tcW w:w="1134" w:type="dxa"/>
            <w:vAlign w:val="center"/>
          </w:tcPr>
          <w:p>
            <w:pPr>
              <w:pStyle w:val="12"/>
            </w:pPr>
            <w:r>
              <w:t>50.00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2040499</w:t>
            </w:r>
          </w:p>
        </w:tc>
        <w:tc>
          <w:tcPr>
            <w:tcW w:w="1559" w:type="dxa"/>
            <w:vAlign w:val="center"/>
          </w:tcPr>
          <w:p>
            <w:pPr>
              <w:pStyle w:val="13"/>
            </w:pPr>
            <w:r>
              <w:t>其他检察支出</w:t>
            </w:r>
          </w:p>
        </w:tc>
        <w:tc>
          <w:tcPr>
            <w:tcW w:w="1134" w:type="dxa"/>
            <w:vAlign w:val="center"/>
          </w:tcPr>
          <w:p>
            <w:pPr>
              <w:pStyle w:val="12"/>
            </w:pPr>
            <w:r>
              <w:t>189.52</w:t>
            </w:r>
          </w:p>
        </w:tc>
        <w:tc>
          <w:tcPr>
            <w:tcW w:w="1134" w:type="dxa"/>
            <w:vAlign w:val="center"/>
          </w:tcPr>
          <w:p>
            <w:pPr>
              <w:pStyle w:val="12"/>
            </w:pPr>
            <w:r>
              <w:t>188.00</w:t>
            </w:r>
          </w:p>
        </w:tc>
        <w:tc>
          <w:tcPr>
            <w:tcW w:w="1134" w:type="dxa"/>
            <w:vAlign w:val="center"/>
          </w:tcPr>
          <w:p>
            <w:pPr>
              <w:pStyle w:val="12"/>
            </w:pPr>
            <w:r>
              <w:t>188.00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158.70</w:t>
            </w:r>
          </w:p>
        </w:tc>
        <w:tc>
          <w:tcPr>
            <w:tcW w:w="1134" w:type="dxa"/>
            <w:vAlign w:val="center"/>
          </w:tcPr>
          <w:p>
            <w:pPr>
              <w:pStyle w:val="12"/>
            </w:pPr>
            <w:r>
              <w:t>158.70</w:t>
            </w:r>
          </w:p>
        </w:tc>
        <w:tc>
          <w:tcPr>
            <w:tcW w:w="1134" w:type="dxa"/>
            <w:vAlign w:val="center"/>
          </w:tcPr>
          <w:p>
            <w:pPr>
              <w:pStyle w:val="12"/>
            </w:pPr>
            <w:r>
              <w:t>158.70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157.20</w:t>
            </w:r>
          </w:p>
        </w:tc>
        <w:tc>
          <w:tcPr>
            <w:tcW w:w="1134" w:type="dxa"/>
            <w:vAlign w:val="center"/>
          </w:tcPr>
          <w:p>
            <w:pPr>
              <w:pStyle w:val="12"/>
            </w:pPr>
            <w:r>
              <w:t>157.20</w:t>
            </w:r>
          </w:p>
        </w:tc>
        <w:tc>
          <w:tcPr>
            <w:tcW w:w="1134" w:type="dxa"/>
            <w:vAlign w:val="center"/>
          </w:tcPr>
          <w:p>
            <w:pPr>
              <w:pStyle w:val="12"/>
            </w:pPr>
            <w:r>
              <w:t>157.20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112.20</w:t>
            </w:r>
          </w:p>
        </w:tc>
        <w:tc>
          <w:tcPr>
            <w:tcW w:w="1134" w:type="dxa"/>
            <w:vAlign w:val="center"/>
          </w:tcPr>
          <w:p>
            <w:pPr>
              <w:pStyle w:val="12"/>
            </w:pPr>
            <w:r>
              <w:t>112.20</w:t>
            </w:r>
          </w:p>
        </w:tc>
        <w:tc>
          <w:tcPr>
            <w:tcW w:w="1134" w:type="dxa"/>
            <w:vAlign w:val="center"/>
          </w:tcPr>
          <w:p>
            <w:pPr>
              <w:pStyle w:val="12"/>
            </w:pPr>
            <w:r>
              <w:t>112.20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45.00</w:t>
            </w:r>
          </w:p>
        </w:tc>
        <w:tc>
          <w:tcPr>
            <w:tcW w:w="1134" w:type="dxa"/>
            <w:vAlign w:val="center"/>
          </w:tcPr>
          <w:p>
            <w:pPr>
              <w:pStyle w:val="12"/>
            </w:pPr>
            <w:r>
              <w:t>45.00</w:t>
            </w:r>
          </w:p>
        </w:tc>
        <w:tc>
          <w:tcPr>
            <w:tcW w:w="1134" w:type="dxa"/>
            <w:vAlign w:val="center"/>
          </w:tcPr>
          <w:p>
            <w:pPr>
              <w:pStyle w:val="12"/>
            </w:pPr>
            <w:r>
              <w:t>45.00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20830</w:t>
            </w:r>
          </w:p>
        </w:tc>
        <w:tc>
          <w:tcPr>
            <w:tcW w:w="1559" w:type="dxa"/>
            <w:vAlign w:val="center"/>
          </w:tcPr>
          <w:p>
            <w:pPr>
              <w:pStyle w:val="13"/>
            </w:pPr>
            <w:r>
              <w:t>财政代缴社会保险费支出</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2083099</w:t>
            </w:r>
          </w:p>
        </w:tc>
        <w:tc>
          <w:tcPr>
            <w:tcW w:w="1559" w:type="dxa"/>
            <w:vAlign w:val="center"/>
          </w:tcPr>
          <w:p>
            <w:pPr>
              <w:pStyle w:val="13"/>
            </w:pPr>
            <w:r>
              <w:t>财政代缴其他社会保险费支出</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21.00</w:t>
            </w:r>
          </w:p>
        </w:tc>
        <w:tc>
          <w:tcPr>
            <w:tcW w:w="1134" w:type="dxa"/>
            <w:vAlign w:val="center"/>
          </w:tcPr>
          <w:p>
            <w:pPr>
              <w:pStyle w:val="12"/>
            </w:pPr>
            <w:r>
              <w:t>21.00</w:t>
            </w:r>
          </w:p>
        </w:tc>
        <w:tc>
          <w:tcPr>
            <w:tcW w:w="1134" w:type="dxa"/>
            <w:vAlign w:val="center"/>
          </w:tcPr>
          <w:p>
            <w:pPr>
              <w:pStyle w:val="12"/>
            </w:pPr>
            <w:r>
              <w:t>21.00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21.00</w:t>
            </w:r>
          </w:p>
        </w:tc>
        <w:tc>
          <w:tcPr>
            <w:tcW w:w="1134" w:type="dxa"/>
            <w:vAlign w:val="center"/>
          </w:tcPr>
          <w:p>
            <w:pPr>
              <w:pStyle w:val="12"/>
            </w:pPr>
            <w:r>
              <w:t>21.00</w:t>
            </w:r>
          </w:p>
        </w:tc>
        <w:tc>
          <w:tcPr>
            <w:tcW w:w="1134" w:type="dxa"/>
            <w:vAlign w:val="center"/>
          </w:tcPr>
          <w:p>
            <w:pPr>
              <w:pStyle w:val="12"/>
            </w:pPr>
            <w:r>
              <w:t>21.00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21.00</w:t>
            </w:r>
          </w:p>
        </w:tc>
        <w:tc>
          <w:tcPr>
            <w:tcW w:w="1134" w:type="dxa"/>
            <w:vAlign w:val="center"/>
          </w:tcPr>
          <w:p>
            <w:pPr>
              <w:pStyle w:val="12"/>
            </w:pPr>
            <w:r>
              <w:t>21.00</w:t>
            </w:r>
          </w:p>
        </w:tc>
        <w:tc>
          <w:tcPr>
            <w:tcW w:w="1134" w:type="dxa"/>
            <w:vAlign w:val="center"/>
          </w:tcPr>
          <w:p>
            <w:pPr>
              <w:pStyle w:val="12"/>
            </w:pPr>
            <w:r>
              <w:t>21.00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37.50</w:t>
            </w:r>
          </w:p>
        </w:tc>
        <w:tc>
          <w:tcPr>
            <w:tcW w:w="1134" w:type="dxa"/>
            <w:vAlign w:val="center"/>
          </w:tcPr>
          <w:p>
            <w:pPr>
              <w:pStyle w:val="12"/>
            </w:pPr>
            <w:r>
              <w:t>37.50</w:t>
            </w:r>
          </w:p>
        </w:tc>
        <w:tc>
          <w:tcPr>
            <w:tcW w:w="1134" w:type="dxa"/>
            <w:vAlign w:val="center"/>
          </w:tcPr>
          <w:p>
            <w:pPr>
              <w:pStyle w:val="12"/>
            </w:pPr>
            <w:r>
              <w:t>37.50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37.50</w:t>
            </w:r>
          </w:p>
        </w:tc>
        <w:tc>
          <w:tcPr>
            <w:tcW w:w="1134" w:type="dxa"/>
            <w:vAlign w:val="center"/>
          </w:tcPr>
          <w:p>
            <w:pPr>
              <w:pStyle w:val="12"/>
            </w:pPr>
            <w:r>
              <w:t>37.50</w:t>
            </w:r>
          </w:p>
        </w:tc>
        <w:tc>
          <w:tcPr>
            <w:tcW w:w="1134" w:type="dxa"/>
            <w:vAlign w:val="center"/>
          </w:tcPr>
          <w:p>
            <w:pPr>
              <w:pStyle w:val="12"/>
            </w:pPr>
            <w:r>
              <w:t>37.50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37.50</w:t>
            </w:r>
          </w:p>
        </w:tc>
        <w:tc>
          <w:tcPr>
            <w:tcW w:w="1134" w:type="dxa"/>
            <w:vAlign w:val="center"/>
          </w:tcPr>
          <w:p>
            <w:pPr>
              <w:pStyle w:val="12"/>
            </w:pPr>
            <w:r>
              <w:t>37.50</w:t>
            </w:r>
          </w:p>
        </w:tc>
        <w:tc>
          <w:tcPr>
            <w:tcW w:w="1134" w:type="dxa"/>
            <w:vAlign w:val="center"/>
          </w:tcPr>
          <w:p>
            <w:pPr>
              <w:pStyle w:val="12"/>
            </w:pPr>
            <w:r>
              <w:t>37.50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705雄县人民检察院</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1299.02</w:t>
            </w:r>
          </w:p>
        </w:tc>
        <w:tc>
          <w:tcPr>
            <w:tcW w:w="1361" w:type="dxa"/>
            <w:vAlign w:val="center"/>
          </w:tcPr>
          <w:p>
            <w:pPr>
              <w:pStyle w:val="16"/>
            </w:pPr>
            <w:r>
              <w:t>976.00</w:t>
            </w:r>
          </w:p>
        </w:tc>
        <w:tc>
          <w:tcPr>
            <w:tcW w:w="1361" w:type="dxa"/>
            <w:vAlign w:val="center"/>
          </w:tcPr>
          <w:p>
            <w:pPr>
              <w:pStyle w:val="16"/>
            </w:pPr>
            <w:r>
              <w:t>323.02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204</w:t>
            </w:r>
          </w:p>
        </w:tc>
        <w:tc>
          <w:tcPr>
            <w:tcW w:w="4535" w:type="dxa"/>
            <w:vAlign w:val="center"/>
          </w:tcPr>
          <w:p>
            <w:pPr>
              <w:pStyle w:val="13"/>
            </w:pPr>
            <w:r>
              <w:t>公共安全支出</w:t>
            </w:r>
          </w:p>
        </w:tc>
        <w:tc>
          <w:tcPr>
            <w:tcW w:w="1361" w:type="dxa"/>
            <w:vAlign w:val="center"/>
          </w:tcPr>
          <w:p>
            <w:pPr>
              <w:pStyle w:val="12"/>
            </w:pPr>
            <w:r>
              <w:t>1081.82</w:t>
            </w:r>
          </w:p>
        </w:tc>
        <w:tc>
          <w:tcPr>
            <w:tcW w:w="1361" w:type="dxa"/>
            <w:vAlign w:val="center"/>
          </w:tcPr>
          <w:p>
            <w:pPr>
              <w:pStyle w:val="12"/>
            </w:pPr>
            <w:r>
              <w:t>758.80</w:t>
            </w:r>
          </w:p>
        </w:tc>
        <w:tc>
          <w:tcPr>
            <w:tcW w:w="1361" w:type="dxa"/>
            <w:vAlign w:val="center"/>
          </w:tcPr>
          <w:p>
            <w:pPr>
              <w:pStyle w:val="12"/>
            </w:pPr>
            <w:r>
              <w:t>323.02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20404</w:t>
            </w:r>
          </w:p>
        </w:tc>
        <w:tc>
          <w:tcPr>
            <w:tcW w:w="4535" w:type="dxa"/>
            <w:vAlign w:val="center"/>
          </w:tcPr>
          <w:p>
            <w:pPr>
              <w:pStyle w:val="13"/>
            </w:pPr>
            <w:r>
              <w:t>检察</w:t>
            </w:r>
          </w:p>
        </w:tc>
        <w:tc>
          <w:tcPr>
            <w:tcW w:w="1361" w:type="dxa"/>
            <w:vAlign w:val="center"/>
          </w:tcPr>
          <w:p>
            <w:pPr>
              <w:pStyle w:val="12"/>
            </w:pPr>
            <w:r>
              <w:t>1081.82</w:t>
            </w:r>
          </w:p>
        </w:tc>
        <w:tc>
          <w:tcPr>
            <w:tcW w:w="1361" w:type="dxa"/>
            <w:vAlign w:val="center"/>
          </w:tcPr>
          <w:p>
            <w:pPr>
              <w:pStyle w:val="12"/>
            </w:pPr>
            <w:r>
              <w:t>758.80</w:t>
            </w:r>
          </w:p>
        </w:tc>
        <w:tc>
          <w:tcPr>
            <w:tcW w:w="1361" w:type="dxa"/>
            <w:vAlign w:val="center"/>
          </w:tcPr>
          <w:p>
            <w:pPr>
              <w:pStyle w:val="12"/>
            </w:pPr>
            <w:r>
              <w:t>323.02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2040401</w:t>
            </w:r>
          </w:p>
        </w:tc>
        <w:tc>
          <w:tcPr>
            <w:tcW w:w="4535" w:type="dxa"/>
            <w:vAlign w:val="center"/>
          </w:tcPr>
          <w:p>
            <w:pPr>
              <w:pStyle w:val="13"/>
            </w:pPr>
            <w:r>
              <w:t>行政运行</w:t>
            </w:r>
          </w:p>
        </w:tc>
        <w:tc>
          <w:tcPr>
            <w:tcW w:w="1361" w:type="dxa"/>
            <w:vAlign w:val="center"/>
          </w:tcPr>
          <w:p>
            <w:pPr>
              <w:pStyle w:val="12"/>
            </w:pPr>
            <w:r>
              <w:t>840.00</w:t>
            </w:r>
          </w:p>
        </w:tc>
        <w:tc>
          <w:tcPr>
            <w:tcW w:w="1361" w:type="dxa"/>
            <w:vAlign w:val="center"/>
          </w:tcPr>
          <w:p>
            <w:pPr>
              <w:pStyle w:val="12"/>
            </w:pPr>
            <w:r>
              <w:t>757.00</w:t>
            </w:r>
          </w:p>
        </w:tc>
        <w:tc>
          <w:tcPr>
            <w:tcW w:w="1361" w:type="dxa"/>
            <w:vAlign w:val="center"/>
          </w:tcPr>
          <w:p>
            <w:pPr>
              <w:pStyle w:val="12"/>
            </w:pPr>
            <w:r>
              <w:t>83.00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2040402</w:t>
            </w:r>
          </w:p>
        </w:tc>
        <w:tc>
          <w:tcPr>
            <w:tcW w:w="4535" w:type="dxa"/>
            <w:vAlign w:val="center"/>
          </w:tcPr>
          <w:p>
            <w:pPr>
              <w:pStyle w:val="13"/>
            </w:pPr>
            <w:r>
              <w:t>一般行政管理事务</w:t>
            </w:r>
          </w:p>
        </w:tc>
        <w:tc>
          <w:tcPr>
            <w:tcW w:w="1361" w:type="dxa"/>
            <w:vAlign w:val="center"/>
          </w:tcPr>
          <w:p>
            <w:pPr>
              <w:pStyle w:val="12"/>
            </w:pPr>
            <w:r>
              <w:t>1.80</w:t>
            </w:r>
          </w:p>
        </w:tc>
        <w:tc>
          <w:tcPr>
            <w:tcW w:w="1361" w:type="dxa"/>
            <w:vAlign w:val="center"/>
          </w:tcPr>
          <w:p>
            <w:pPr>
              <w:pStyle w:val="12"/>
            </w:pPr>
            <w:r>
              <w:t>1.80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2040410</w:t>
            </w:r>
          </w:p>
        </w:tc>
        <w:tc>
          <w:tcPr>
            <w:tcW w:w="4535" w:type="dxa"/>
            <w:vAlign w:val="center"/>
          </w:tcPr>
          <w:p>
            <w:pPr>
              <w:pStyle w:val="13"/>
            </w:pPr>
            <w:r>
              <w:t>检察监督</w:t>
            </w:r>
          </w:p>
        </w:tc>
        <w:tc>
          <w:tcPr>
            <w:tcW w:w="1361" w:type="dxa"/>
            <w:vAlign w:val="center"/>
          </w:tcPr>
          <w:p>
            <w:pPr>
              <w:pStyle w:val="12"/>
            </w:pPr>
            <w:r>
              <w:t>50.50</w:t>
            </w:r>
          </w:p>
        </w:tc>
        <w:tc>
          <w:tcPr>
            <w:tcW w:w="1361" w:type="dxa"/>
            <w:vAlign w:val="center"/>
          </w:tcPr>
          <w:p>
            <w:pPr>
              <w:pStyle w:val="12"/>
            </w:pPr>
          </w:p>
        </w:tc>
        <w:tc>
          <w:tcPr>
            <w:tcW w:w="1361" w:type="dxa"/>
            <w:vAlign w:val="center"/>
          </w:tcPr>
          <w:p>
            <w:pPr>
              <w:pStyle w:val="12"/>
            </w:pPr>
            <w:r>
              <w:t>50.50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2040499</w:t>
            </w:r>
          </w:p>
        </w:tc>
        <w:tc>
          <w:tcPr>
            <w:tcW w:w="4535" w:type="dxa"/>
            <w:vAlign w:val="center"/>
          </w:tcPr>
          <w:p>
            <w:pPr>
              <w:pStyle w:val="13"/>
            </w:pPr>
            <w:r>
              <w:t>其他检察支出</w:t>
            </w:r>
          </w:p>
        </w:tc>
        <w:tc>
          <w:tcPr>
            <w:tcW w:w="1361" w:type="dxa"/>
            <w:vAlign w:val="center"/>
          </w:tcPr>
          <w:p>
            <w:pPr>
              <w:pStyle w:val="12"/>
            </w:pPr>
            <w:r>
              <w:t>189.52</w:t>
            </w:r>
          </w:p>
        </w:tc>
        <w:tc>
          <w:tcPr>
            <w:tcW w:w="1361" w:type="dxa"/>
            <w:vAlign w:val="center"/>
          </w:tcPr>
          <w:p>
            <w:pPr>
              <w:pStyle w:val="12"/>
            </w:pPr>
          </w:p>
        </w:tc>
        <w:tc>
          <w:tcPr>
            <w:tcW w:w="1361" w:type="dxa"/>
            <w:vAlign w:val="center"/>
          </w:tcPr>
          <w:p>
            <w:pPr>
              <w:pStyle w:val="12"/>
            </w:pPr>
            <w:r>
              <w:t>189.52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158.70</w:t>
            </w:r>
          </w:p>
        </w:tc>
        <w:tc>
          <w:tcPr>
            <w:tcW w:w="1361" w:type="dxa"/>
            <w:vAlign w:val="center"/>
          </w:tcPr>
          <w:p>
            <w:pPr>
              <w:pStyle w:val="12"/>
            </w:pPr>
            <w:r>
              <w:t>158.70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157.20</w:t>
            </w:r>
          </w:p>
        </w:tc>
        <w:tc>
          <w:tcPr>
            <w:tcW w:w="1361" w:type="dxa"/>
            <w:vAlign w:val="center"/>
          </w:tcPr>
          <w:p>
            <w:pPr>
              <w:pStyle w:val="12"/>
            </w:pPr>
            <w:r>
              <w:t>157.20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112.20</w:t>
            </w:r>
          </w:p>
        </w:tc>
        <w:tc>
          <w:tcPr>
            <w:tcW w:w="1361" w:type="dxa"/>
            <w:vAlign w:val="center"/>
          </w:tcPr>
          <w:p>
            <w:pPr>
              <w:pStyle w:val="12"/>
            </w:pPr>
            <w:r>
              <w:t>112.20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45.00</w:t>
            </w:r>
          </w:p>
        </w:tc>
        <w:tc>
          <w:tcPr>
            <w:tcW w:w="1361" w:type="dxa"/>
            <w:vAlign w:val="center"/>
          </w:tcPr>
          <w:p>
            <w:pPr>
              <w:pStyle w:val="12"/>
            </w:pPr>
            <w:r>
              <w:t>45.00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20830</w:t>
            </w:r>
          </w:p>
        </w:tc>
        <w:tc>
          <w:tcPr>
            <w:tcW w:w="4535" w:type="dxa"/>
            <w:vAlign w:val="center"/>
          </w:tcPr>
          <w:p>
            <w:pPr>
              <w:pStyle w:val="13"/>
            </w:pPr>
            <w:r>
              <w:t>财政代缴社会保险费支出</w:t>
            </w:r>
          </w:p>
        </w:tc>
        <w:tc>
          <w:tcPr>
            <w:tcW w:w="1361" w:type="dxa"/>
            <w:vAlign w:val="center"/>
          </w:tcPr>
          <w:p>
            <w:pPr>
              <w:pStyle w:val="12"/>
            </w:pPr>
            <w:r>
              <w:t>1.50</w:t>
            </w: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2083099</w:t>
            </w:r>
          </w:p>
        </w:tc>
        <w:tc>
          <w:tcPr>
            <w:tcW w:w="4535" w:type="dxa"/>
            <w:vAlign w:val="center"/>
          </w:tcPr>
          <w:p>
            <w:pPr>
              <w:pStyle w:val="13"/>
            </w:pPr>
            <w:r>
              <w:t>财政代缴其他社会保险费支出</w:t>
            </w:r>
          </w:p>
        </w:tc>
        <w:tc>
          <w:tcPr>
            <w:tcW w:w="1361" w:type="dxa"/>
            <w:vAlign w:val="center"/>
          </w:tcPr>
          <w:p>
            <w:pPr>
              <w:pStyle w:val="12"/>
            </w:pPr>
            <w:r>
              <w:t>1.50</w:t>
            </w: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21.00</w:t>
            </w:r>
          </w:p>
        </w:tc>
        <w:tc>
          <w:tcPr>
            <w:tcW w:w="1361" w:type="dxa"/>
            <w:vAlign w:val="center"/>
          </w:tcPr>
          <w:p>
            <w:pPr>
              <w:pStyle w:val="12"/>
            </w:pPr>
            <w:r>
              <w:t>21.00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21.00</w:t>
            </w:r>
          </w:p>
        </w:tc>
        <w:tc>
          <w:tcPr>
            <w:tcW w:w="1361" w:type="dxa"/>
            <w:vAlign w:val="center"/>
          </w:tcPr>
          <w:p>
            <w:pPr>
              <w:pStyle w:val="12"/>
            </w:pPr>
            <w:r>
              <w:t>21.00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21.00</w:t>
            </w:r>
          </w:p>
        </w:tc>
        <w:tc>
          <w:tcPr>
            <w:tcW w:w="1361" w:type="dxa"/>
            <w:vAlign w:val="center"/>
          </w:tcPr>
          <w:p>
            <w:pPr>
              <w:pStyle w:val="12"/>
            </w:pPr>
            <w:r>
              <w:t>21.00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37.50</w:t>
            </w:r>
          </w:p>
        </w:tc>
        <w:tc>
          <w:tcPr>
            <w:tcW w:w="1361" w:type="dxa"/>
            <w:vAlign w:val="center"/>
          </w:tcPr>
          <w:p>
            <w:pPr>
              <w:pStyle w:val="12"/>
            </w:pPr>
            <w:r>
              <w:t>37.50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37.50</w:t>
            </w:r>
          </w:p>
        </w:tc>
        <w:tc>
          <w:tcPr>
            <w:tcW w:w="1361" w:type="dxa"/>
            <w:vAlign w:val="center"/>
          </w:tcPr>
          <w:p>
            <w:pPr>
              <w:pStyle w:val="12"/>
            </w:pPr>
            <w:r>
              <w:t>37.50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37.50</w:t>
            </w:r>
          </w:p>
        </w:tc>
        <w:tc>
          <w:tcPr>
            <w:tcW w:w="1361" w:type="dxa"/>
            <w:vAlign w:val="center"/>
          </w:tcPr>
          <w:p>
            <w:pPr>
              <w:pStyle w:val="12"/>
            </w:pPr>
            <w:r>
              <w:t>37.50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705雄县人民检察院</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1297.00</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r>
              <w:t>1081.82</w:t>
            </w:r>
          </w:p>
        </w:tc>
        <w:tc>
          <w:tcPr>
            <w:tcW w:w="1474" w:type="dxa"/>
            <w:vAlign w:val="center"/>
          </w:tcPr>
          <w:p>
            <w:pPr>
              <w:pStyle w:val="12"/>
            </w:pPr>
            <w:r>
              <w:t>1081.82</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158.70</w:t>
            </w:r>
          </w:p>
        </w:tc>
        <w:tc>
          <w:tcPr>
            <w:tcW w:w="1474" w:type="dxa"/>
            <w:vAlign w:val="center"/>
          </w:tcPr>
          <w:p>
            <w:pPr>
              <w:pStyle w:val="12"/>
            </w:pPr>
            <w:r>
              <w:t>158.70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21.00</w:t>
            </w:r>
          </w:p>
        </w:tc>
        <w:tc>
          <w:tcPr>
            <w:tcW w:w="1474" w:type="dxa"/>
            <w:vAlign w:val="center"/>
          </w:tcPr>
          <w:p>
            <w:pPr>
              <w:pStyle w:val="12"/>
            </w:pPr>
            <w:r>
              <w:t>21.00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37.50</w:t>
            </w:r>
          </w:p>
        </w:tc>
        <w:tc>
          <w:tcPr>
            <w:tcW w:w="1474" w:type="dxa"/>
            <w:vAlign w:val="center"/>
          </w:tcPr>
          <w:p>
            <w:pPr>
              <w:pStyle w:val="12"/>
            </w:pPr>
            <w:r>
              <w:t>37.50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1297.00</w:t>
            </w:r>
          </w:p>
        </w:tc>
        <w:tc>
          <w:tcPr>
            <w:tcW w:w="3402" w:type="dxa"/>
            <w:vAlign w:val="center"/>
          </w:tcPr>
          <w:p>
            <w:pPr>
              <w:pStyle w:val="15"/>
            </w:pPr>
            <w:r>
              <w:t>本年支出合计</w:t>
            </w:r>
          </w:p>
        </w:tc>
        <w:tc>
          <w:tcPr>
            <w:tcW w:w="1474" w:type="dxa"/>
            <w:vAlign w:val="center"/>
          </w:tcPr>
          <w:p>
            <w:pPr>
              <w:pStyle w:val="16"/>
            </w:pPr>
            <w:r>
              <w:t>1299.02</w:t>
            </w:r>
          </w:p>
        </w:tc>
        <w:tc>
          <w:tcPr>
            <w:tcW w:w="1474" w:type="dxa"/>
            <w:vAlign w:val="center"/>
          </w:tcPr>
          <w:p>
            <w:pPr>
              <w:pStyle w:val="16"/>
            </w:pPr>
            <w:r>
              <w:t>1299.02</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2.02</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2.02</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1299.02</w:t>
            </w:r>
          </w:p>
        </w:tc>
        <w:tc>
          <w:tcPr>
            <w:tcW w:w="3402" w:type="dxa"/>
            <w:vAlign w:val="center"/>
          </w:tcPr>
          <w:p>
            <w:pPr>
              <w:pStyle w:val="15"/>
            </w:pPr>
            <w:r>
              <w:t>支出总计</w:t>
            </w:r>
          </w:p>
        </w:tc>
        <w:tc>
          <w:tcPr>
            <w:tcW w:w="1474" w:type="dxa"/>
            <w:vAlign w:val="center"/>
          </w:tcPr>
          <w:p>
            <w:pPr>
              <w:pStyle w:val="16"/>
            </w:pPr>
            <w:r>
              <w:t>1299.02</w:t>
            </w:r>
          </w:p>
        </w:tc>
        <w:tc>
          <w:tcPr>
            <w:tcW w:w="1474" w:type="dxa"/>
            <w:vAlign w:val="center"/>
          </w:tcPr>
          <w:p>
            <w:pPr>
              <w:pStyle w:val="16"/>
            </w:pPr>
            <w:r>
              <w:t>1299.02</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705雄县人民检察院</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1299.02</w:t>
            </w:r>
          </w:p>
        </w:tc>
        <w:tc>
          <w:tcPr>
            <w:tcW w:w="2551" w:type="dxa"/>
            <w:vAlign w:val="center"/>
          </w:tcPr>
          <w:p>
            <w:pPr>
              <w:pStyle w:val="16"/>
            </w:pPr>
            <w:r>
              <w:t>976.00</w:t>
            </w:r>
          </w:p>
        </w:tc>
        <w:tc>
          <w:tcPr>
            <w:tcW w:w="2551" w:type="dxa"/>
            <w:vAlign w:val="center"/>
          </w:tcPr>
          <w:p>
            <w:pPr>
              <w:pStyle w:val="16"/>
            </w:pPr>
            <w:r>
              <w:t>323.02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204</w:t>
            </w:r>
          </w:p>
        </w:tc>
        <w:tc>
          <w:tcPr>
            <w:tcW w:w="4535" w:type="dxa"/>
            <w:vAlign w:val="center"/>
          </w:tcPr>
          <w:p>
            <w:pPr>
              <w:pStyle w:val="13"/>
            </w:pPr>
            <w:r>
              <w:t>公共安全支出</w:t>
            </w:r>
          </w:p>
        </w:tc>
        <w:tc>
          <w:tcPr>
            <w:tcW w:w="2551" w:type="dxa"/>
            <w:vAlign w:val="center"/>
          </w:tcPr>
          <w:p>
            <w:pPr>
              <w:pStyle w:val="12"/>
            </w:pPr>
            <w:r>
              <w:t>1081.82</w:t>
            </w:r>
          </w:p>
        </w:tc>
        <w:tc>
          <w:tcPr>
            <w:tcW w:w="2551" w:type="dxa"/>
            <w:vAlign w:val="center"/>
          </w:tcPr>
          <w:p>
            <w:pPr>
              <w:pStyle w:val="12"/>
            </w:pPr>
            <w:r>
              <w:t>758.80</w:t>
            </w:r>
          </w:p>
        </w:tc>
        <w:tc>
          <w:tcPr>
            <w:tcW w:w="2551" w:type="dxa"/>
            <w:vAlign w:val="center"/>
          </w:tcPr>
          <w:p>
            <w:pPr>
              <w:pStyle w:val="12"/>
            </w:pPr>
            <w:r>
              <w:t>323.02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20404</w:t>
            </w:r>
          </w:p>
        </w:tc>
        <w:tc>
          <w:tcPr>
            <w:tcW w:w="4535" w:type="dxa"/>
            <w:vAlign w:val="center"/>
          </w:tcPr>
          <w:p>
            <w:pPr>
              <w:pStyle w:val="13"/>
            </w:pPr>
            <w:r>
              <w:t>检察</w:t>
            </w:r>
          </w:p>
        </w:tc>
        <w:tc>
          <w:tcPr>
            <w:tcW w:w="2551" w:type="dxa"/>
            <w:vAlign w:val="center"/>
          </w:tcPr>
          <w:p>
            <w:pPr>
              <w:pStyle w:val="12"/>
            </w:pPr>
            <w:r>
              <w:t>1081.82</w:t>
            </w:r>
          </w:p>
        </w:tc>
        <w:tc>
          <w:tcPr>
            <w:tcW w:w="2551" w:type="dxa"/>
            <w:vAlign w:val="center"/>
          </w:tcPr>
          <w:p>
            <w:pPr>
              <w:pStyle w:val="12"/>
            </w:pPr>
            <w:r>
              <w:t>758.80</w:t>
            </w:r>
          </w:p>
        </w:tc>
        <w:tc>
          <w:tcPr>
            <w:tcW w:w="2551" w:type="dxa"/>
            <w:vAlign w:val="center"/>
          </w:tcPr>
          <w:p>
            <w:pPr>
              <w:pStyle w:val="12"/>
            </w:pPr>
            <w:r>
              <w:t>323.02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2040401</w:t>
            </w:r>
          </w:p>
        </w:tc>
        <w:tc>
          <w:tcPr>
            <w:tcW w:w="4535" w:type="dxa"/>
            <w:vAlign w:val="center"/>
          </w:tcPr>
          <w:p>
            <w:pPr>
              <w:pStyle w:val="13"/>
            </w:pPr>
            <w:r>
              <w:t>行政运行</w:t>
            </w:r>
          </w:p>
        </w:tc>
        <w:tc>
          <w:tcPr>
            <w:tcW w:w="2551" w:type="dxa"/>
            <w:vAlign w:val="center"/>
          </w:tcPr>
          <w:p>
            <w:pPr>
              <w:pStyle w:val="12"/>
            </w:pPr>
            <w:r>
              <w:t>840.00</w:t>
            </w:r>
          </w:p>
        </w:tc>
        <w:tc>
          <w:tcPr>
            <w:tcW w:w="2551" w:type="dxa"/>
            <w:vAlign w:val="center"/>
          </w:tcPr>
          <w:p>
            <w:pPr>
              <w:pStyle w:val="12"/>
            </w:pPr>
            <w:r>
              <w:t>757.00</w:t>
            </w:r>
          </w:p>
        </w:tc>
        <w:tc>
          <w:tcPr>
            <w:tcW w:w="2551" w:type="dxa"/>
            <w:vAlign w:val="center"/>
          </w:tcPr>
          <w:p>
            <w:pPr>
              <w:pStyle w:val="12"/>
            </w:pPr>
            <w:r>
              <w:t>83.00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2040402</w:t>
            </w:r>
          </w:p>
        </w:tc>
        <w:tc>
          <w:tcPr>
            <w:tcW w:w="4535" w:type="dxa"/>
            <w:vAlign w:val="center"/>
          </w:tcPr>
          <w:p>
            <w:pPr>
              <w:pStyle w:val="13"/>
            </w:pPr>
            <w:r>
              <w:t>一般行政管理事务</w:t>
            </w:r>
          </w:p>
        </w:tc>
        <w:tc>
          <w:tcPr>
            <w:tcW w:w="2551" w:type="dxa"/>
            <w:vAlign w:val="center"/>
          </w:tcPr>
          <w:p>
            <w:pPr>
              <w:pStyle w:val="12"/>
            </w:pPr>
            <w:r>
              <w:t>1.80</w:t>
            </w:r>
          </w:p>
        </w:tc>
        <w:tc>
          <w:tcPr>
            <w:tcW w:w="2551" w:type="dxa"/>
            <w:vAlign w:val="center"/>
          </w:tcPr>
          <w:p>
            <w:pPr>
              <w:pStyle w:val="12"/>
            </w:pPr>
            <w:r>
              <w:t>1.80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2040410</w:t>
            </w:r>
          </w:p>
        </w:tc>
        <w:tc>
          <w:tcPr>
            <w:tcW w:w="4535" w:type="dxa"/>
            <w:vAlign w:val="center"/>
          </w:tcPr>
          <w:p>
            <w:pPr>
              <w:pStyle w:val="13"/>
            </w:pPr>
            <w:r>
              <w:t>检察监督</w:t>
            </w:r>
          </w:p>
        </w:tc>
        <w:tc>
          <w:tcPr>
            <w:tcW w:w="2551" w:type="dxa"/>
            <w:vAlign w:val="center"/>
          </w:tcPr>
          <w:p>
            <w:pPr>
              <w:pStyle w:val="12"/>
            </w:pPr>
            <w:r>
              <w:t>50.50</w:t>
            </w:r>
          </w:p>
        </w:tc>
        <w:tc>
          <w:tcPr>
            <w:tcW w:w="2551" w:type="dxa"/>
            <w:vAlign w:val="center"/>
          </w:tcPr>
          <w:p>
            <w:pPr>
              <w:pStyle w:val="12"/>
            </w:pPr>
          </w:p>
        </w:tc>
        <w:tc>
          <w:tcPr>
            <w:tcW w:w="2551" w:type="dxa"/>
            <w:vAlign w:val="center"/>
          </w:tcPr>
          <w:p>
            <w:pPr>
              <w:pStyle w:val="12"/>
            </w:pPr>
            <w:r>
              <w:t>50.50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2040499</w:t>
            </w:r>
          </w:p>
        </w:tc>
        <w:tc>
          <w:tcPr>
            <w:tcW w:w="4535" w:type="dxa"/>
            <w:vAlign w:val="center"/>
          </w:tcPr>
          <w:p>
            <w:pPr>
              <w:pStyle w:val="13"/>
            </w:pPr>
            <w:r>
              <w:t>其他检察支出</w:t>
            </w:r>
          </w:p>
        </w:tc>
        <w:tc>
          <w:tcPr>
            <w:tcW w:w="2551" w:type="dxa"/>
            <w:vAlign w:val="center"/>
          </w:tcPr>
          <w:p>
            <w:pPr>
              <w:pStyle w:val="12"/>
            </w:pPr>
            <w:r>
              <w:t>189.52</w:t>
            </w:r>
          </w:p>
        </w:tc>
        <w:tc>
          <w:tcPr>
            <w:tcW w:w="2551" w:type="dxa"/>
            <w:vAlign w:val="center"/>
          </w:tcPr>
          <w:p>
            <w:pPr>
              <w:pStyle w:val="12"/>
            </w:pPr>
          </w:p>
        </w:tc>
        <w:tc>
          <w:tcPr>
            <w:tcW w:w="2551" w:type="dxa"/>
            <w:vAlign w:val="center"/>
          </w:tcPr>
          <w:p>
            <w:pPr>
              <w:pStyle w:val="12"/>
            </w:pPr>
            <w:r>
              <w:t>189.52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158.70</w:t>
            </w:r>
          </w:p>
        </w:tc>
        <w:tc>
          <w:tcPr>
            <w:tcW w:w="2551" w:type="dxa"/>
            <w:vAlign w:val="center"/>
          </w:tcPr>
          <w:p>
            <w:pPr>
              <w:pStyle w:val="12"/>
            </w:pPr>
            <w:r>
              <w:t>158.70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157.20</w:t>
            </w:r>
          </w:p>
        </w:tc>
        <w:tc>
          <w:tcPr>
            <w:tcW w:w="2551" w:type="dxa"/>
            <w:vAlign w:val="center"/>
          </w:tcPr>
          <w:p>
            <w:pPr>
              <w:pStyle w:val="12"/>
            </w:pPr>
            <w:r>
              <w:t>157.20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112.20</w:t>
            </w:r>
          </w:p>
        </w:tc>
        <w:tc>
          <w:tcPr>
            <w:tcW w:w="2551" w:type="dxa"/>
            <w:vAlign w:val="center"/>
          </w:tcPr>
          <w:p>
            <w:pPr>
              <w:pStyle w:val="12"/>
            </w:pPr>
            <w:r>
              <w:t>112.20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45.00</w:t>
            </w:r>
          </w:p>
        </w:tc>
        <w:tc>
          <w:tcPr>
            <w:tcW w:w="2551" w:type="dxa"/>
            <w:vAlign w:val="center"/>
          </w:tcPr>
          <w:p>
            <w:pPr>
              <w:pStyle w:val="12"/>
            </w:pPr>
            <w:r>
              <w:t>45.00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20830</w:t>
            </w:r>
          </w:p>
        </w:tc>
        <w:tc>
          <w:tcPr>
            <w:tcW w:w="4535" w:type="dxa"/>
            <w:vAlign w:val="center"/>
          </w:tcPr>
          <w:p>
            <w:pPr>
              <w:pStyle w:val="13"/>
            </w:pPr>
            <w:r>
              <w:t>财政代缴社会保险费支出</w:t>
            </w:r>
          </w:p>
        </w:tc>
        <w:tc>
          <w:tcPr>
            <w:tcW w:w="2551" w:type="dxa"/>
            <w:vAlign w:val="center"/>
          </w:tcPr>
          <w:p>
            <w:pPr>
              <w:pStyle w:val="12"/>
            </w:pPr>
            <w:r>
              <w:t>1.50</w:t>
            </w:r>
          </w:p>
        </w:tc>
        <w:tc>
          <w:tcPr>
            <w:tcW w:w="2551" w:type="dxa"/>
            <w:vAlign w:val="center"/>
          </w:tcPr>
          <w:p>
            <w:pPr>
              <w:pStyle w:val="12"/>
            </w:pPr>
            <w:r>
              <w:t>1.50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2083099</w:t>
            </w:r>
          </w:p>
        </w:tc>
        <w:tc>
          <w:tcPr>
            <w:tcW w:w="4535" w:type="dxa"/>
            <w:vAlign w:val="center"/>
          </w:tcPr>
          <w:p>
            <w:pPr>
              <w:pStyle w:val="13"/>
            </w:pPr>
            <w:r>
              <w:t>财政代缴其他社会保险费支出</w:t>
            </w:r>
          </w:p>
        </w:tc>
        <w:tc>
          <w:tcPr>
            <w:tcW w:w="2551" w:type="dxa"/>
            <w:vAlign w:val="center"/>
          </w:tcPr>
          <w:p>
            <w:pPr>
              <w:pStyle w:val="12"/>
            </w:pPr>
            <w:r>
              <w:t>1.50</w:t>
            </w:r>
          </w:p>
        </w:tc>
        <w:tc>
          <w:tcPr>
            <w:tcW w:w="2551" w:type="dxa"/>
            <w:vAlign w:val="center"/>
          </w:tcPr>
          <w:p>
            <w:pPr>
              <w:pStyle w:val="12"/>
            </w:pPr>
            <w:r>
              <w:t>1.50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21.00</w:t>
            </w:r>
          </w:p>
        </w:tc>
        <w:tc>
          <w:tcPr>
            <w:tcW w:w="2551" w:type="dxa"/>
            <w:vAlign w:val="center"/>
          </w:tcPr>
          <w:p>
            <w:pPr>
              <w:pStyle w:val="12"/>
            </w:pPr>
            <w:r>
              <w:t>21.00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21.00</w:t>
            </w:r>
          </w:p>
        </w:tc>
        <w:tc>
          <w:tcPr>
            <w:tcW w:w="2551" w:type="dxa"/>
            <w:vAlign w:val="center"/>
          </w:tcPr>
          <w:p>
            <w:pPr>
              <w:pStyle w:val="12"/>
            </w:pPr>
            <w:r>
              <w:t>21.00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21.00</w:t>
            </w:r>
          </w:p>
        </w:tc>
        <w:tc>
          <w:tcPr>
            <w:tcW w:w="2551" w:type="dxa"/>
            <w:vAlign w:val="center"/>
          </w:tcPr>
          <w:p>
            <w:pPr>
              <w:pStyle w:val="12"/>
            </w:pPr>
            <w:r>
              <w:t>21.00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37.50</w:t>
            </w:r>
          </w:p>
        </w:tc>
        <w:tc>
          <w:tcPr>
            <w:tcW w:w="2551" w:type="dxa"/>
            <w:vAlign w:val="center"/>
          </w:tcPr>
          <w:p>
            <w:pPr>
              <w:pStyle w:val="12"/>
            </w:pPr>
            <w:r>
              <w:t>37.50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37.50</w:t>
            </w:r>
          </w:p>
        </w:tc>
        <w:tc>
          <w:tcPr>
            <w:tcW w:w="2551" w:type="dxa"/>
            <w:vAlign w:val="center"/>
          </w:tcPr>
          <w:p>
            <w:pPr>
              <w:pStyle w:val="12"/>
            </w:pPr>
            <w:r>
              <w:t>37.50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37.50</w:t>
            </w:r>
          </w:p>
        </w:tc>
        <w:tc>
          <w:tcPr>
            <w:tcW w:w="2551" w:type="dxa"/>
            <w:vAlign w:val="center"/>
          </w:tcPr>
          <w:p>
            <w:pPr>
              <w:pStyle w:val="12"/>
            </w:pPr>
            <w:r>
              <w:t>37.50</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705雄县人民检察院</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976.00</w:t>
            </w:r>
          </w:p>
        </w:tc>
        <w:tc>
          <w:tcPr>
            <w:tcW w:w="2551" w:type="dxa"/>
            <w:vAlign w:val="center"/>
          </w:tcPr>
          <w:p>
            <w:pPr>
              <w:pStyle w:val="16"/>
            </w:pPr>
            <w:r>
              <w:t>777.00</w:t>
            </w:r>
          </w:p>
        </w:tc>
        <w:tc>
          <w:tcPr>
            <w:tcW w:w="2551" w:type="dxa"/>
            <w:vAlign w:val="center"/>
          </w:tcPr>
          <w:p>
            <w:pPr>
              <w:pStyle w:val="16"/>
            </w:pPr>
            <w:r>
              <w:t>199.00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663.00</w:t>
            </w:r>
          </w:p>
        </w:tc>
        <w:tc>
          <w:tcPr>
            <w:tcW w:w="2551" w:type="dxa"/>
            <w:vAlign w:val="center"/>
          </w:tcPr>
          <w:p>
            <w:pPr>
              <w:pStyle w:val="12"/>
            </w:pPr>
            <w:r>
              <w:t>663.00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144.00</w:t>
            </w:r>
          </w:p>
        </w:tc>
        <w:tc>
          <w:tcPr>
            <w:tcW w:w="2551" w:type="dxa"/>
            <w:vAlign w:val="center"/>
          </w:tcPr>
          <w:p>
            <w:pPr>
              <w:pStyle w:val="12"/>
            </w:pPr>
            <w:r>
              <w:t>144.00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127.00</w:t>
            </w:r>
          </w:p>
        </w:tc>
        <w:tc>
          <w:tcPr>
            <w:tcW w:w="2551" w:type="dxa"/>
            <w:vAlign w:val="center"/>
          </w:tcPr>
          <w:p>
            <w:pPr>
              <w:pStyle w:val="12"/>
            </w:pPr>
            <w:r>
              <w:t>127.00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147.00</w:t>
            </w:r>
          </w:p>
        </w:tc>
        <w:tc>
          <w:tcPr>
            <w:tcW w:w="2551" w:type="dxa"/>
            <w:vAlign w:val="center"/>
          </w:tcPr>
          <w:p>
            <w:pPr>
              <w:pStyle w:val="12"/>
            </w:pPr>
            <w:r>
              <w:t>147.00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45.00</w:t>
            </w:r>
          </w:p>
        </w:tc>
        <w:tc>
          <w:tcPr>
            <w:tcW w:w="2551" w:type="dxa"/>
            <w:vAlign w:val="center"/>
          </w:tcPr>
          <w:p>
            <w:pPr>
              <w:pStyle w:val="12"/>
            </w:pPr>
            <w:r>
              <w:t>45.00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21.00</w:t>
            </w:r>
          </w:p>
        </w:tc>
        <w:tc>
          <w:tcPr>
            <w:tcW w:w="2551" w:type="dxa"/>
            <w:vAlign w:val="center"/>
          </w:tcPr>
          <w:p>
            <w:pPr>
              <w:pStyle w:val="12"/>
            </w:pPr>
            <w:r>
              <w:t>21.00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1.50</w:t>
            </w:r>
          </w:p>
        </w:tc>
        <w:tc>
          <w:tcPr>
            <w:tcW w:w="2551" w:type="dxa"/>
            <w:vAlign w:val="center"/>
          </w:tcPr>
          <w:p>
            <w:pPr>
              <w:pStyle w:val="12"/>
            </w:pPr>
            <w:r>
              <w:t>1.50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37.50</w:t>
            </w:r>
          </w:p>
        </w:tc>
        <w:tc>
          <w:tcPr>
            <w:tcW w:w="2551" w:type="dxa"/>
            <w:vAlign w:val="center"/>
          </w:tcPr>
          <w:p>
            <w:pPr>
              <w:pStyle w:val="12"/>
            </w:pPr>
            <w:r>
              <w:t>37.50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140.00</w:t>
            </w:r>
          </w:p>
        </w:tc>
        <w:tc>
          <w:tcPr>
            <w:tcW w:w="2551" w:type="dxa"/>
            <w:vAlign w:val="center"/>
          </w:tcPr>
          <w:p>
            <w:pPr>
              <w:pStyle w:val="12"/>
            </w:pPr>
            <w:r>
              <w:t>140.00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193.31</w:t>
            </w:r>
          </w:p>
        </w:tc>
        <w:tc>
          <w:tcPr>
            <w:tcW w:w="2551" w:type="dxa"/>
            <w:vAlign w:val="center"/>
          </w:tcPr>
          <w:p>
            <w:pPr>
              <w:pStyle w:val="12"/>
            </w:pPr>
          </w:p>
        </w:tc>
        <w:tc>
          <w:tcPr>
            <w:tcW w:w="2551" w:type="dxa"/>
            <w:vAlign w:val="center"/>
          </w:tcPr>
          <w:p>
            <w:pPr>
              <w:pStyle w:val="12"/>
            </w:pPr>
            <w:r>
              <w:t>193.31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99.31</w:t>
            </w:r>
          </w:p>
        </w:tc>
        <w:tc>
          <w:tcPr>
            <w:tcW w:w="2551" w:type="dxa"/>
            <w:vAlign w:val="center"/>
          </w:tcPr>
          <w:p>
            <w:pPr>
              <w:pStyle w:val="12"/>
            </w:pPr>
          </w:p>
        </w:tc>
        <w:tc>
          <w:tcPr>
            <w:tcW w:w="2551" w:type="dxa"/>
            <w:vAlign w:val="center"/>
          </w:tcPr>
          <w:p>
            <w:pPr>
              <w:pStyle w:val="12"/>
            </w:pPr>
            <w:r>
              <w:t>99.31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12.00</w:t>
            </w:r>
          </w:p>
        </w:tc>
        <w:tc>
          <w:tcPr>
            <w:tcW w:w="2551" w:type="dxa"/>
            <w:vAlign w:val="center"/>
          </w:tcPr>
          <w:p>
            <w:pPr>
              <w:pStyle w:val="12"/>
            </w:pPr>
          </w:p>
        </w:tc>
        <w:tc>
          <w:tcPr>
            <w:tcW w:w="2551" w:type="dxa"/>
            <w:vAlign w:val="center"/>
          </w:tcPr>
          <w:p>
            <w:pPr>
              <w:pStyle w:val="12"/>
            </w:pPr>
            <w:r>
              <w:t>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15.00</w:t>
            </w:r>
          </w:p>
        </w:tc>
        <w:tc>
          <w:tcPr>
            <w:tcW w:w="2551" w:type="dxa"/>
            <w:vAlign w:val="center"/>
          </w:tcPr>
          <w:p>
            <w:pPr>
              <w:pStyle w:val="12"/>
            </w:pPr>
          </w:p>
        </w:tc>
        <w:tc>
          <w:tcPr>
            <w:tcW w:w="2551" w:type="dxa"/>
            <w:vAlign w:val="center"/>
          </w:tcPr>
          <w:p>
            <w:pPr>
              <w:pStyle w:val="12"/>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30215</w:t>
            </w:r>
          </w:p>
        </w:tc>
        <w:tc>
          <w:tcPr>
            <w:tcW w:w="4535" w:type="dxa"/>
            <w:vAlign w:val="center"/>
          </w:tcPr>
          <w:p>
            <w:pPr>
              <w:pStyle w:val="13"/>
            </w:pPr>
            <w:r>
              <w:t>会议费</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7.00</w:t>
            </w:r>
          </w:p>
        </w:tc>
        <w:tc>
          <w:tcPr>
            <w:tcW w:w="2551" w:type="dxa"/>
            <w:vAlign w:val="center"/>
          </w:tcPr>
          <w:p>
            <w:pPr>
              <w:pStyle w:val="12"/>
            </w:pPr>
          </w:p>
        </w:tc>
        <w:tc>
          <w:tcPr>
            <w:tcW w:w="2551" w:type="dxa"/>
            <w:vAlign w:val="center"/>
          </w:tcPr>
          <w:p>
            <w:pPr>
              <w:pStyle w:val="12"/>
            </w:pPr>
            <w:r>
              <w:t>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8.00</w:t>
            </w:r>
          </w:p>
        </w:tc>
        <w:tc>
          <w:tcPr>
            <w:tcW w:w="2551" w:type="dxa"/>
            <w:vAlign w:val="center"/>
          </w:tcPr>
          <w:p>
            <w:pPr>
              <w:pStyle w:val="12"/>
            </w:pPr>
          </w:p>
        </w:tc>
        <w:tc>
          <w:tcPr>
            <w:tcW w:w="2551" w:type="dxa"/>
            <w:vAlign w:val="center"/>
          </w:tcPr>
          <w:p>
            <w:pPr>
              <w:pStyle w:val="12"/>
            </w:pPr>
            <w:r>
              <w:t>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11.00</w:t>
            </w:r>
          </w:p>
        </w:tc>
        <w:tc>
          <w:tcPr>
            <w:tcW w:w="2551" w:type="dxa"/>
            <w:vAlign w:val="center"/>
          </w:tcPr>
          <w:p>
            <w:pPr>
              <w:pStyle w:val="12"/>
            </w:pPr>
          </w:p>
        </w:tc>
        <w:tc>
          <w:tcPr>
            <w:tcW w:w="2551" w:type="dxa"/>
            <w:vAlign w:val="center"/>
          </w:tcPr>
          <w:p>
            <w:pPr>
              <w:pStyle w:val="12"/>
            </w:pPr>
            <w:r>
              <w:t>11.00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22.00</w:t>
            </w:r>
          </w:p>
        </w:tc>
        <w:tc>
          <w:tcPr>
            <w:tcW w:w="2551" w:type="dxa"/>
            <w:vAlign w:val="center"/>
          </w:tcPr>
          <w:p>
            <w:pPr>
              <w:pStyle w:val="12"/>
            </w:pPr>
          </w:p>
        </w:tc>
        <w:tc>
          <w:tcPr>
            <w:tcW w:w="2551" w:type="dxa"/>
            <w:vAlign w:val="center"/>
          </w:tcPr>
          <w:p>
            <w:pPr>
              <w:pStyle w:val="12"/>
            </w:pPr>
            <w:r>
              <w:t>22.00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114.00</w:t>
            </w:r>
          </w:p>
        </w:tc>
        <w:tc>
          <w:tcPr>
            <w:tcW w:w="2551" w:type="dxa"/>
            <w:vAlign w:val="center"/>
          </w:tcPr>
          <w:p>
            <w:pPr>
              <w:pStyle w:val="12"/>
            </w:pPr>
            <w:r>
              <w:t>114.00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112.20</w:t>
            </w:r>
          </w:p>
        </w:tc>
        <w:tc>
          <w:tcPr>
            <w:tcW w:w="2551" w:type="dxa"/>
            <w:vAlign w:val="center"/>
          </w:tcPr>
          <w:p>
            <w:pPr>
              <w:pStyle w:val="12"/>
            </w:pPr>
            <w:r>
              <w:t>112.20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1.80</w:t>
            </w:r>
          </w:p>
        </w:tc>
        <w:tc>
          <w:tcPr>
            <w:tcW w:w="2551" w:type="dxa"/>
            <w:vAlign w:val="center"/>
          </w:tcPr>
          <w:p>
            <w:pPr>
              <w:pStyle w:val="12"/>
            </w:pPr>
            <w:r>
              <w:t>1.80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5.69</w:t>
            </w:r>
          </w:p>
        </w:tc>
        <w:tc>
          <w:tcPr>
            <w:tcW w:w="2551" w:type="dxa"/>
            <w:vAlign w:val="center"/>
          </w:tcPr>
          <w:p>
            <w:pPr>
              <w:pStyle w:val="12"/>
            </w:pPr>
          </w:p>
        </w:tc>
        <w:tc>
          <w:tcPr>
            <w:tcW w:w="2551" w:type="dxa"/>
            <w:vAlign w:val="center"/>
          </w:tcPr>
          <w:p>
            <w:pPr>
              <w:pStyle w:val="12"/>
            </w:pPr>
            <w:r>
              <w:t>5.69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5.69</w:t>
            </w:r>
          </w:p>
        </w:tc>
        <w:tc>
          <w:tcPr>
            <w:tcW w:w="2551" w:type="dxa"/>
            <w:vAlign w:val="center"/>
          </w:tcPr>
          <w:p>
            <w:pPr>
              <w:pStyle w:val="12"/>
            </w:pPr>
          </w:p>
        </w:tc>
        <w:tc>
          <w:tcPr>
            <w:tcW w:w="2551" w:type="dxa"/>
            <w:vAlign w:val="center"/>
          </w:tcPr>
          <w:p>
            <w:pPr>
              <w:pStyle w:val="12"/>
            </w:pPr>
            <w:r>
              <w:t>5.69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705雄县人民检察院</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705雄县人民检察院</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705雄县人民检察院</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rPr>
                <w:rFonts w:hint="eastAsia"/>
                <w:lang w:val="en-US" w:eastAsia="zh-CN"/>
              </w:rPr>
              <w:t>2</w:t>
            </w:r>
            <w:r>
              <w:t>2.00</w:t>
            </w:r>
          </w:p>
        </w:tc>
        <w:tc>
          <w:tcPr>
            <w:tcW w:w="2381" w:type="dxa"/>
            <w:vAlign w:val="center"/>
          </w:tcPr>
          <w:p>
            <w:pPr>
              <w:pStyle w:val="16"/>
            </w:pPr>
            <w:r>
              <w:rPr>
                <w:rFonts w:hint="eastAsia"/>
                <w:lang w:val="en-US" w:eastAsia="zh-CN"/>
              </w:rPr>
              <w:t>2</w:t>
            </w:r>
            <w:r>
              <w:t>2.00</w:t>
            </w:r>
          </w:p>
        </w:tc>
        <w:tc>
          <w:tcPr>
            <w:tcW w:w="2381" w:type="dxa"/>
            <w:vAlign w:val="center"/>
          </w:tcPr>
          <w:p>
            <w:pPr>
              <w:pStyle w:val="16"/>
            </w:pPr>
          </w:p>
        </w:tc>
        <w:tc>
          <w:tcPr>
            <w:tcW w:w="238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rPr>
                <w:rFonts w:hint="eastAsia"/>
                <w:lang w:val="en-US" w:eastAsia="zh-CN"/>
              </w:rPr>
              <w:t>2</w:t>
            </w:r>
            <w:r>
              <w:t>2.00</w:t>
            </w:r>
          </w:p>
        </w:tc>
        <w:tc>
          <w:tcPr>
            <w:tcW w:w="2381" w:type="dxa"/>
            <w:vAlign w:val="center"/>
          </w:tcPr>
          <w:p>
            <w:pPr>
              <w:pStyle w:val="12"/>
            </w:pPr>
            <w:r>
              <w:rPr>
                <w:rFonts w:hint="eastAsia"/>
                <w:lang w:val="en-US" w:eastAsia="zh-CN"/>
              </w:rPr>
              <w:t>2</w:t>
            </w:r>
            <w:r>
              <w:t>2.00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rPr>
                <w:rFonts w:hint="eastAsia"/>
                <w:lang w:val="en-US" w:eastAsia="zh-CN"/>
              </w:rPr>
              <w:t>2</w:t>
            </w:r>
            <w:r>
              <w:t>1.00</w:t>
            </w:r>
          </w:p>
        </w:tc>
        <w:tc>
          <w:tcPr>
            <w:tcW w:w="2381" w:type="dxa"/>
            <w:vAlign w:val="center"/>
          </w:tcPr>
          <w:p>
            <w:pPr>
              <w:pStyle w:val="12"/>
            </w:pPr>
            <w:r>
              <w:rPr>
                <w:rFonts w:hint="eastAsia"/>
                <w:lang w:val="en-US" w:eastAsia="zh-CN"/>
              </w:rPr>
              <w:t>2</w:t>
            </w:r>
            <w:r>
              <w:t>1.00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rPr>
                <w:rFonts w:hint="eastAsia"/>
                <w:lang w:val="en-US" w:eastAsia="zh-CN"/>
              </w:rPr>
              <w:t>2</w:t>
            </w:r>
            <w:r>
              <w:t>1.00</w:t>
            </w:r>
          </w:p>
        </w:tc>
        <w:tc>
          <w:tcPr>
            <w:tcW w:w="2381" w:type="dxa"/>
            <w:vAlign w:val="center"/>
          </w:tcPr>
          <w:p>
            <w:pPr>
              <w:pStyle w:val="12"/>
            </w:pPr>
            <w:r>
              <w:rPr>
                <w:rFonts w:hint="eastAsia"/>
                <w:lang w:val="en-US" w:eastAsia="zh-CN"/>
              </w:rPr>
              <w:t>2</w:t>
            </w:r>
            <w:r>
              <w:t>1.00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1.00</w:t>
            </w:r>
          </w:p>
        </w:tc>
        <w:tc>
          <w:tcPr>
            <w:tcW w:w="2381" w:type="dxa"/>
            <w:vAlign w:val="center"/>
          </w:tcPr>
          <w:p>
            <w:pPr>
              <w:pStyle w:val="12"/>
            </w:pPr>
            <w:r>
              <w:t>1.00</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雄县人民</w:t>
      </w:r>
      <w:bookmarkStart w:id="20" w:name="_GoBack"/>
      <w:bookmarkEnd w:id="20"/>
      <w:r>
        <w:rPr>
          <w:rFonts w:ascii="方正书宋_GBK" w:hAnsi="方正书宋_GBK" w:eastAsia="方正书宋_GBK" w:cs="方正书宋_GBK"/>
          <w:color w:val="FFFFFF"/>
          <w:sz w:val="21"/>
        </w:rPr>
        <w:t>检察院2025年部门预算信息公开情况说明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雄县人民检察院2025年部门预算信息公开情况说明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按照《中华人民共和国预算法》、《地方预决算公开操作规程》和《关于进一步推进预算公开工作的实施意见》规定，现将雄县人民检察院2025年部门预算公开如下：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根据《雄县人民检察院职能配置、内设机构和人员编制规定》，雄县人民检察院的主要职责是：</w:t>
      </w:r>
    </w:p>
    <w:p>
      <w:pPr>
        <w:pStyle w:val="18"/>
      </w:pPr>
      <w:r>
        <w:t xml:space="preserve">一、刑事检察职能 </w:t>
      </w:r>
    </w:p>
    <w:p>
      <w:pPr>
        <w:pStyle w:val="18"/>
      </w:pPr>
      <w:r>
        <w:t>1.审查逮捕。对公安机关侦查的案件、监察委员会调查的案件进行审查，决定是否逮捕；对已逮捕的犯罪嫌疑人，进行羁押必要性审查，决定是否继续羁押。</w:t>
      </w:r>
    </w:p>
    <w:p>
      <w:pPr>
        <w:pStyle w:val="18"/>
      </w:pPr>
      <w:r>
        <w:t>2.公诉。对公安机关侦查终结的案件、监察委员会移送审查起诉的案件，决定提起公诉或者不起诉。</w:t>
      </w:r>
    </w:p>
    <w:p>
      <w:pPr>
        <w:pStyle w:val="18"/>
      </w:pPr>
      <w:r>
        <w:t>3.刑事诉讼监督。对公安机关立案和侦查活动是否合法实行监督；对人民法院的审判活动是否合法实行监督，对确有错误的刑事判决、裁定向上一级人民法院提出抗诉。</w:t>
      </w:r>
    </w:p>
    <w:p>
      <w:pPr>
        <w:pStyle w:val="18"/>
      </w:pPr>
      <w:r>
        <w:t>4.刑事执行监督。对看守所的监管活动和刑罚执行活动是否合法实行监督；对司法局社区矫正执行活动</w:t>
      </w:r>
      <w:r>
        <w:rPr>
          <w:rFonts w:hint="eastAsia"/>
          <w:lang w:val="en-US" w:eastAsia="zh-CN"/>
        </w:rPr>
        <w:t>是</w:t>
      </w:r>
      <w:r>
        <w:t>否合法实行监督；对减刑、假释、暂予监外执行的提请、审理、裁定、决定、执行活动是否合法实行监督；对强制医疗执行活动是否合法实行监督。</w:t>
      </w:r>
    </w:p>
    <w:p>
      <w:pPr>
        <w:pStyle w:val="18"/>
      </w:pPr>
      <w:r>
        <w:t>5.控告申诉检察。对妨碍辩护人和代理人诉讼权利的控告，进行审查监督；对不服人民检察院不批捕、不起诉等刑事终结处理决定，不服人民法院生效刑事判决、裁定的申诉案件进行审查，确有错误的，进行监督纠正；办理刑事赔偿、司法救助等案件。</w:t>
      </w:r>
    </w:p>
    <w:p>
      <w:pPr>
        <w:pStyle w:val="18"/>
      </w:pPr>
      <w:r>
        <w:t>6.侦查权。人民检察院在对诉讼活动实行法律监督中发现司法工作人员利用职权实施的非法拘禁、刑讯逼供、非法搜查等侵犯公民权利、损害司法公正的犯罪，可以由人民检察院立案侦查。对于公安机关管辖的国家机关工作人员利用职权实施的重大犯罪案件，需要由人民检察院直接受理的时候，经省级以上人民检察院决定，可以由人民检察院立案侦查。</w:t>
      </w:r>
    </w:p>
    <w:p>
      <w:pPr>
        <w:pStyle w:val="18"/>
      </w:pPr>
      <w:r>
        <w:t xml:space="preserve">二、民事检察职能                   </w:t>
      </w:r>
    </w:p>
    <w:p>
      <w:pPr>
        <w:pStyle w:val="18"/>
      </w:pPr>
      <w:r>
        <w:t>1.民事诉讼监督。对人民法院生效的民事判决、裁定确有错误，或者民事调解书损害国家利益或社会公共利益的，人民检察院可以向同级人民法院发出检察建议，或者提请上级人民检察院向同级人民法院提出抗诉；对民事审判中审判人员存在违法行为，或者民事执行活动存在违法情形的，实行监督。</w:t>
      </w:r>
    </w:p>
    <w:p>
      <w:pPr>
        <w:pStyle w:val="18"/>
      </w:pPr>
      <w:r>
        <w:t>2.支持起诉。对弱势群体依法维权有困难的，支持其提起民事诉讼。</w:t>
      </w:r>
    </w:p>
    <w:p>
      <w:pPr>
        <w:pStyle w:val="18"/>
      </w:pPr>
      <w:r>
        <w:t>三、行政检察职能</w:t>
      </w:r>
    </w:p>
    <w:p>
      <w:pPr>
        <w:pStyle w:val="18"/>
      </w:pPr>
      <w:r>
        <w:t>1.行政诉讼的监督。对人民法院生效的行政判决、裁定确有错误，行政调解书损害国家利益、社会公共利益的，人民检察院可以向同级人民法院提出检察建议，或者提请上级人民检察院向同级人民法院提出抗诉；对行政审判中审判人员存在违法行为，或者行政执行活动存在违法情形的，实行监督。</w:t>
      </w:r>
    </w:p>
    <w:p>
      <w:pPr>
        <w:pStyle w:val="18"/>
      </w:pPr>
      <w:r>
        <w:t>2.行政行为的监督。行政机关违法行使职权或不行使职权的行为，导致国家利益、社会公共利益受损的，人民检察院可以向行政机关提出检察建议，督促其纠正。</w:t>
      </w:r>
    </w:p>
    <w:p>
      <w:pPr>
        <w:pStyle w:val="18"/>
      </w:pPr>
      <w:r>
        <w:t>四、检察公益诉讼职能</w:t>
      </w:r>
    </w:p>
    <w:p>
      <w:pPr>
        <w:pStyle w:val="18"/>
      </w:pPr>
      <w:r>
        <w:t>1.行政公益诉讼。对生态环境和资源保护、食品药品安全、国有财产保护、国有土地使用权出让等领域负有监督管理职责的行政机关违法行使职权或者不作为，致使国家利益或者社会公共利益受到侵害的，人民检察院可以向行政机关提出检察建议，督促其依法履行职责。行政机关不依法履行职责的，人民检察院依法向人民法院提起行政公益诉讼。</w:t>
      </w:r>
    </w:p>
    <w:p>
      <w:pPr>
        <w:pStyle w:val="18"/>
      </w:pPr>
      <w:r>
        <w:t>2.民事公益诉讼。人民检察院对破坏生态环境和资源保护、食品药品安全领域侵害众多消费者合法权益等损害社会公共利益的行为，在没有法律规定的机关和组织或者法律规定的机关和组织不提起诉讼的情况下，可以向人民法院提起民事公益诉讼。对侵害英雄烈士姓名、肖像、名誉、荣誉，损害社会公共利益的行为，英雄烈士没有近亲属或者近亲属不提起诉讼的，检察机关可以依法提起公益诉讼。</w:t>
      </w:r>
    </w:p>
    <w:p>
      <w:pPr>
        <w:pStyle w:val="18"/>
      </w:pPr>
      <w:r>
        <w:t>3.刑事附带民事公益诉讼。人民检察院对破坏生态环境和资源保护、食品药品安全领域侵害众多消费者合法权益等损害社会公共利益的犯罪行为提起刑事公诉时，可以向人民法院一并提起附带民事公益诉讼。</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雄县人民检察院</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按照预算管理有关规定，目前部门预算的编制实行综合预算管理，即全部收入和支出都反映在预算中。雄县人民检察院机关及所属事业单位的收支包含在部门预算中。</w:t>
      </w:r>
    </w:p>
    <w:p>
      <w:pPr>
        <w:pStyle w:val="19"/>
      </w:pPr>
      <w:r>
        <w:t>1、收入说明</w:t>
      </w:r>
    </w:p>
    <w:p>
      <w:pPr>
        <w:pStyle w:val="19"/>
      </w:pPr>
      <w:r>
        <w:t>反映本部门当年全部收入。2025年预算收入1299.02万元，其中：一般公共预算收入1297.00万元，基金预算收入0.00万元，国有资本经营预算收入0.00万元，财政专户核拨收入0.00万元，单位资金收入0.00万元，上年结转结余2.02万元。</w:t>
      </w:r>
    </w:p>
    <w:p>
      <w:pPr>
        <w:pStyle w:val="19"/>
      </w:pPr>
      <w:r>
        <w:t>2、支出说明</w:t>
      </w:r>
    </w:p>
    <w:p>
      <w:pPr>
        <w:pStyle w:val="19"/>
      </w:pPr>
      <w:r>
        <w:t>收支预算总表支出栏、基本支出表、项目支出表按经济分类和支出功能分类科目编制，反映雄县人民检察院年度部门预算中支出预算的总体情况。2025年支出预算1299.02万元，其中基本支出976.00万元，包括人员经费777.00万元和日常公用经费199.00万元；项目支出323.02万元，主要为劳务派遣人员经费83.00万元，机关运转经费50.00万元，司法救助15.00万元，基层公检法司政法转移支付资金74.00万元，中央政法纪检监察转移支付资金99.00万元，上年结转结余2.02万元。</w:t>
      </w:r>
    </w:p>
    <w:p>
      <w:pPr>
        <w:pStyle w:val="19"/>
      </w:pPr>
      <w:r>
        <w:t>3、比上年增减情况</w:t>
      </w:r>
    </w:p>
    <w:p>
      <w:pPr>
        <w:pStyle w:val="19"/>
      </w:pPr>
      <w:r>
        <w:t>2025年预算收支安排1299.02万元，较2024年预算减少398.98万元，其中：基本支出减少79.00万元，主要为人员经费减少。项目支出减少319.98万元，主要为项目数量减少。</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本年机关运行经费共计安排</w:t>
      </w:r>
      <w:r>
        <w:rPr>
          <w:rFonts w:hint="eastAsia"/>
          <w:lang w:val="en-US" w:eastAsia="zh-CN"/>
        </w:rPr>
        <w:t>199</w:t>
      </w:r>
      <w:r>
        <w:t>万元，主要用于保证机关正常运转的办公及印刷费、邮电费、差旅费、会议费、福利费、工会经费及其他交通费用等支出。</w:t>
      </w:r>
    </w:p>
    <w:p>
      <w:pPr>
        <w:numPr>
          <w:ilvl w:val="0"/>
          <w:numId w:val="1"/>
        </w:numPr>
        <w:spacing w:before="10" w:after="10" w:line="360" w:lineRule="auto"/>
        <w:ind w:firstLine="640"/>
        <w:jc w:val="left"/>
        <w:outlineLvl w:val="2"/>
        <w:rPr>
          <w:rFonts w:ascii="黑体" w:hAnsi="黑体" w:eastAsia="黑体" w:cs="黑体"/>
          <w:color w:val="000000"/>
          <w:sz w:val="32"/>
        </w:rPr>
      </w:pPr>
      <w:bookmarkStart w:id="12" w:name="_Toc_3_3_0000000013"/>
      <w:r>
        <w:rPr>
          <w:rFonts w:ascii="黑体" w:hAnsi="黑体" w:eastAsia="黑体" w:cs="黑体"/>
          <w:color w:val="000000"/>
          <w:sz w:val="32"/>
        </w:rPr>
        <w:t>财政拨款“三公”经费预算情况及增减变化原因</w:t>
      </w:r>
      <w:bookmarkEnd w:id="12"/>
    </w:p>
    <w:p>
      <w:pPr>
        <w:pStyle w:val="21"/>
      </w:pPr>
      <w:bookmarkStart w:id="13" w:name="_Toc_3_3_0000000014"/>
      <w:r>
        <w:t>本年财政拨款“三公”经费预算安排</w:t>
      </w:r>
      <w:r>
        <w:rPr>
          <w:rFonts w:hint="eastAsia"/>
          <w:lang w:val="en-US" w:eastAsia="zh-CN"/>
        </w:rPr>
        <w:t>22</w:t>
      </w:r>
      <w:r>
        <w:t>万元，其中：因公出国（境）费0万元；公务用车购置及运维费</w:t>
      </w:r>
      <w:r>
        <w:rPr>
          <w:rFonts w:hint="eastAsia"/>
          <w:lang w:val="en-US" w:eastAsia="zh-CN"/>
        </w:rPr>
        <w:t>21</w:t>
      </w:r>
      <w:r>
        <w:t>万元（其中：公务用车购置费0万元，公务用车运行维护费</w:t>
      </w:r>
      <w:r>
        <w:rPr>
          <w:rFonts w:hint="eastAsia"/>
          <w:lang w:val="en-US" w:eastAsia="zh-CN"/>
        </w:rPr>
        <w:t>21</w:t>
      </w:r>
      <w:r>
        <w:t>万元)；公务接待费</w:t>
      </w:r>
      <w:r>
        <w:rPr>
          <w:rFonts w:hint="eastAsia"/>
          <w:lang w:val="en-US" w:eastAsia="zh-CN"/>
        </w:rPr>
        <w:t>1</w:t>
      </w:r>
      <w:r>
        <w:t>万元。</w:t>
      </w:r>
      <w:r>
        <w:rPr>
          <w:rFonts w:hint="eastAsia"/>
        </w:rPr>
        <w:t>“三公”经费较上年增加10万元，主要原因是转移支付中公务用车运行维护费核定数增加。</w:t>
      </w:r>
    </w:p>
    <w:p>
      <w:pPr>
        <w:spacing w:before="10" w:after="10" w:line="360" w:lineRule="auto"/>
        <w:ind w:firstLine="640"/>
        <w:jc w:val="left"/>
        <w:outlineLvl w:val="2"/>
      </w:pPr>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根据上级院今后一个时期重点工作安排，紧紧围绕服务全县工作大局，结合检察院工作实际，我院2025年规划目标如下：</w:t>
      </w:r>
    </w:p>
    <w:p>
      <w:pPr>
        <w:pStyle w:val="22"/>
      </w:pPr>
      <w:r>
        <w:t>1.准确打击刑事犯罪，着力维护社会稳定。依法履行批捕、起诉等职能，坚持“严打”方针，把打击重点对准危害公共安全犯罪、严重暴力犯罪、黑恶势力犯罪、涉众型经济犯罪和拐卖儿童妇女、“黄赌毒”等犯罪，切实增强人民群众的安全感。认真贯彻“两个诉讼法”在实践中的运用，保证实现无错案、无超期羁押案、无违规违纪案的“三无”案件发生。要认真贯彻宽严相济刑事政策，完善刑事和解制度，继续做好轻微刑事案件双方当事人的和解工作，继续在检察环节减少社会矛盾和冲突，全年力争做好刑事和解10件以上。同时，加强行政执法活动监督，落实联席会制度。</w:t>
      </w:r>
    </w:p>
    <w:p>
      <w:pPr>
        <w:pStyle w:val="22"/>
      </w:pPr>
      <w:r>
        <w:t>2.认真做好控告申诉工作，化解社会矛盾，服务经济建设。一要畅通信访渠道，妥善解决群众诉求，全面深入排查，加大化解涉检信访案件力度，及时收集、了解、分析、上报社情民意；二要坚持稳定是首要责任，重大活动和节假日做好安排，化解会议期间的涉检信访；三要认真做好举报宣传周等法律宣传活动；四是完善好执法办案风险评估预警机制，对在办理重大复杂案件和作出不批捕、不起诉、不立案、不抗诉、撤案的决定时，要做好评估，从源头上杜绝矛盾产生；五要认真落实刑事被害人救助条例；六要继续努力做好文明接待室争创工作。</w:t>
      </w:r>
    </w:p>
    <w:p>
      <w:pPr>
        <w:pStyle w:val="22"/>
      </w:pPr>
      <w:r>
        <w:t>3.找准社会管理创新与检察工作结合的着力点，不断加强社会管理创新。立足检察职能，深入推进社会管理创新，找准检察工作服务大局的结合点和切入点，延伸服务触角，创新服务方式，积极主动为</w:t>
      </w:r>
      <w:r>
        <w:rPr>
          <w:rFonts w:hint="eastAsia"/>
          <w:lang w:val="en-US" w:eastAsia="zh-CN"/>
        </w:rPr>
        <w:t>新区</w:t>
      </w:r>
      <w:r>
        <w:t>发展提供法律服务和司法保障；关注民生民利，积极参与食品、药品等关系民生的行政执法检查，预防食品、药品安全事故的发生；加强安全生产事故调查、分析和责任认定，对属于检察机关管辖的渎职案件，依法严厉查处。</w:t>
      </w:r>
    </w:p>
    <w:p>
      <w:pPr>
        <w:pStyle w:val="22"/>
      </w:pPr>
      <w:r>
        <w:t>4.促进公正廉洁执法，维护司法公正。要树立敢于监督、善于监督、依法监督、规范监督的公正之风，同时强化自身监督，加大执法规范化建设力度，积极邀请人民监督员参与案件回访，加强对执法办案的监督和制约，杜绝执法不公、有法不依等现象，坚持为民执法、廉洁执法，争做司法公正的捍卫者和维护者。</w:t>
      </w:r>
    </w:p>
    <w:p>
      <w:pPr>
        <w:pStyle w:val="22"/>
      </w:pPr>
      <w:r>
        <w:t>5.切实加强侦查活动监督。对刑事立案监督案件线索的受理和审查，严格立案监督的程序，确保监督准确、规范。完善“羁押必要性”审查制度。</w:t>
      </w:r>
    </w:p>
    <w:p>
      <w:pPr>
        <w:pStyle w:val="22"/>
      </w:pPr>
      <w:r>
        <w:t>6.加强对刑事审判活动的监督。重点加大对量刑畸轻畸重问题。</w:t>
      </w:r>
    </w:p>
    <w:p>
      <w:pPr>
        <w:pStyle w:val="22"/>
      </w:pPr>
      <w:r>
        <w:t>7.加强对民事行政活动监督。要加强宣传、拓宽案源，建立协调双向机制，把加强民事行政申诉等工作与发现、移送司法不公等犯罪线索有机结合起来，建立民事行政检察与职务犯罪侦查部门的案件线索双向移送、处理结果双向反馈，发挥检察机关整体监督的优势、能力和实效。以办理提请抗为中心，严把立案关，确保提抗支持率和法院改判率，对再审检察建议加强与法院的协调沟通和跟踪监督，对应该启动再审法院不采纳的，要提请上级院抗诉。同时，要做好释法说理工作，积极化解矛盾；要开展好督促起诉、司法调查以及行政执法活动监督工作。</w:t>
      </w:r>
    </w:p>
    <w:p>
      <w:pPr>
        <w:pStyle w:val="22"/>
      </w:pPr>
      <w:r>
        <w:t>8.加强监所检察监督。全力维护监管安全、稳定。</w:t>
      </w:r>
    </w:p>
    <w:p>
      <w:pPr>
        <w:pStyle w:val="22"/>
      </w:pPr>
      <w:r>
        <w:t>9.公益诉讼监督。办理的破坏生态环境和资源保护、食品药品安全领域侵害众多消费者合法权益等损害社会公共利益的民事公益诉讼案案件，生态环境和资源保护、食品药品安全、国有财产保护、国有土地使用权出让等领域的行政公益诉讼案件，侵害英雄烈士姓名、肖像、名誉、荣誉的公益诉讼案件，依照法律规定提起公益诉讼。</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对侦查机关的侦查活动、人民法院的审判活动、监狱看守所等机关执行刑罚的活动，依法实行法律监督，维护司法公正。保障人权、维护司法公正，有效提高批捕、批准立案、批延准确率。全面审查案件事实，核实证据，依法提起公诉、出庭提出审查意见，提高公诉案件审结率、出庭意见采纳率。有效实施民事案件审判监督，维护司法公正和司法权威，保障国家法律的统一正确实施。保障刑罚执行和监管活动的依法有序进行。完成移交未成年人案件侦查监督任务，有效实施未成年人案件审判监督，依法保护刑事案件未成年被害人的合法权益。加强各项检察辅助职能，为检察业务提供有力保障。</w:t>
      </w:r>
    </w:p>
    <w:p>
      <w:pPr>
        <w:pStyle w:val="23"/>
      </w:pPr>
      <w:r>
        <w:t>2.组织和指导全县人民控申部门受理来信来访、举报、刑事申诉、国家赔偿、司法救助工作，受理民事监督案件，办理信访、举报案件、刑事申诉案件、国家赔偿、司法救助案件以及上级机关交办、转办、督办案件。构建依法有序信访秩序，及时依法解决群众诉求。加强和改进举报工作，保护申诉人合法权益，保护被赔偿人和被救助人合法权益。</w:t>
      </w:r>
    </w:p>
    <w:p>
      <w:pPr>
        <w:pStyle w:val="23"/>
      </w:pPr>
      <w:r>
        <w:t>3.承担系统综合业务管理和综合事务管理工作。提高执法水平和办案质量、提升检察机关法律监督能力。为检察工作顺利开展提供检务保障。确保机关工作有效运转。</w:t>
      </w:r>
    </w:p>
    <w:p>
      <w:pPr>
        <w:pStyle w:val="23"/>
      </w:pPr>
      <w:r>
        <w:t>4.发挥检察公益诉讼职能作用，维护国家利益和社会公共利益。</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一是坚持以深化规范执法为主线，全面加强检察业务建设</w:t>
      </w:r>
    </w:p>
    <w:p>
      <w:pPr>
        <w:pStyle w:val="24"/>
      </w:pPr>
      <w:r>
        <w:t>1.强化正确执法理念教育。坚持严格公正规范文明执法，把“六观”、“六个有机统一”、“四个必须”、“六个并重”等作为基层检察人员日常学习重点内容和教育培训必修课程，树立理性平和文明规范的执法理念，始终用正确的执法理念指引和规范基层执法办案活动。坚守防止冤假错案底线，努力让人民群众在每一个司法案件中都感受到公平正义。</w:t>
      </w:r>
    </w:p>
    <w:p>
      <w:pPr>
        <w:pStyle w:val="24"/>
      </w:pPr>
      <w:r>
        <w:t>2.加大执法办案工作力度。坚持以执法办案为中心，因地制宜突出工作重点，敢于监督、善于监督、依法监督、规范监督，自觉融入社会治理体制创新，不断完善人权司法保障机制，全面履行打击刑事犯罪、查办和预防职务犯罪、诉讼监督等职责，确保国家法律的统一正确实施。完善落实检察长、副检察长带头办案制度，对有影响的大案要案，检察长、副检察长应当亲自指挥侦查、讯问和出庭支持公诉。</w:t>
      </w:r>
    </w:p>
    <w:p>
      <w:pPr>
        <w:pStyle w:val="24"/>
      </w:pPr>
      <w:r>
        <w:t>3.加强检察业务集中管理。全面推进案件管理机制改革，健全检察业务管理制度，完善案件集中管理模式，细化执法办案流程，明确执法办案标准，严格执法办案监管，实现对执法办案全过程的集约化、动态化管理，从源头上解决随意执法、粗放执法问题。组织开展规范执法强化年系列活动，推动检察机关执法工作基本规范全面贯彻落实。</w:t>
      </w:r>
    </w:p>
    <w:p>
      <w:pPr>
        <w:pStyle w:val="24"/>
      </w:pPr>
      <w:r>
        <w:t>4.健全检察业务考评机制。坚持结果考评与过程管理、定期考评与动态指导、综合考评与个案评查相结合，形成多手段全方位的执法办案考评体系。完善检察官办案责任制，加强执法办案监督制约。建立案件质量常态化评查机制，全面对照修改后的刑事诉讼法、民事诉讼法和其他法律法规，重点围绕办案时限、执法程序、证据采信、文书制作和涉案财物处理等，定期进行集中评查，促进执法规范化。</w:t>
      </w:r>
    </w:p>
    <w:p>
      <w:pPr>
        <w:pStyle w:val="24"/>
      </w:pPr>
      <w:r>
        <w:t>5.深入推进检务公开工作。细化执法办案公开的内容、对象、时机、方式和要求，健全主动公开和依申请公开制度。除法律规定需要保密的以外，执法依据、执法程序、办案过程和检察机关终结性法律文书一律向社会公开。坚持和完善检察开放日、案件公开审查、人民监督员等制度，切实保障人民群众对法律监督工作的知情权、参与权和监督权。</w:t>
      </w:r>
    </w:p>
    <w:p>
      <w:pPr>
        <w:pStyle w:val="24"/>
      </w:pPr>
      <w:r>
        <w:t>二是坚持以强化科技应用为重点，切实加强检务保障建设</w:t>
      </w:r>
    </w:p>
    <w:p>
      <w:pPr>
        <w:pStyle w:val="24"/>
      </w:pPr>
      <w:r>
        <w:t>1.运行统一业务应用系统。组织开展统一业务应用系统全员培训，加强运行维护、安全保密等管理制度建设，为统一业务应用系统运行奠定坚实基础。落实“统一入轨、统一管理、统一应用、统一改进”要求，实现执法信息网上录入、执法业务网上审批、执法流程网上管理、执法活动网上监督，确保“全员、全面、全程、规范”应用。</w:t>
      </w:r>
    </w:p>
    <w:p>
      <w:pPr>
        <w:pStyle w:val="24"/>
      </w:pPr>
      <w:r>
        <w:t>2.加强基层业务装备配备。坚持量力而行、尽力而为，认真落实基本业务装备配备指导标准。以提高侦查工作科技含量为重点，加强侦查指挥、证据收集、安全防范、检验鉴定等装备建设，完善执法办案科技手段和设施体系，加快执法办案科技装备更新升级。加强执法值勤用车配备，满足基层办案工作需要。</w:t>
      </w:r>
    </w:p>
    <w:p>
      <w:pPr>
        <w:pStyle w:val="24"/>
      </w:pPr>
      <w:r>
        <w:t>3.落实科技建设重点任务。以统一业务应用系统为重点实施电子检务工程，建设网上举报、远程视频讯问、案卷材料传输及视频接访等系统，建成检察专线网、局域网等基础网络，实现基层检察工作数字化目标。完善检察技术融入执法办案工作机制，促进技术取证、技术鉴定、技术审查等检察技术手段有效利用。组织开展技术信息应用年系列活动，提升技术信息应用水平，建设一批科技强检示范院。</w:t>
      </w:r>
    </w:p>
    <w:p>
      <w:pPr>
        <w:pStyle w:val="24"/>
        <w:sectPr>
          <w:pgSz w:w="16840" w:h="11900" w:orient="landscape"/>
          <w:pgMar w:top="1361" w:right="1020" w:bottom="1361" w:left="1020" w:header="720" w:footer="720" w:gutter="0"/>
          <w:cols w:space="720" w:num="1"/>
        </w:sectPr>
      </w:pPr>
      <w:r>
        <w:t>4.推进基层基础设施建设。加强检察经费保障，落实政法基础设施建设规划，严格执行基本建设程序和基建项目管理制度，认真落实基建项目内部核准制度，加强基本建设财务管理。</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640" w:firstLineChars="20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1、2024年中央政法纪检监察转移支付绩效目标表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13660024P00503410059R</w:t>
            </w:r>
          </w:p>
        </w:tc>
        <w:tc>
          <w:tcPr>
            <w:tcW w:w="2835" w:type="dxa"/>
            <w:vAlign w:val="center"/>
          </w:tcPr>
          <w:p>
            <w:pPr>
              <w:pStyle w:val="11"/>
            </w:pPr>
            <w:r>
              <w:t>项目名称</w:t>
            </w:r>
          </w:p>
        </w:tc>
        <w:tc>
          <w:tcPr>
            <w:tcW w:w="6095" w:type="dxa"/>
            <w:gridSpan w:val="3"/>
            <w:vAlign w:val="center"/>
          </w:tcPr>
          <w:p>
            <w:pPr>
              <w:pStyle w:val="13"/>
            </w:pPr>
            <w:r>
              <w:t>2024年中央政法纪检监察转移支付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0.50</w:t>
            </w:r>
          </w:p>
        </w:tc>
        <w:tc>
          <w:tcPr>
            <w:tcW w:w="2835" w:type="dxa"/>
            <w:vAlign w:val="center"/>
          </w:tcPr>
          <w:p>
            <w:pPr>
              <w:pStyle w:val="11"/>
            </w:pPr>
            <w:r>
              <w:t>其中：财政    资金</w:t>
            </w:r>
          </w:p>
        </w:tc>
        <w:tc>
          <w:tcPr>
            <w:tcW w:w="2551" w:type="dxa"/>
            <w:vAlign w:val="center"/>
          </w:tcPr>
          <w:p>
            <w:pPr>
              <w:pStyle w:val="13"/>
            </w:pPr>
            <w:r>
              <w:t>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资金用于本单位办案（业务）经费及业务装备经费保障等方面的工作。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50</w:t>
            </w:r>
          </w:p>
        </w:tc>
        <w:tc>
          <w:tcPr>
            <w:tcW w:w="2835" w:type="dxa"/>
            <w:vAlign w:val="center"/>
          </w:tcPr>
          <w:p>
            <w:pPr>
              <w:pStyle w:val="14"/>
              <w:rPr>
                <w:rFonts w:hint="default" w:eastAsia="方正书宋_GBK"/>
                <w:lang w:val="en-US" w:eastAsia="zh-CN"/>
              </w:rPr>
            </w:pPr>
            <w:r>
              <w:rPr>
                <w:rFonts w:hint="eastAsia"/>
                <w:lang w:val="en-US" w:eastAsia="zh-CN"/>
              </w:rPr>
              <w:t>100</w:t>
            </w:r>
          </w:p>
        </w:tc>
        <w:tc>
          <w:tcPr>
            <w:tcW w:w="2551" w:type="dxa"/>
            <w:vAlign w:val="center"/>
          </w:tcPr>
          <w:p>
            <w:pPr>
              <w:pStyle w:val="14"/>
              <w:rPr>
                <w:rFonts w:hint="default" w:eastAsia="方正书宋_GBK"/>
                <w:lang w:val="en-US" w:eastAsia="zh-CN"/>
              </w:rPr>
            </w:pPr>
            <w:r>
              <w:rPr>
                <w:rFonts w:hint="eastAsia"/>
                <w:lang w:val="en-US" w:eastAsia="zh-CN"/>
              </w:rPr>
              <w:t>100</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1.保障办案需要，专款专用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资金保障率</w:t>
            </w:r>
          </w:p>
        </w:tc>
        <w:tc>
          <w:tcPr>
            <w:tcW w:w="5386" w:type="dxa"/>
            <w:vAlign w:val="center"/>
          </w:tcPr>
          <w:p>
            <w:pPr>
              <w:pStyle w:val="13"/>
            </w:pPr>
            <w:r>
              <w:t>资金保障率</w:t>
            </w:r>
          </w:p>
        </w:tc>
        <w:tc>
          <w:tcPr>
            <w:tcW w:w="2268" w:type="dxa"/>
            <w:vAlign w:val="center"/>
          </w:tcPr>
          <w:p>
            <w:pPr>
              <w:pStyle w:val="13"/>
            </w:pPr>
            <w:r>
              <w:t>≥95%</w:t>
            </w:r>
          </w:p>
        </w:tc>
        <w:tc>
          <w:tcPr>
            <w:tcW w:w="1276" w:type="dxa"/>
            <w:vAlign w:val="center"/>
          </w:tcPr>
          <w:p>
            <w:pPr>
              <w:pStyle w:val="13"/>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资金到位率</w:t>
            </w:r>
          </w:p>
        </w:tc>
        <w:tc>
          <w:tcPr>
            <w:tcW w:w="5386" w:type="dxa"/>
            <w:vAlign w:val="center"/>
          </w:tcPr>
          <w:p>
            <w:pPr>
              <w:pStyle w:val="13"/>
            </w:pPr>
            <w:r>
              <w:t>资金到位率</w:t>
            </w:r>
          </w:p>
        </w:tc>
        <w:tc>
          <w:tcPr>
            <w:tcW w:w="2268" w:type="dxa"/>
            <w:vAlign w:val="center"/>
          </w:tcPr>
          <w:p>
            <w:pPr>
              <w:pStyle w:val="13"/>
            </w:pPr>
            <w:r>
              <w:t>≥95%</w:t>
            </w:r>
          </w:p>
        </w:tc>
        <w:tc>
          <w:tcPr>
            <w:tcW w:w="1276" w:type="dxa"/>
            <w:vAlign w:val="center"/>
          </w:tcPr>
          <w:p>
            <w:pPr>
              <w:pStyle w:val="13"/>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根据年初预算及工作需要及时支付</w:t>
            </w:r>
          </w:p>
        </w:tc>
        <w:tc>
          <w:tcPr>
            <w:tcW w:w="2268" w:type="dxa"/>
            <w:vAlign w:val="center"/>
          </w:tcPr>
          <w:p>
            <w:pPr>
              <w:pStyle w:val="13"/>
            </w:pPr>
            <w:r>
              <w:t>≥95%</w:t>
            </w:r>
          </w:p>
        </w:tc>
        <w:tc>
          <w:tcPr>
            <w:tcW w:w="1276" w:type="dxa"/>
            <w:vAlign w:val="center"/>
          </w:tcPr>
          <w:p>
            <w:pPr>
              <w:pStyle w:val="13"/>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按预算资金完成率</w:t>
            </w:r>
          </w:p>
        </w:tc>
        <w:tc>
          <w:tcPr>
            <w:tcW w:w="5386" w:type="dxa"/>
            <w:vAlign w:val="center"/>
          </w:tcPr>
          <w:p>
            <w:pPr>
              <w:pStyle w:val="13"/>
            </w:pPr>
            <w:r>
              <w:t>按预算资金完成率</w:t>
            </w:r>
          </w:p>
        </w:tc>
        <w:tc>
          <w:tcPr>
            <w:tcW w:w="2268" w:type="dxa"/>
            <w:vAlign w:val="center"/>
          </w:tcPr>
          <w:p>
            <w:pPr>
              <w:pStyle w:val="13"/>
            </w:pPr>
            <w:r>
              <w:t>≥95%</w:t>
            </w:r>
          </w:p>
        </w:tc>
        <w:tc>
          <w:tcPr>
            <w:tcW w:w="1276" w:type="dxa"/>
            <w:vAlign w:val="center"/>
          </w:tcPr>
          <w:p>
            <w:pPr>
              <w:pStyle w:val="13"/>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资金的使用效率</w:t>
            </w:r>
          </w:p>
        </w:tc>
        <w:tc>
          <w:tcPr>
            <w:tcW w:w="5386" w:type="dxa"/>
            <w:vAlign w:val="center"/>
          </w:tcPr>
          <w:p>
            <w:pPr>
              <w:pStyle w:val="13"/>
            </w:pPr>
            <w:r>
              <w:t>资金的使用效率</w:t>
            </w:r>
          </w:p>
        </w:tc>
        <w:tc>
          <w:tcPr>
            <w:tcW w:w="2268" w:type="dxa"/>
            <w:vAlign w:val="center"/>
          </w:tcPr>
          <w:p>
            <w:pPr>
              <w:pStyle w:val="13"/>
            </w:pPr>
            <w:r>
              <w:t>≥95%</w:t>
            </w:r>
          </w:p>
        </w:tc>
        <w:tc>
          <w:tcPr>
            <w:tcW w:w="1276" w:type="dxa"/>
            <w:vAlign w:val="center"/>
          </w:tcPr>
          <w:p>
            <w:pPr>
              <w:pStyle w:val="13"/>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创新工作完成率</w:t>
            </w:r>
          </w:p>
        </w:tc>
        <w:tc>
          <w:tcPr>
            <w:tcW w:w="5386" w:type="dxa"/>
            <w:vAlign w:val="center"/>
          </w:tcPr>
          <w:p>
            <w:pPr>
              <w:pStyle w:val="13"/>
            </w:pPr>
            <w:r>
              <w:t>创新工作完成率</w:t>
            </w:r>
          </w:p>
        </w:tc>
        <w:tc>
          <w:tcPr>
            <w:tcW w:w="2268" w:type="dxa"/>
            <w:vAlign w:val="center"/>
          </w:tcPr>
          <w:p>
            <w:pPr>
              <w:pStyle w:val="13"/>
            </w:pPr>
            <w:r>
              <w:t>≥95%</w:t>
            </w:r>
          </w:p>
        </w:tc>
        <w:tc>
          <w:tcPr>
            <w:tcW w:w="1276" w:type="dxa"/>
            <w:vAlign w:val="center"/>
          </w:tcPr>
          <w:p>
            <w:pPr>
              <w:pStyle w:val="13"/>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重大环保事件及时发现率（%）</w:t>
            </w:r>
          </w:p>
        </w:tc>
        <w:tc>
          <w:tcPr>
            <w:tcW w:w="5386" w:type="dxa"/>
            <w:vAlign w:val="center"/>
          </w:tcPr>
          <w:p>
            <w:pPr>
              <w:pStyle w:val="13"/>
            </w:pPr>
            <w:r>
              <w:t>重大环保事件及时发现率（%）</w:t>
            </w:r>
          </w:p>
        </w:tc>
        <w:tc>
          <w:tcPr>
            <w:tcW w:w="2268" w:type="dxa"/>
            <w:vAlign w:val="center"/>
          </w:tcPr>
          <w:p>
            <w:pPr>
              <w:pStyle w:val="13"/>
            </w:pPr>
            <w:r>
              <w:t>≥95%</w:t>
            </w:r>
          </w:p>
        </w:tc>
        <w:tc>
          <w:tcPr>
            <w:tcW w:w="1276" w:type="dxa"/>
            <w:vAlign w:val="center"/>
          </w:tcPr>
          <w:p>
            <w:pPr>
              <w:pStyle w:val="13"/>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任务计划完成率</w:t>
            </w:r>
          </w:p>
        </w:tc>
        <w:tc>
          <w:tcPr>
            <w:tcW w:w="5386" w:type="dxa"/>
            <w:vAlign w:val="center"/>
          </w:tcPr>
          <w:p>
            <w:pPr>
              <w:pStyle w:val="13"/>
            </w:pPr>
            <w:r>
              <w:t>任务计划完成率</w:t>
            </w:r>
          </w:p>
        </w:tc>
        <w:tc>
          <w:tcPr>
            <w:tcW w:w="2268" w:type="dxa"/>
            <w:vAlign w:val="center"/>
          </w:tcPr>
          <w:p>
            <w:pPr>
              <w:pStyle w:val="13"/>
            </w:pPr>
            <w:r>
              <w:t>≥95%</w:t>
            </w:r>
          </w:p>
        </w:tc>
        <w:tc>
          <w:tcPr>
            <w:tcW w:w="1276" w:type="dxa"/>
            <w:vAlign w:val="center"/>
          </w:tcPr>
          <w:p>
            <w:pPr>
              <w:pStyle w:val="13"/>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本单位职工满意度</w:t>
            </w:r>
          </w:p>
        </w:tc>
        <w:tc>
          <w:tcPr>
            <w:tcW w:w="5386" w:type="dxa"/>
            <w:vAlign w:val="center"/>
          </w:tcPr>
          <w:p>
            <w:pPr>
              <w:pStyle w:val="13"/>
            </w:pPr>
            <w:r>
              <w:t>本单位职工满意度</w:t>
            </w:r>
          </w:p>
        </w:tc>
        <w:tc>
          <w:tcPr>
            <w:tcW w:w="2268" w:type="dxa"/>
            <w:vAlign w:val="center"/>
          </w:tcPr>
          <w:p>
            <w:pPr>
              <w:pStyle w:val="13"/>
            </w:pPr>
            <w:r>
              <w:t>≥95%</w:t>
            </w:r>
          </w:p>
        </w:tc>
        <w:tc>
          <w:tcPr>
            <w:tcW w:w="1276" w:type="dxa"/>
            <w:vAlign w:val="center"/>
          </w:tcPr>
          <w:p>
            <w:pPr>
              <w:pStyle w:val="13"/>
            </w:pPr>
            <w:r>
              <w:t>部门</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2、2040499雄安财预复【2023】392号中央政法纪检监察转移支付资金绩效目标表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13660024P00503410033C</w:t>
            </w:r>
          </w:p>
        </w:tc>
        <w:tc>
          <w:tcPr>
            <w:tcW w:w="2835" w:type="dxa"/>
            <w:vAlign w:val="center"/>
          </w:tcPr>
          <w:p>
            <w:pPr>
              <w:pStyle w:val="11"/>
            </w:pPr>
            <w:r>
              <w:t>项目名称</w:t>
            </w:r>
          </w:p>
        </w:tc>
        <w:tc>
          <w:tcPr>
            <w:tcW w:w="6095" w:type="dxa"/>
            <w:gridSpan w:val="3"/>
            <w:vAlign w:val="center"/>
          </w:tcPr>
          <w:p>
            <w:pPr>
              <w:pStyle w:val="13"/>
            </w:pPr>
            <w:r>
              <w:t>2040499雄安财预复【2023】392号中央政法纪检监察转移支付资金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1.52</w:t>
            </w:r>
          </w:p>
        </w:tc>
        <w:tc>
          <w:tcPr>
            <w:tcW w:w="2835" w:type="dxa"/>
            <w:vAlign w:val="center"/>
          </w:tcPr>
          <w:p>
            <w:pPr>
              <w:pStyle w:val="11"/>
            </w:pPr>
            <w:r>
              <w:t>其中：财政    资金</w:t>
            </w:r>
          </w:p>
        </w:tc>
        <w:tc>
          <w:tcPr>
            <w:tcW w:w="2551" w:type="dxa"/>
            <w:vAlign w:val="center"/>
          </w:tcPr>
          <w:p>
            <w:pPr>
              <w:pStyle w:val="13"/>
            </w:pPr>
            <w:r>
              <w:t>1.52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用于保障我单位办案业务经费及业务装备经费支出。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30</w:t>
            </w:r>
          </w:p>
        </w:tc>
        <w:tc>
          <w:tcPr>
            <w:tcW w:w="2835" w:type="dxa"/>
            <w:vAlign w:val="center"/>
          </w:tcPr>
          <w:p>
            <w:pPr>
              <w:pStyle w:val="14"/>
              <w:rPr>
                <w:rFonts w:hint="default" w:eastAsia="方正书宋_GBK"/>
                <w:lang w:val="en-US" w:eastAsia="zh-CN"/>
              </w:rPr>
            </w:pPr>
            <w:r>
              <w:rPr>
                <w:rFonts w:hint="eastAsia"/>
                <w:lang w:val="en-US" w:eastAsia="zh-CN"/>
              </w:rPr>
              <w:t>60</w:t>
            </w:r>
          </w:p>
        </w:tc>
        <w:tc>
          <w:tcPr>
            <w:tcW w:w="2551" w:type="dxa"/>
            <w:vAlign w:val="center"/>
          </w:tcPr>
          <w:p>
            <w:pPr>
              <w:pStyle w:val="14"/>
              <w:rPr>
                <w:rFonts w:hint="default" w:eastAsia="方正书宋_GBK"/>
                <w:lang w:val="en-US" w:eastAsia="zh-CN"/>
              </w:rPr>
            </w:pPr>
            <w:r>
              <w:rPr>
                <w:rFonts w:hint="eastAsia"/>
                <w:lang w:val="en-US" w:eastAsia="zh-CN"/>
              </w:rPr>
              <w:t>100</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1.保障开展相关业务工作所必需的经费支出。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资金保障率</w:t>
            </w:r>
          </w:p>
        </w:tc>
        <w:tc>
          <w:tcPr>
            <w:tcW w:w="5386" w:type="dxa"/>
            <w:vAlign w:val="center"/>
          </w:tcPr>
          <w:p>
            <w:pPr>
              <w:pStyle w:val="13"/>
            </w:pPr>
            <w:r>
              <w:t>资金保障率</w:t>
            </w:r>
          </w:p>
        </w:tc>
        <w:tc>
          <w:tcPr>
            <w:tcW w:w="2268" w:type="dxa"/>
            <w:vAlign w:val="center"/>
          </w:tcPr>
          <w:p>
            <w:pPr>
              <w:pStyle w:val="13"/>
            </w:pPr>
            <w:r>
              <w:t>≥95%</w:t>
            </w:r>
          </w:p>
        </w:tc>
        <w:tc>
          <w:tcPr>
            <w:tcW w:w="1276" w:type="dxa"/>
            <w:vAlign w:val="center"/>
          </w:tcPr>
          <w:p>
            <w:pPr>
              <w:pStyle w:val="13"/>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资金使用合规率</w:t>
            </w:r>
          </w:p>
        </w:tc>
        <w:tc>
          <w:tcPr>
            <w:tcW w:w="5386" w:type="dxa"/>
            <w:vAlign w:val="center"/>
          </w:tcPr>
          <w:p>
            <w:pPr>
              <w:pStyle w:val="13"/>
            </w:pPr>
            <w:r>
              <w:t>资金使用合规率</w:t>
            </w:r>
          </w:p>
        </w:tc>
        <w:tc>
          <w:tcPr>
            <w:tcW w:w="2268" w:type="dxa"/>
            <w:vAlign w:val="center"/>
          </w:tcPr>
          <w:p>
            <w:pPr>
              <w:pStyle w:val="13"/>
            </w:pPr>
            <w:r>
              <w:t>100%</w:t>
            </w:r>
          </w:p>
        </w:tc>
        <w:tc>
          <w:tcPr>
            <w:tcW w:w="1276" w:type="dxa"/>
            <w:vAlign w:val="center"/>
          </w:tcPr>
          <w:p>
            <w:pPr>
              <w:pStyle w:val="13"/>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资金拨付及时率</w:t>
            </w:r>
          </w:p>
        </w:tc>
        <w:tc>
          <w:tcPr>
            <w:tcW w:w="2268" w:type="dxa"/>
            <w:vAlign w:val="center"/>
          </w:tcPr>
          <w:p>
            <w:pPr>
              <w:pStyle w:val="13"/>
            </w:pPr>
            <w:r>
              <w:t>≥95%</w:t>
            </w:r>
          </w:p>
        </w:tc>
        <w:tc>
          <w:tcPr>
            <w:tcW w:w="1276" w:type="dxa"/>
            <w:vAlign w:val="center"/>
          </w:tcPr>
          <w:p>
            <w:pPr>
              <w:pStyle w:val="13"/>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预算执行率（%）</w:t>
            </w:r>
          </w:p>
        </w:tc>
        <w:tc>
          <w:tcPr>
            <w:tcW w:w="5386" w:type="dxa"/>
            <w:vAlign w:val="center"/>
          </w:tcPr>
          <w:p>
            <w:pPr>
              <w:pStyle w:val="13"/>
            </w:pPr>
            <w:r>
              <w:t>预算执行率（%）</w:t>
            </w:r>
          </w:p>
        </w:tc>
        <w:tc>
          <w:tcPr>
            <w:tcW w:w="2268" w:type="dxa"/>
            <w:vAlign w:val="center"/>
          </w:tcPr>
          <w:p>
            <w:pPr>
              <w:pStyle w:val="13"/>
            </w:pPr>
            <w:r>
              <w:t>≥95%</w:t>
            </w:r>
          </w:p>
        </w:tc>
        <w:tc>
          <w:tcPr>
            <w:tcW w:w="1276" w:type="dxa"/>
            <w:vAlign w:val="center"/>
          </w:tcPr>
          <w:p>
            <w:pPr>
              <w:pStyle w:val="13"/>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综合利用率</w:t>
            </w:r>
          </w:p>
        </w:tc>
        <w:tc>
          <w:tcPr>
            <w:tcW w:w="5386" w:type="dxa"/>
            <w:vAlign w:val="center"/>
          </w:tcPr>
          <w:p>
            <w:pPr>
              <w:pStyle w:val="13"/>
            </w:pPr>
            <w:r>
              <w:t>综合利用率</w:t>
            </w:r>
          </w:p>
        </w:tc>
        <w:tc>
          <w:tcPr>
            <w:tcW w:w="2268" w:type="dxa"/>
            <w:vAlign w:val="center"/>
          </w:tcPr>
          <w:p>
            <w:pPr>
              <w:pStyle w:val="13"/>
            </w:pPr>
            <w:r>
              <w:t>≥95%</w:t>
            </w:r>
          </w:p>
        </w:tc>
        <w:tc>
          <w:tcPr>
            <w:tcW w:w="1276" w:type="dxa"/>
            <w:vAlign w:val="center"/>
          </w:tcPr>
          <w:p>
            <w:pPr>
              <w:pStyle w:val="13"/>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政策建议采纳率</w:t>
            </w:r>
          </w:p>
        </w:tc>
        <w:tc>
          <w:tcPr>
            <w:tcW w:w="5386" w:type="dxa"/>
            <w:vAlign w:val="center"/>
          </w:tcPr>
          <w:p>
            <w:pPr>
              <w:pStyle w:val="13"/>
            </w:pPr>
            <w:r>
              <w:t>政策建议采纳率</w:t>
            </w:r>
          </w:p>
        </w:tc>
        <w:tc>
          <w:tcPr>
            <w:tcW w:w="2268" w:type="dxa"/>
            <w:vAlign w:val="center"/>
          </w:tcPr>
          <w:p>
            <w:pPr>
              <w:pStyle w:val="13"/>
            </w:pPr>
            <w:r>
              <w:t>≥95%</w:t>
            </w:r>
          </w:p>
        </w:tc>
        <w:tc>
          <w:tcPr>
            <w:tcW w:w="1276" w:type="dxa"/>
            <w:vAlign w:val="center"/>
          </w:tcPr>
          <w:p>
            <w:pPr>
              <w:pStyle w:val="13"/>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重大环保事件及时发现率（%）</w:t>
            </w:r>
          </w:p>
        </w:tc>
        <w:tc>
          <w:tcPr>
            <w:tcW w:w="5386" w:type="dxa"/>
            <w:vAlign w:val="center"/>
          </w:tcPr>
          <w:p>
            <w:pPr>
              <w:pStyle w:val="13"/>
            </w:pPr>
            <w:r>
              <w:t>重大环保事件及时发现率（%）</w:t>
            </w:r>
          </w:p>
        </w:tc>
        <w:tc>
          <w:tcPr>
            <w:tcW w:w="2268" w:type="dxa"/>
            <w:vAlign w:val="center"/>
          </w:tcPr>
          <w:p>
            <w:pPr>
              <w:pStyle w:val="13"/>
            </w:pPr>
            <w:r>
              <w:t>≥95%</w:t>
            </w:r>
          </w:p>
        </w:tc>
        <w:tc>
          <w:tcPr>
            <w:tcW w:w="1276" w:type="dxa"/>
            <w:vAlign w:val="center"/>
          </w:tcPr>
          <w:p>
            <w:pPr>
              <w:pStyle w:val="13"/>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设备使用率</w:t>
            </w:r>
          </w:p>
        </w:tc>
        <w:tc>
          <w:tcPr>
            <w:tcW w:w="5386" w:type="dxa"/>
            <w:vAlign w:val="center"/>
          </w:tcPr>
          <w:p>
            <w:pPr>
              <w:pStyle w:val="13"/>
            </w:pPr>
            <w:r>
              <w:t>设备使用率</w:t>
            </w:r>
          </w:p>
        </w:tc>
        <w:tc>
          <w:tcPr>
            <w:tcW w:w="2268" w:type="dxa"/>
            <w:vAlign w:val="center"/>
          </w:tcPr>
          <w:p>
            <w:pPr>
              <w:pStyle w:val="13"/>
            </w:pPr>
            <w:r>
              <w:t>≥95%</w:t>
            </w:r>
          </w:p>
        </w:tc>
        <w:tc>
          <w:tcPr>
            <w:tcW w:w="1276" w:type="dxa"/>
            <w:vAlign w:val="center"/>
          </w:tcPr>
          <w:p>
            <w:pPr>
              <w:pStyle w:val="13"/>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w:t>
            </w:r>
          </w:p>
        </w:tc>
        <w:tc>
          <w:tcPr>
            <w:tcW w:w="5386" w:type="dxa"/>
            <w:vAlign w:val="center"/>
          </w:tcPr>
          <w:p>
            <w:pPr>
              <w:pStyle w:val="13"/>
            </w:pPr>
            <w:r>
              <w:t>职工满意度</w:t>
            </w:r>
          </w:p>
        </w:tc>
        <w:tc>
          <w:tcPr>
            <w:tcW w:w="2268" w:type="dxa"/>
            <w:vAlign w:val="center"/>
          </w:tcPr>
          <w:p>
            <w:pPr>
              <w:pStyle w:val="13"/>
            </w:pPr>
            <w:r>
              <w:t>≥95%</w:t>
            </w:r>
          </w:p>
        </w:tc>
        <w:tc>
          <w:tcPr>
            <w:tcW w:w="1276" w:type="dxa"/>
            <w:vAlign w:val="center"/>
          </w:tcPr>
          <w:p>
            <w:pPr>
              <w:pStyle w:val="13"/>
            </w:pPr>
            <w:r>
              <w:t>部门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3、基层公检法司转移支付资金绩效目标表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13660025P00537010064F</w:t>
            </w:r>
          </w:p>
        </w:tc>
        <w:tc>
          <w:tcPr>
            <w:tcW w:w="2835" w:type="dxa"/>
            <w:vAlign w:val="center"/>
          </w:tcPr>
          <w:p>
            <w:pPr>
              <w:pStyle w:val="11"/>
            </w:pPr>
            <w:r>
              <w:t>项目名称</w:t>
            </w:r>
          </w:p>
        </w:tc>
        <w:tc>
          <w:tcPr>
            <w:tcW w:w="6095" w:type="dxa"/>
            <w:gridSpan w:val="3"/>
            <w:vAlign w:val="center"/>
          </w:tcPr>
          <w:p>
            <w:pPr>
              <w:pStyle w:val="13"/>
            </w:pPr>
            <w:r>
              <w:t>基层公检法司转移支付资金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74.00</w:t>
            </w:r>
          </w:p>
        </w:tc>
        <w:tc>
          <w:tcPr>
            <w:tcW w:w="2835" w:type="dxa"/>
            <w:vAlign w:val="center"/>
          </w:tcPr>
          <w:p>
            <w:pPr>
              <w:pStyle w:val="11"/>
            </w:pPr>
            <w:r>
              <w:t>其中：财政    资金</w:t>
            </w:r>
          </w:p>
        </w:tc>
        <w:tc>
          <w:tcPr>
            <w:tcW w:w="2551" w:type="dxa"/>
            <w:vAlign w:val="center"/>
          </w:tcPr>
          <w:p>
            <w:pPr>
              <w:pStyle w:val="13"/>
            </w:pPr>
            <w:r>
              <w:t>74.00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保障机关开展办案业务和业务装备支出，提高经费保障水平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1.保障机关开展办案业务和业务装备支出，专款专用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资金保障率</w:t>
            </w:r>
          </w:p>
        </w:tc>
        <w:tc>
          <w:tcPr>
            <w:tcW w:w="5386" w:type="dxa"/>
            <w:vAlign w:val="center"/>
          </w:tcPr>
          <w:p>
            <w:pPr>
              <w:pStyle w:val="13"/>
            </w:pPr>
            <w:r>
              <w:t>资金保障率</w:t>
            </w:r>
          </w:p>
        </w:tc>
        <w:tc>
          <w:tcPr>
            <w:tcW w:w="2268" w:type="dxa"/>
            <w:vAlign w:val="center"/>
          </w:tcPr>
          <w:p>
            <w:pPr>
              <w:pStyle w:val="13"/>
            </w:pPr>
            <w:r>
              <w:t>≥95%</w:t>
            </w:r>
          </w:p>
        </w:tc>
        <w:tc>
          <w:tcPr>
            <w:tcW w:w="1276" w:type="dxa"/>
            <w:vAlign w:val="center"/>
          </w:tcPr>
          <w:p>
            <w:pPr>
              <w:pStyle w:val="13"/>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资金使用合规率</w:t>
            </w:r>
          </w:p>
        </w:tc>
        <w:tc>
          <w:tcPr>
            <w:tcW w:w="5386" w:type="dxa"/>
            <w:vAlign w:val="center"/>
          </w:tcPr>
          <w:p>
            <w:pPr>
              <w:pStyle w:val="13"/>
            </w:pPr>
            <w:r>
              <w:t>资金使用合规率</w:t>
            </w:r>
          </w:p>
        </w:tc>
        <w:tc>
          <w:tcPr>
            <w:tcW w:w="2268" w:type="dxa"/>
            <w:vAlign w:val="center"/>
          </w:tcPr>
          <w:p>
            <w:pPr>
              <w:pStyle w:val="13"/>
            </w:pPr>
            <w:r>
              <w:t>100%</w:t>
            </w:r>
          </w:p>
        </w:tc>
        <w:tc>
          <w:tcPr>
            <w:tcW w:w="1276" w:type="dxa"/>
            <w:vAlign w:val="center"/>
          </w:tcPr>
          <w:p>
            <w:pPr>
              <w:pStyle w:val="13"/>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资金拨付及时率</w:t>
            </w:r>
          </w:p>
        </w:tc>
        <w:tc>
          <w:tcPr>
            <w:tcW w:w="2268" w:type="dxa"/>
            <w:vAlign w:val="center"/>
          </w:tcPr>
          <w:p>
            <w:pPr>
              <w:pStyle w:val="13"/>
            </w:pPr>
            <w:r>
              <w:t>≥95%</w:t>
            </w:r>
          </w:p>
        </w:tc>
        <w:tc>
          <w:tcPr>
            <w:tcW w:w="1276" w:type="dxa"/>
            <w:vAlign w:val="center"/>
          </w:tcPr>
          <w:p>
            <w:pPr>
              <w:pStyle w:val="13"/>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预算执行率（%）</w:t>
            </w:r>
          </w:p>
        </w:tc>
        <w:tc>
          <w:tcPr>
            <w:tcW w:w="5386" w:type="dxa"/>
            <w:vAlign w:val="center"/>
          </w:tcPr>
          <w:p>
            <w:pPr>
              <w:pStyle w:val="13"/>
            </w:pPr>
            <w:r>
              <w:t>预算执行率（%）</w:t>
            </w:r>
          </w:p>
        </w:tc>
        <w:tc>
          <w:tcPr>
            <w:tcW w:w="2268" w:type="dxa"/>
            <w:vAlign w:val="center"/>
          </w:tcPr>
          <w:p>
            <w:pPr>
              <w:pStyle w:val="13"/>
            </w:pPr>
            <w:r>
              <w:t>≥95%</w:t>
            </w:r>
          </w:p>
        </w:tc>
        <w:tc>
          <w:tcPr>
            <w:tcW w:w="1276" w:type="dxa"/>
            <w:vAlign w:val="center"/>
          </w:tcPr>
          <w:p>
            <w:pPr>
              <w:pStyle w:val="13"/>
            </w:pPr>
            <w:r>
              <w:t>部门</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设备使用率（%）</w:t>
            </w:r>
          </w:p>
        </w:tc>
        <w:tc>
          <w:tcPr>
            <w:tcW w:w="5386" w:type="dxa"/>
            <w:vAlign w:val="center"/>
          </w:tcPr>
          <w:p>
            <w:pPr>
              <w:pStyle w:val="13"/>
            </w:pPr>
            <w:r>
              <w:t>设备使用率（%）</w:t>
            </w:r>
          </w:p>
        </w:tc>
        <w:tc>
          <w:tcPr>
            <w:tcW w:w="2268" w:type="dxa"/>
            <w:vAlign w:val="center"/>
          </w:tcPr>
          <w:p>
            <w:pPr>
              <w:pStyle w:val="13"/>
            </w:pPr>
            <w:r>
              <w:t>≥95%</w:t>
            </w:r>
          </w:p>
        </w:tc>
        <w:tc>
          <w:tcPr>
            <w:tcW w:w="1276" w:type="dxa"/>
            <w:vAlign w:val="center"/>
          </w:tcPr>
          <w:p>
            <w:pPr>
              <w:pStyle w:val="13"/>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创新工作完成率</w:t>
            </w:r>
          </w:p>
        </w:tc>
        <w:tc>
          <w:tcPr>
            <w:tcW w:w="5386" w:type="dxa"/>
            <w:vAlign w:val="center"/>
          </w:tcPr>
          <w:p>
            <w:pPr>
              <w:pStyle w:val="13"/>
            </w:pPr>
            <w:r>
              <w:t>创新工作完成率</w:t>
            </w:r>
          </w:p>
        </w:tc>
        <w:tc>
          <w:tcPr>
            <w:tcW w:w="2268" w:type="dxa"/>
            <w:vAlign w:val="center"/>
          </w:tcPr>
          <w:p>
            <w:pPr>
              <w:pStyle w:val="13"/>
            </w:pPr>
            <w:r>
              <w:t>≥95%</w:t>
            </w:r>
          </w:p>
        </w:tc>
        <w:tc>
          <w:tcPr>
            <w:tcW w:w="1276" w:type="dxa"/>
            <w:vAlign w:val="center"/>
          </w:tcPr>
          <w:p>
            <w:pPr>
              <w:pStyle w:val="13"/>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重大环保事件及时发现率（%）</w:t>
            </w:r>
          </w:p>
        </w:tc>
        <w:tc>
          <w:tcPr>
            <w:tcW w:w="5386" w:type="dxa"/>
            <w:vAlign w:val="center"/>
          </w:tcPr>
          <w:p>
            <w:pPr>
              <w:pStyle w:val="13"/>
            </w:pPr>
            <w:r>
              <w:t>重大环保事件及时发现率（%）</w:t>
            </w:r>
          </w:p>
        </w:tc>
        <w:tc>
          <w:tcPr>
            <w:tcW w:w="2268" w:type="dxa"/>
            <w:vAlign w:val="center"/>
          </w:tcPr>
          <w:p>
            <w:pPr>
              <w:pStyle w:val="13"/>
            </w:pPr>
            <w:r>
              <w:t>≥95%</w:t>
            </w:r>
          </w:p>
        </w:tc>
        <w:tc>
          <w:tcPr>
            <w:tcW w:w="1276" w:type="dxa"/>
            <w:vAlign w:val="center"/>
          </w:tcPr>
          <w:p>
            <w:pPr>
              <w:pStyle w:val="13"/>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各项工作任务按时完成率</w:t>
            </w:r>
          </w:p>
        </w:tc>
        <w:tc>
          <w:tcPr>
            <w:tcW w:w="5386" w:type="dxa"/>
            <w:vAlign w:val="center"/>
          </w:tcPr>
          <w:p>
            <w:pPr>
              <w:pStyle w:val="13"/>
            </w:pPr>
            <w:r>
              <w:t>各项工作任务按时完成率</w:t>
            </w:r>
          </w:p>
        </w:tc>
        <w:tc>
          <w:tcPr>
            <w:tcW w:w="2268" w:type="dxa"/>
            <w:vAlign w:val="center"/>
          </w:tcPr>
          <w:p>
            <w:pPr>
              <w:pStyle w:val="13"/>
            </w:pPr>
            <w:r>
              <w:t>≥95%</w:t>
            </w:r>
          </w:p>
        </w:tc>
        <w:tc>
          <w:tcPr>
            <w:tcW w:w="1276" w:type="dxa"/>
            <w:vAlign w:val="center"/>
          </w:tcPr>
          <w:p>
            <w:pPr>
              <w:pStyle w:val="13"/>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使用部门满意度</w:t>
            </w:r>
          </w:p>
        </w:tc>
        <w:tc>
          <w:tcPr>
            <w:tcW w:w="5386" w:type="dxa"/>
            <w:vAlign w:val="center"/>
          </w:tcPr>
          <w:p>
            <w:pPr>
              <w:pStyle w:val="13"/>
            </w:pPr>
            <w:r>
              <w:t>使用部门满意度</w:t>
            </w:r>
          </w:p>
        </w:tc>
        <w:tc>
          <w:tcPr>
            <w:tcW w:w="2268" w:type="dxa"/>
            <w:vAlign w:val="center"/>
          </w:tcPr>
          <w:p>
            <w:pPr>
              <w:pStyle w:val="13"/>
            </w:pPr>
            <w:r>
              <w:t>≥95%</w:t>
            </w:r>
          </w:p>
        </w:tc>
        <w:tc>
          <w:tcPr>
            <w:tcW w:w="1276" w:type="dxa"/>
            <w:vAlign w:val="center"/>
          </w:tcPr>
          <w:p>
            <w:pPr>
              <w:pStyle w:val="13"/>
            </w:pPr>
            <w:r>
              <w:t>部门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4、机关运转经费绩效目标表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13660025P00524010019Q</w:t>
            </w:r>
          </w:p>
        </w:tc>
        <w:tc>
          <w:tcPr>
            <w:tcW w:w="2835" w:type="dxa"/>
            <w:vAlign w:val="center"/>
          </w:tcPr>
          <w:p>
            <w:pPr>
              <w:pStyle w:val="11"/>
            </w:pPr>
            <w:r>
              <w:t>项目名称</w:t>
            </w:r>
          </w:p>
        </w:tc>
        <w:tc>
          <w:tcPr>
            <w:tcW w:w="6095" w:type="dxa"/>
            <w:gridSpan w:val="3"/>
            <w:vAlign w:val="center"/>
          </w:tcPr>
          <w:p>
            <w:pPr>
              <w:pStyle w:val="13"/>
            </w:pPr>
            <w:r>
              <w:t>机关运转经费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用于高铁枢纽片区检察办公室及雄东片区检察办公室运营运转、高校教学科研实践及其他机关运转等费用支出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1.保障机关运转所需的经费支出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ind w:firstLine="0" w:firstLineChars="0"/>
            </w:pPr>
            <w:r>
              <w:rPr>
                <w:rFonts w:hint="default"/>
                <w:lang w:val="en-US" w:eastAsia="zh-CN"/>
              </w:rPr>
              <w:t>资金保障率</w:t>
            </w:r>
          </w:p>
        </w:tc>
        <w:tc>
          <w:tcPr>
            <w:tcW w:w="5386" w:type="dxa"/>
            <w:vAlign w:val="center"/>
          </w:tcPr>
          <w:p>
            <w:pPr>
              <w:pStyle w:val="13"/>
              <w:ind w:firstLine="0" w:firstLineChars="0"/>
            </w:pPr>
            <w:r>
              <w:rPr>
                <w:rFonts w:hint="eastAsia"/>
                <w:lang w:val="en-US" w:eastAsia="zh-CN"/>
              </w:rPr>
              <w:t>机关运转费用支出保障情况</w:t>
            </w:r>
          </w:p>
        </w:tc>
        <w:tc>
          <w:tcPr>
            <w:tcW w:w="2268" w:type="dxa"/>
            <w:vAlign w:val="center"/>
          </w:tcPr>
          <w:p>
            <w:pPr>
              <w:pStyle w:val="13"/>
              <w:ind w:firstLine="0" w:firstLineChars="0"/>
            </w:pPr>
            <w:r>
              <w:t>≥95%</w:t>
            </w:r>
          </w:p>
        </w:tc>
        <w:tc>
          <w:tcPr>
            <w:tcW w:w="1276" w:type="dxa"/>
            <w:vAlign w:val="center"/>
          </w:tcPr>
          <w:p>
            <w:pPr>
              <w:pStyle w:val="13"/>
              <w:ind w:firstLine="0" w:firstLineChars="0"/>
              <w:rPr>
                <w:rFonts w:hint="default" w:eastAsia="方正书宋_GBK"/>
                <w:lang w:val="en-US" w:eastAsia="zh-CN"/>
              </w:rPr>
            </w:pPr>
            <w:r>
              <w:rPr>
                <w:rFonts w:hint="eastAsia"/>
                <w:lang w:val="en-US" w:eastAsia="zh-CN"/>
              </w:rPr>
              <w:t>年度工作报告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ind w:firstLine="0" w:firstLineChars="0"/>
            </w:pPr>
            <w:r>
              <w:rPr>
                <w:rFonts w:hint="default"/>
                <w:lang w:val="en-US" w:eastAsia="zh-CN"/>
              </w:rPr>
              <w:t>资金到位率</w:t>
            </w:r>
          </w:p>
        </w:tc>
        <w:tc>
          <w:tcPr>
            <w:tcW w:w="5386" w:type="dxa"/>
            <w:vAlign w:val="center"/>
          </w:tcPr>
          <w:p>
            <w:pPr>
              <w:pStyle w:val="13"/>
              <w:ind w:firstLine="0" w:firstLineChars="0"/>
            </w:pPr>
            <w:r>
              <w:rPr>
                <w:rFonts w:hint="default"/>
                <w:lang w:val="en-US" w:eastAsia="zh-CN"/>
              </w:rPr>
              <w:t>资金到位率</w:t>
            </w:r>
          </w:p>
        </w:tc>
        <w:tc>
          <w:tcPr>
            <w:tcW w:w="2268" w:type="dxa"/>
            <w:vAlign w:val="center"/>
          </w:tcPr>
          <w:p>
            <w:pPr>
              <w:pStyle w:val="13"/>
              <w:ind w:firstLine="0" w:firstLineChars="0"/>
            </w:pPr>
            <w:r>
              <w:t>≥95%</w:t>
            </w:r>
          </w:p>
        </w:tc>
        <w:tc>
          <w:tcPr>
            <w:tcW w:w="1276" w:type="dxa"/>
            <w:vAlign w:val="center"/>
          </w:tcPr>
          <w:p>
            <w:pPr>
              <w:pStyle w:val="13"/>
              <w:ind w:firstLine="0" w:firstLineChars="0"/>
            </w:pPr>
            <w:r>
              <w:rPr>
                <w:rFonts w:hint="eastAsia"/>
                <w:lang w:val="en-US" w:eastAsia="zh-CN"/>
              </w:rPr>
              <w:t>年度工作报告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ind w:firstLine="0" w:firstLineChars="0"/>
            </w:pPr>
            <w:r>
              <w:rPr>
                <w:rFonts w:hint="default"/>
                <w:lang w:val="en-US" w:eastAsia="zh-CN"/>
              </w:rPr>
              <w:t>资金</w:t>
            </w:r>
            <w:r>
              <w:rPr>
                <w:rFonts w:hint="eastAsia"/>
                <w:lang w:val="en-US" w:eastAsia="zh-CN"/>
              </w:rPr>
              <w:t>支付及时</w:t>
            </w:r>
            <w:r>
              <w:rPr>
                <w:rFonts w:hint="default"/>
                <w:lang w:val="en-US" w:eastAsia="zh-CN"/>
              </w:rPr>
              <w:t>率</w:t>
            </w:r>
          </w:p>
        </w:tc>
        <w:tc>
          <w:tcPr>
            <w:tcW w:w="5386" w:type="dxa"/>
            <w:vAlign w:val="center"/>
          </w:tcPr>
          <w:p>
            <w:pPr>
              <w:pStyle w:val="13"/>
              <w:ind w:firstLine="0" w:firstLineChars="0"/>
            </w:pPr>
            <w:r>
              <w:rPr>
                <w:rFonts w:hint="default"/>
                <w:lang w:val="en-US" w:eastAsia="zh-CN"/>
              </w:rPr>
              <w:t>根据年初预算及工作需要及时支付</w:t>
            </w:r>
          </w:p>
        </w:tc>
        <w:tc>
          <w:tcPr>
            <w:tcW w:w="2268" w:type="dxa"/>
            <w:vAlign w:val="center"/>
          </w:tcPr>
          <w:p>
            <w:pPr>
              <w:pStyle w:val="13"/>
              <w:ind w:firstLine="0" w:firstLineChars="0"/>
            </w:pPr>
            <w:r>
              <w:t>≥95%</w:t>
            </w:r>
          </w:p>
        </w:tc>
        <w:tc>
          <w:tcPr>
            <w:tcW w:w="1276" w:type="dxa"/>
            <w:vAlign w:val="center"/>
          </w:tcPr>
          <w:p>
            <w:pPr>
              <w:pStyle w:val="13"/>
              <w:ind w:firstLine="0" w:firstLineChars="0"/>
            </w:pPr>
            <w:r>
              <w:rPr>
                <w:rFonts w:hint="eastAsia"/>
                <w:lang w:val="en-US" w:eastAsia="zh-CN"/>
              </w:rPr>
              <w:t>年度工作报告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ind w:firstLine="0" w:firstLineChars="0"/>
            </w:pPr>
            <w:r>
              <w:rPr>
                <w:rFonts w:hint="default"/>
                <w:lang w:val="en-US" w:eastAsia="zh-CN"/>
              </w:rPr>
              <w:t>按预算资金完成率</w:t>
            </w:r>
          </w:p>
        </w:tc>
        <w:tc>
          <w:tcPr>
            <w:tcW w:w="5386" w:type="dxa"/>
            <w:vAlign w:val="center"/>
          </w:tcPr>
          <w:p>
            <w:pPr>
              <w:pStyle w:val="13"/>
              <w:ind w:firstLine="0" w:firstLineChars="0"/>
            </w:pPr>
            <w:r>
              <w:rPr>
                <w:rFonts w:hint="default"/>
                <w:lang w:val="en-US" w:eastAsia="zh-CN"/>
              </w:rPr>
              <w:t>按预算资金完成率</w:t>
            </w:r>
          </w:p>
        </w:tc>
        <w:tc>
          <w:tcPr>
            <w:tcW w:w="2268" w:type="dxa"/>
            <w:vAlign w:val="center"/>
          </w:tcPr>
          <w:p>
            <w:pPr>
              <w:pStyle w:val="13"/>
              <w:ind w:firstLine="0" w:firstLineChars="0"/>
            </w:pPr>
            <w:r>
              <w:t>≥95%</w:t>
            </w:r>
          </w:p>
        </w:tc>
        <w:tc>
          <w:tcPr>
            <w:tcW w:w="1276" w:type="dxa"/>
            <w:vAlign w:val="center"/>
          </w:tcPr>
          <w:p>
            <w:pPr>
              <w:pStyle w:val="13"/>
              <w:ind w:firstLine="0" w:firstLineChars="0"/>
            </w:pPr>
            <w:r>
              <w:rPr>
                <w:rFonts w:hint="eastAsia"/>
                <w:lang w:val="en-US" w:eastAsia="zh-CN"/>
              </w:rPr>
              <w:t>年终决算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ind w:firstLine="0" w:firstLineChars="0"/>
            </w:pPr>
            <w:r>
              <w:rPr>
                <w:rFonts w:hint="eastAsia"/>
                <w:lang w:val="en-US" w:eastAsia="zh-CN"/>
              </w:rPr>
              <w:t>资金的使用效率　</w:t>
            </w:r>
          </w:p>
        </w:tc>
        <w:tc>
          <w:tcPr>
            <w:tcW w:w="5386" w:type="dxa"/>
            <w:vAlign w:val="center"/>
          </w:tcPr>
          <w:p>
            <w:pPr>
              <w:pStyle w:val="13"/>
              <w:ind w:firstLine="0" w:firstLineChars="0"/>
            </w:pPr>
            <w:r>
              <w:rPr>
                <w:rFonts w:hint="eastAsia"/>
                <w:lang w:val="en-US" w:eastAsia="zh-CN"/>
              </w:rPr>
              <w:t>资金的使用效率　</w:t>
            </w:r>
          </w:p>
        </w:tc>
        <w:tc>
          <w:tcPr>
            <w:tcW w:w="2268" w:type="dxa"/>
            <w:vAlign w:val="center"/>
          </w:tcPr>
          <w:p>
            <w:pPr>
              <w:pStyle w:val="13"/>
              <w:ind w:firstLine="0" w:firstLineChars="0"/>
            </w:pPr>
            <w:r>
              <w:t>≥95%</w:t>
            </w:r>
          </w:p>
        </w:tc>
        <w:tc>
          <w:tcPr>
            <w:tcW w:w="1276" w:type="dxa"/>
            <w:vAlign w:val="center"/>
          </w:tcPr>
          <w:p>
            <w:pPr>
              <w:pStyle w:val="13"/>
              <w:ind w:firstLine="0" w:firstLineChars="0"/>
            </w:pPr>
            <w:r>
              <w:rPr>
                <w:rFonts w:hint="eastAsia"/>
                <w:lang w:val="en-US" w:eastAsia="zh-CN"/>
              </w:rPr>
              <w:t>年度工作报告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ind w:firstLine="0" w:firstLineChars="0"/>
            </w:pPr>
            <w:r>
              <w:rPr>
                <w:rFonts w:hint="default"/>
                <w:lang w:val="en-US" w:eastAsia="zh-CN"/>
              </w:rPr>
              <w:t>创新工作完成率</w:t>
            </w:r>
          </w:p>
        </w:tc>
        <w:tc>
          <w:tcPr>
            <w:tcW w:w="5386" w:type="dxa"/>
            <w:vAlign w:val="center"/>
          </w:tcPr>
          <w:p>
            <w:pPr>
              <w:pStyle w:val="13"/>
              <w:ind w:firstLine="0" w:firstLineChars="0"/>
            </w:pPr>
            <w:r>
              <w:rPr>
                <w:rFonts w:hint="default"/>
                <w:lang w:val="en-US" w:eastAsia="zh-CN"/>
              </w:rPr>
              <w:t>创新工作完成率</w:t>
            </w:r>
          </w:p>
        </w:tc>
        <w:tc>
          <w:tcPr>
            <w:tcW w:w="2268" w:type="dxa"/>
            <w:vAlign w:val="center"/>
          </w:tcPr>
          <w:p>
            <w:pPr>
              <w:pStyle w:val="13"/>
              <w:ind w:firstLine="0" w:firstLineChars="0"/>
            </w:pPr>
            <w:r>
              <w:t>≥95%</w:t>
            </w:r>
          </w:p>
        </w:tc>
        <w:tc>
          <w:tcPr>
            <w:tcW w:w="1276" w:type="dxa"/>
            <w:vAlign w:val="center"/>
          </w:tcPr>
          <w:p>
            <w:pPr>
              <w:pStyle w:val="13"/>
              <w:ind w:firstLine="0" w:firstLineChars="0"/>
            </w:pPr>
            <w:r>
              <w:rPr>
                <w:rFonts w:hint="eastAsia"/>
                <w:lang w:val="en-US" w:eastAsia="zh-CN"/>
              </w:rPr>
              <w:t>年度工作报告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ind w:firstLine="0" w:firstLineChars="0"/>
            </w:pPr>
            <w:r>
              <w:rPr>
                <w:rFonts w:hint="eastAsia"/>
                <w:lang w:val="en-US" w:eastAsia="zh-CN"/>
              </w:rPr>
              <w:t>重大环保事件及时发现率（%）　</w:t>
            </w:r>
          </w:p>
        </w:tc>
        <w:tc>
          <w:tcPr>
            <w:tcW w:w="5386" w:type="dxa"/>
            <w:vAlign w:val="center"/>
          </w:tcPr>
          <w:p>
            <w:pPr>
              <w:pStyle w:val="13"/>
              <w:ind w:firstLine="0" w:firstLineChars="0"/>
            </w:pPr>
            <w:r>
              <w:rPr>
                <w:rFonts w:hint="eastAsia"/>
                <w:lang w:val="en-US" w:eastAsia="zh-CN"/>
              </w:rPr>
              <w:t>重大环保事件及时发现率（%）</w:t>
            </w:r>
          </w:p>
        </w:tc>
        <w:tc>
          <w:tcPr>
            <w:tcW w:w="2268" w:type="dxa"/>
            <w:vAlign w:val="center"/>
          </w:tcPr>
          <w:p>
            <w:pPr>
              <w:pStyle w:val="13"/>
              <w:ind w:firstLine="0" w:firstLineChars="0"/>
            </w:pPr>
            <w:r>
              <w:t>≥95%</w:t>
            </w:r>
          </w:p>
        </w:tc>
        <w:tc>
          <w:tcPr>
            <w:tcW w:w="1276" w:type="dxa"/>
            <w:vAlign w:val="center"/>
          </w:tcPr>
          <w:p>
            <w:pPr>
              <w:pStyle w:val="13"/>
              <w:ind w:firstLine="0" w:firstLineChars="0"/>
            </w:pPr>
            <w:r>
              <w:rPr>
                <w:rFonts w:hint="eastAsia"/>
                <w:lang w:val="en-US" w:eastAsia="zh-CN"/>
              </w:rPr>
              <w:t>年度工作报告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ind w:firstLine="0" w:firstLineChars="0"/>
            </w:pPr>
            <w:r>
              <w:rPr>
                <w:rFonts w:hint="default"/>
                <w:lang w:val="en-US" w:eastAsia="zh-CN"/>
              </w:rPr>
              <w:t>任务计划完成率</w:t>
            </w:r>
          </w:p>
        </w:tc>
        <w:tc>
          <w:tcPr>
            <w:tcW w:w="5386" w:type="dxa"/>
            <w:vAlign w:val="center"/>
          </w:tcPr>
          <w:p>
            <w:pPr>
              <w:pStyle w:val="13"/>
              <w:ind w:firstLine="0" w:firstLineChars="0"/>
            </w:pPr>
            <w:r>
              <w:rPr>
                <w:rFonts w:hint="default"/>
                <w:lang w:val="en-US" w:eastAsia="zh-CN"/>
              </w:rPr>
              <w:t>任务计划完成率</w:t>
            </w:r>
          </w:p>
        </w:tc>
        <w:tc>
          <w:tcPr>
            <w:tcW w:w="2268" w:type="dxa"/>
            <w:vAlign w:val="center"/>
          </w:tcPr>
          <w:p>
            <w:pPr>
              <w:pStyle w:val="13"/>
              <w:ind w:firstLine="0" w:firstLineChars="0"/>
            </w:pPr>
            <w:r>
              <w:t>≥95%</w:t>
            </w:r>
          </w:p>
        </w:tc>
        <w:tc>
          <w:tcPr>
            <w:tcW w:w="1276" w:type="dxa"/>
            <w:vAlign w:val="center"/>
          </w:tcPr>
          <w:p>
            <w:pPr>
              <w:pStyle w:val="13"/>
              <w:ind w:firstLine="0" w:firstLineChars="0"/>
            </w:pPr>
            <w:r>
              <w:rPr>
                <w:rFonts w:hint="eastAsia"/>
                <w:lang w:val="en-US" w:eastAsia="zh-CN"/>
              </w:rPr>
              <w:t>年度工作报告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ind w:firstLine="0" w:firstLineChars="0"/>
            </w:pPr>
            <w:r>
              <w:rPr>
                <w:rFonts w:hint="eastAsia"/>
                <w:lang w:val="en-US" w:eastAsia="zh-CN"/>
              </w:rPr>
              <w:t>群众</w:t>
            </w:r>
            <w:r>
              <w:rPr>
                <w:rFonts w:hint="default"/>
                <w:lang w:val="en-US" w:eastAsia="zh-CN"/>
              </w:rPr>
              <w:t>满意度</w:t>
            </w:r>
          </w:p>
        </w:tc>
        <w:tc>
          <w:tcPr>
            <w:tcW w:w="5386" w:type="dxa"/>
            <w:vAlign w:val="center"/>
          </w:tcPr>
          <w:p>
            <w:pPr>
              <w:pStyle w:val="13"/>
              <w:ind w:firstLine="0" w:firstLineChars="0"/>
            </w:pPr>
            <w:r>
              <w:rPr>
                <w:rFonts w:hint="default"/>
                <w:lang w:val="en-US" w:eastAsia="zh-CN"/>
              </w:rPr>
              <w:t>社会对检察工作的满意度</w:t>
            </w:r>
          </w:p>
        </w:tc>
        <w:tc>
          <w:tcPr>
            <w:tcW w:w="2268" w:type="dxa"/>
            <w:vAlign w:val="center"/>
          </w:tcPr>
          <w:p>
            <w:pPr>
              <w:pStyle w:val="13"/>
              <w:ind w:firstLine="0" w:firstLineChars="0"/>
            </w:pPr>
            <w:r>
              <w:t>≥95%</w:t>
            </w:r>
          </w:p>
        </w:tc>
        <w:tc>
          <w:tcPr>
            <w:tcW w:w="1276" w:type="dxa"/>
            <w:vAlign w:val="center"/>
          </w:tcPr>
          <w:p>
            <w:pPr>
              <w:pStyle w:val="13"/>
              <w:ind w:firstLine="0" w:firstLineChars="0"/>
              <w:rPr>
                <w:rFonts w:hint="eastAsia" w:eastAsia="方正书宋_GBK"/>
                <w:lang w:val="en-US" w:eastAsia="zh-CN"/>
              </w:rPr>
            </w:pPr>
            <w:r>
              <w:rPr>
                <w:rFonts w:hint="eastAsia"/>
                <w:lang w:val="en-US" w:eastAsia="zh-CN"/>
              </w:rP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5、劳务派遣人员经费绩效目标表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13660025P00524010017H</w:t>
            </w:r>
          </w:p>
        </w:tc>
        <w:tc>
          <w:tcPr>
            <w:tcW w:w="2835" w:type="dxa"/>
            <w:vAlign w:val="center"/>
          </w:tcPr>
          <w:p>
            <w:pPr>
              <w:pStyle w:val="11"/>
            </w:pPr>
            <w:r>
              <w:t>项目名称</w:t>
            </w:r>
          </w:p>
        </w:tc>
        <w:tc>
          <w:tcPr>
            <w:tcW w:w="6095" w:type="dxa"/>
            <w:gridSpan w:val="3"/>
            <w:vAlign w:val="center"/>
          </w:tcPr>
          <w:p>
            <w:pPr>
              <w:pStyle w:val="13"/>
            </w:pPr>
            <w:r>
              <w:t>劳务派遣人员经费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83.00</w:t>
            </w:r>
          </w:p>
        </w:tc>
        <w:tc>
          <w:tcPr>
            <w:tcW w:w="2835" w:type="dxa"/>
            <w:vAlign w:val="center"/>
          </w:tcPr>
          <w:p>
            <w:pPr>
              <w:pStyle w:val="11"/>
            </w:pPr>
            <w:r>
              <w:t>其中：财政    资金</w:t>
            </w:r>
          </w:p>
        </w:tc>
        <w:tc>
          <w:tcPr>
            <w:tcW w:w="2551" w:type="dxa"/>
            <w:vAlign w:val="center"/>
          </w:tcPr>
          <w:p>
            <w:pPr>
              <w:pStyle w:val="13"/>
            </w:pPr>
            <w:r>
              <w:t>83.00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用于劳务派遣人员经费支出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1.保障劳务派遣人员经费足额、及时发放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ind w:firstLine="0" w:firstLineChars="0"/>
              <w:jc w:val="left"/>
            </w:pPr>
            <w:r>
              <w:rPr>
                <w:rFonts w:hint="default"/>
                <w:lang w:val="en-US" w:eastAsia="zh-CN"/>
              </w:rPr>
              <w:t>资金保障率</w:t>
            </w:r>
          </w:p>
        </w:tc>
        <w:tc>
          <w:tcPr>
            <w:tcW w:w="5386" w:type="dxa"/>
            <w:vAlign w:val="center"/>
          </w:tcPr>
          <w:p>
            <w:pPr>
              <w:widowControl/>
              <w:jc w:val="left"/>
            </w:pPr>
            <w:r>
              <w:rPr>
                <w:rFonts w:hint="default" w:ascii="方正书宋_GBK" w:hAnsi="方正书宋_GBK" w:eastAsia="方正书宋_GBK" w:cs="方正书宋_GBK"/>
                <w:sz w:val="21"/>
                <w:szCs w:val="20"/>
                <w:lang w:val="en-US" w:eastAsia="zh-CN"/>
              </w:rPr>
              <w:t>足额发放工资，缴纳保险</w:t>
            </w:r>
          </w:p>
        </w:tc>
        <w:tc>
          <w:tcPr>
            <w:tcW w:w="2268" w:type="dxa"/>
            <w:vAlign w:val="center"/>
          </w:tcPr>
          <w:p>
            <w:pPr>
              <w:pStyle w:val="13"/>
              <w:ind w:firstLine="0" w:firstLineChars="0"/>
            </w:pPr>
            <w:r>
              <w:t>≥95%</w:t>
            </w:r>
          </w:p>
        </w:tc>
        <w:tc>
          <w:tcPr>
            <w:tcW w:w="1276" w:type="dxa"/>
            <w:vAlign w:val="center"/>
          </w:tcPr>
          <w:p>
            <w:pPr>
              <w:pStyle w:val="13"/>
              <w:ind w:firstLine="0" w:firstLineChars="0"/>
              <w:rPr>
                <w:rFonts w:hint="default" w:eastAsia="方正书宋_GBK"/>
                <w:lang w:val="en-US" w:eastAsia="zh-CN"/>
              </w:rPr>
            </w:pPr>
            <w:r>
              <w:rPr>
                <w:rFonts w:hint="eastAsia"/>
                <w:lang w:val="en-US" w:eastAsia="zh-CN"/>
              </w:rPr>
              <w:t>年度工作报告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ind w:firstLine="0" w:firstLineChars="0"/>
              <w:jc w:val="left"/>
            </w:pPr>
            <w:r>
              <w:rPr>
                <w:rFonts w:hint="default"/>
                <w:lang w:val="en-US" w:eastAsia="zh-CN"/>
              </w:rPr>
              <w:t>资金到位率</w:t>
            </w:r>
          </w:p>
        </w:tc>
        <w:tc>
          <w:tcPr>
            <w:tcW w:w="5386" w:type="dxa"/>
            <w:vAlign w:val="center"/>
          </w:tcPr>
          <w:p>
            <w:pPr>
              <w:widowControl/>
              <w:jc w:val="left"/>
            </w:pPr>
            <w:r>
              <w:rPr>
                <w:rFonts w:hint="default" w:ascii="方正书宋_GBK" w:hAnsi="方正书宋_GBK" w:eastAsia="方正书宋_GBK" w:cs="方正书宋_GBK"/>
                <w:sz w:val="21"/>
                <w:szCs w:val="20"/>
                <w:lang w:val="en-US" w:eastAsia="zh-CN"/>
              </w:rPr>
              <w:t>按时发放到位情况</w:t>
            </w:r>
          </w:p>
        </w:tc>
        <w:tc>
          <w:tcPr>
            <w:tcW w:w="2268" w:type="dxa"/>
            <w:vAlign w:val="center"/>
          </w:tcPr>
          <w:p>
            <w:pPr>
              <w:pStyle w:val="13"/>
              <w:ind w:firstLine="0" w:firstLineChars="0"/>
            </w:pPr>
            <w:r>
              <w:t>≥95%</w:t>
            </w:r>
          </w:p>
        </w:tc>
        <w:tc>
          <w:tcPr>
            <w:tcW w:w="1276" w:type="dxa"/>
            <w:vAlign w:val="center"/>
          </w:tcPr>
          <w:p>
            <w:pPr>
              <w:pStyle w:val="13"/>
              <w:ind w:firstLine="0" w:firstLineChars="0"/>
            </w:pPr>
            <w:r>
              <w:rPr>
                <w:rFonts w:hint="eastAsia"/>
                <w:lang w:val="en-US" w:eastAsia="zh-CN"/>
              </w:rPr>
              <w:t>年度工作报告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ind w:firstLine="0" w:firstLineChars="0"/>
              <w:jc w:val="left"/>
            </w:pPr>
            <w:r>
              <w:rPr>
                <w:rFonts w:hint="default"/>
                <w:lang w:val="en-US" w:eastAsia="zh-CN"/>
              </w:rPr>
              <w:t>资金支付及时率</w:t>
            </w:r>
          </w:p>
        </w:tc>
        <w:tc>
          <w:tcPr>
            <w:tcW w:w="5386" w:type="dxa"/>
            <w:vAlign w:val="center"/>
          </w:tcPr>
          <w:p>
            <w:pPr>
              <w:widowControl/>
              <w:jc w:val="left"/>
            </w:pPr>
            <w:r>
              <w:rPr>
                <w:rFonts w:hint="default" w:ascii="方正书宋_GBK" w:hAnsi="方正书宋_GBK" w:eastAsia="方正书宋_GBK" w:cs="方正书宋_GBK"/>
                <w:sz w:val="21"/>
                <w:szCs w:val="20"/>
                <w:lang w:val="en-US" w:eastAsia="zh-CN"/>
              </w:rPr>
              <w:t>根据年初预算及工作需要及时支付</w:t>
            </w:r>
          </w:p>
        </w:tc>
        <w:tc>
          <w:tcPr>
            <w:tcW w:w="2268" w:type="dxa"/>
            <w:vAlign w:val="center"/>
          </w:tcPr>
          <w:p>
            <w:pPr>
              <w:pStyle w:val="13"/>
              <w:ind w:firstLine="0" w:firstLineChars="0"/>
            </w:pPr>
            <w:r>
              <w:t>≥95%</w:t>
            </w:r>
          </w:p>
        </w:tc>
        <w:tc>
          <w:tcPr>
            <w:tcW w:w="1276" w:type="dxa"/>
            <w:vAlign w:val="center"/>
          </w:tcPr>
          <w:p>
            <w:pPr>
              <w:pStyle w:val="13"/>
              <w:ind w:firstLine="0" w:firstLineChars="0"/>
            </w:pPr>
            <w:r>
              <w:rPr>
                <w:rFonts w:hint="eastAsia"/>
                <w:lang w:val="en-US" w:eastAsia="zh-CN"/>
              </w:rPr>
              <w:t>年度工作报告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ind w:firstLine="0" w:firstLineChars="0"/>
              <w:jc w:val="left"/>
            </w:pPr>
            <w:r>
              <w:rPr>
                <w:rFonts w:hint="default"/>
                <w:lang w:val="en-US" w:eastAsia="zh-CN"/>
              </w:rPr>
              <w:t>按预算资金完成率</w:t>
            </w:r>
          </w:p>
        </w:tc>
        <w:tc>
          <w:tcPr>
            <w:tcW w:w="5386" w:type="dxa"/>
            <w:vAlign w:val="center"/>
          </w:tcPr>
          <w:p>
            <w:pPr>
              <w:widowControl/>
              <w:jc w:val="left"/>
            </w:pPr>
            <w:r>
              <w:rPr>
                <w:rFonts w:hint="default" w:ascii="方正书宋_GBK" w:hAnsi="方正书宋_GBK" w:eastAsia="方正书宋_GBK" w:cs="方正书宋_GBK"/>
                <w:sz w:val="21"/>
                <w:szCs w:val="20"/>
                <w:lang w:val="en-US" w:eastAsia="zh-CN"/>
              </w:rPr>
              <w:t>按预算资金完成率</w:t>
            </w:r>
          </w:p>
        </w:tc>
        <w:tc>
          <w:tcPr>
            <w:tcW w:w="2268" w:type="dxa"/>
            <w:vAlign w:val="center"/>
          </w:tcPr>
          <w:p>
            <w:pPr>
              <w:pStyle w:val="13"/>
              <w:ind w:firstLine="0" w:firstLineChars="0"/>
            </w:pPr>
            <w:r>
              <w:t>≥95%</w:t>
            </w:r>
          </w:p>
        </w:tc>
        <w:tc>
          <w:tcPr>
            <w:tcW w:w="1276" w:type="dxa"/>
            <w:vAlign w:val="center"/>
          </w:tcPr>
          <w:p>
            <w:pPr>
              <w:pStyle w:val="13"/>
              <w:ind w:firstLine="0" w:firstLineChars="0"/>
            </w:pPr>
            <w:r>
              <w:rPr>
                <w:rFonts w:hint="eastAsia"/>
                <w:lang w:val="en-US" w:eastAsia="zh-CN"/>
              </w:rPr>
              <w:t>年终决算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ind w:firstLine="0" w:firstLineChars="0"/>
              <w:jc w:val="left"/>
            </w:pPr>
            <w:r>
              <w:rPr>
                <w:rFonts w:hint="eastAsia"/>
                <w:lang w:val="en-US" w:eastAsia="zh-CN"/>
              </w:rPr>
              <w:t>资金的使用效率</w:t>
            </w:r>
          </w:p>
        </w:tc>
        <w:tc>
          <w:tcPr>
            <w:tcW w:w="5386" w:type="dxa"/>
            <w:vAlign w:val="center"/>
          </w:tcPr>
          <w:p>
            <w:pPr>
              <w:widowControl/>
              <w:jc w:val="left"/>
            </w:pPr>
            <w:r>
              <w:rPr>
                <w:rFonts w:hint="eastAsia" w:ascii="方正书宋_GBK" w:hAnsi="方正书宋_GBK" w:eastAsia="方正书宋_GBK" w:cs="方正书宋_GBK"/>
                <w:sz w:val="21"/>
                <w:szCs w:val="20"/>
                <w:lang w:val="en-US" w:eastAsia="zh-CN"/>
              </w:rPr>
              <w:t>资金的使用效率　</w:t>
            </w:r>
          </w:p>
        </w:tc>
        <w:tc>
          <w:tcPr>
            <w:tcW w:w="2268" w:type="dxa"/>
            <w:vAlign w:val="center"/>
          </w:tcPr>
          <w:p>
            <w:pPr>
              <w:pStyle w:val="13"/>
              <w:ind w:firstLine="0" w:firstLineChars="0"/>
            </w:pPr>
            <w:r>
              <w:t>≥95%</w:t>
            </w:r>
          </w:p>
        </w:tc>
        <w:tc>
          <w:tcPr>
            <w:tcW w:w="1276" w:type="dxa"/>
            <w:vAlign w:val="center"/>
          </w:tcPr>
          <w:p>
            <w:pPr>
              <w:pStyle w:val="13"/>
              <w:ind w:firstLine="0" w:firstLineChars="0"/>
            </w:pPr>
            <w:r>
              <w:rPr>
                <w:rFonts w:hint="eastAsia"/>
                <w:lang w:val="en-US" w:eastAsia="zh-CN"/>
              </w:rPr>
              <w:t>年度工作报告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ind w:firstLine="0" w:firstLineChars="0"/>
              <w:jc w:val="left"/>
            </w:pPr>
            <w:r>
              <w:rPr>
                <w:rFonts w:hint="default"/>
                <w:lang w:val="en-US" w:eastAsia="zh-CN"/>
              </w:rPr>
              <w:t>创新工作完成率</w:t>
            </w:r>
          </w:p>
        </w:tc>
        <w:tc>
          <w:tcPr>
            <w:tcW w:w="5386" w:type="dxa"/>
            <w:vAlign w:val="center"/>
          </w:tcPr>
          <w:p>
            <w:pPr>
              <w:widowControl/>
              <w:jc w:val="left"/>
            </w:pPr>
            <w:r>
              <w:rPr>
                <w:rFonts w:hint="default" w:ascii="方正书宋_GBK" w:hAnsi="方正书宋_GBK" w:eastAsia="方正书宋_GBK" w:cs="方正书宋_GBK"/>
                <w:sz w:val="21"/>
                <w:szCs w:val="20"/>
                <w:lang w:val="en-US" w:eastAsia="zh-CN"/>
              </w:rPr>
              <w:t>创新工作完成率</w:t>
            </w:r>
          </w:p>
        </w:tc>
        <w:tc>
          <w:tcPr>
            <w:tcW w:w="2268" w:type="dxa"/>
            <w:vAlign w:val="center"/>
          </w:tcPr>
          <w:p>
            <w:pPr>
              <w:pStyle w:val="13"/>
              <w:ind w:firstLine="0" w:firstLineChars="0"/>
            </w:pPr>
            <w:r>
              <w:t>≥95%</w:t>
            </w:r>
          </w:p>
        </w:tc>
        <w:tc>
          <w:tcPr>
            <w:tcW w:w="1276" w:type="dxa"/>
            <w:vAlign w:val="center"/>
          </w:tcPr>
          <w:p>
            <w:pPr>
              <w:pStyle w:val="13"/>
              <w:ind w:firstLine="0" w:firstLineChars="0"/>
            </w:pPr>
            <w:r>
              <w:rPr>
                <w:rFonts w:hint="eastAsia"/>
                <w:lang w:val="en-US" w:eastAsia="zh-CN"/>
              </w:rPr>
              <w:t>年度工作报告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ind w:firstLine="0" w:firstLineChars="0"/>
              <w:jc w:val="left"/>
            </w:pPr>
            <w:r>
              <w:rPr>
                <w:rFonts w:hint="default"/>
                <w:lang w:val="en-US" w:eastAsia="zh-CN"/>
              </w:rPr>
              <w:t>任务计划完成率</w:t>
            </w:r>
          </w:p>
        </w:tc>
        <w:tc>
          <w:tcPr>
            <w:tcW w:w="5386" w:type="dxa"/>
            <w:vAlign w:val="center"/>
          </w:tcPr>
          <w:p>
            <w:pPr>
              <w:widowControl/>
              <w:jc w:val="left"/>
            </w:pPr>
            <w:r>
              <w:rPr>
                <w:rFonts w:hint="default" w:ascii="方正书宋_GBK" w:hAnsi="方正书宋_GBK" w:eastAsia="方正书宋_GBK" w:cs="方正书宋_GBK"/>
                <w:sz w:val="21"/>
                <w:szCs w:val="20"/>
                <w:lang w:val="en-US" w:eastAsia="zh-CN"/>
              </w:rPr>
              <w:t>任务计划完成率</w:t>
            </w:r>
          </w:p>
        </w:tc>
        <w:tc>
          <w:tcPr>
            <w:tcW w:w="2268" w:type="dxa"/>
            <w:vAlign w:val="center"/>
          </w:tcPr>
          <w:p>
            <w:pPr>
              <w:pStyle w:val="13"/>
              <w:ind w:firstLine="0" w:firstLineChars="0"/>
            </w:pPr>
            <w:r>
              <w:t>≥95%</w:t>
            </w:r>
          </w:p>
        </w:tc>
        <w:tc>
          <w:tcPr>
            <w:tcW w:w="1276" w:type="dxa"/>
            <w:vAlign w:val="center"/>
          </w:tcPr>
          <w:p>
            <w:pPr>
              <w:pStyle w:val="13"/>
              <w:ind w:firstLine="0" w:firstLineChars="0"/>
            </w:pPr>
            <w:r>
              <w:rPr>
                <w:rFonts w:hint="eastAsia"/>
                <w:lang w:val="en-US" w:eastAsia="zh-CN"/>
              </w:rPr>
              <w:t>年度工作报告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ind w:firstLine="0" w:firstLineChars="0"/>
              <w:jc w:val="left"/>
            </w:pPr>
            <w:r>
              <w:rPr>
                <w:rFonts w:hint="default"/>
                <w:lang w:val="en-US" w:eastAsia="zh-CN"/>
              </w:rPr>
              <w:t>本单位职工满意度</w:t>
            </w:r>
          </w:p>
        </w:tc>
        <w:tc>
          <w:tcPr>
            <w:tcW w:w="5386" w:type="dxa"/>
            <w:vAlign w:val="center"/>
          </w:tcPr>
          <w:p>
            <w:pPr>
              <w:widowControl/>
              <w:jc w:val="left"/>
            </w:pPr>
            <w:r>
              <w:rPr>
                <w:rFonts w:hint="default" w:ascii="方正书宋_GBK" w:hAnsi="方正书宋_GBK" w:eastAsia="方正书宋_GBK" w:cs="方正书宋_GBK"/>
                <w:sz w:val="21"/>
                <w:szCs w:val="20"/>
                <w:lang w:val="en-US" w:eastAsia="zh-CN"/>
              </w:rPr>
              <w:t>本单位职工满意度</w:t>
            </w:r>
          </w:p>
        </w:tc>
        <w:tc>
          <w:tcPr>
            <w:tcW w:w="2268" w:type="dxa"/>
            <w:vAlign w:val="center"/>
          </w:tcPr>
          <w:p>
            <w:pPr>
              <w:pStyle w:val="13"/>
              <w:ind w:firstLine="0" w:firstLineChars="0"/>
            </w:pPr>
            <w:r>
              <w:t>≥95%</w:t>
            </w:r>
          </w:p>
        </w:tc>
        <w:tc>
          <w:tcPr>
            <w:tcW w:w="1276" w:type="dxa"/>
            <w:vAlign w:val="center"/>
          </w:tcPr>
          <w:p>
            <w:pPr>
              <w:pStyle w:val="13"/>
              <w:ind w:firstLine="0" w:firstLineChars="0"/>
              <w:rPr>
                <w:rFonts w:hint="default" w:eastAsia="方正书宋_GBK"/>
                <w:lang w:val="en-US" w:eastAsia="zh-CN"/>
              </w:rPr>
            </w:pPr>
            <w:r>
              <w:rPr>
                <w:rFonts w:hint="eastAsia"/>
                <w:lang w:val="en-US" w:eastAsia="zh-CN"/>
              </w:rP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6、司法救助绩效目标表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13660025P005240100185</w:t>
            </w:r>
          </w:p>
        </w:tc>
        <w:tc>
          <w:tcPr>
            <w:tcW w:w="2835" w:type="dxa"/>
            <w:vAlign w:val="center"/>
          </w:tcPr>
          <w:p>
            <w:pPr>
              <w:pStyle w:val="11"/>
            </w:pPr>
            <w:r>
              <w:t>项目名称</w:t>
            </w:r>
          </w:p>
        </w:tc>
        <w:tc>
          <w:tcPr>
            <w:tcW w:w="6095" w:type="dxa"/>
            <w:gridSpan w:val="3"/>
            <w:vAlign w:val="center"/>
          </w:tcPr>
          <w:p>
            <w:pPr>
              <w:pStyle w:val="13"/>
            </w:pPr>
            <w:r>
              <w:t>司法救助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对因案致贫、受到侵害但无法获得有效赔偿等人员，进行司法救助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1.保障司法救助金及时、足额、准确发放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ind w:firstLine="0" w:firstLineChars="0"/>
            </w:pPr>
            <w:r>
              <w:t>数量指标</w:t>
            </w:r>
          </w:p>
        </w:tc>
        <w:tc>
          <w:tcPr>
            <w:tcW w:w="2835" w:type="dxa"/>
            <w:vAlign w:val="center"/>
          </w:tcPr>
          <w:p>
            <w:pPr>
              <w:widowControl/>
              <w:jc w:val="left"/>
            </w:pPr>
            <w:r>
              <w:rPr>
                <w:rFonts w:hint="default" w:ascii="方正书宋_GBK" w:hAnsi="方正书宋_GBK" w:eastAsia="方正书宋_GBK" w:cs="方正书宋_GBK"/>
                <w:sz w:val="21"/>
                <w:szCs w:val="20"/>
                <w:lang w:val="en-US" w:eastAsia="zh-CN"/>
              </w:rPr>
              <w:t>资金保障率</w:t>
            </w:r>
          </w:p>
        </w:tc>
        <w:tc>
          <w:tcPr>
            <w:tcW w:w="5386" w:type="dxa"/>
            <w:vAlign w:val="center"/>
          </w:tcPr>
          <w:p>
            <w:pPr>
              <w:widowControl/>
              <w:jc w:val="left"/>
            </w:pPr>
            <w:r>
              <w:rPr>
                <w:rFonts w:hint="eastAsia" w:ascii="方正书宋_GBK" w:hAnsi="方正书宋_GBK" w:eastAsia="方正书宋_GBK" w:cs="方正书宋_GBK"/>
                <w:sz w:val="21"/>
                <w:szCs w:val="20"/>
                <w:lang w:val="en-US" w:eastAsia="zh-CN"/>
              </w:rPr>
              <w:t>司法救助金保障情况</w:t>
            </w:r>
          </w:p>
        </w:tc>
        <w:tc>
          <w:tcPr>
            <w:tcW w:w="2268" w:type="dxa"/>
            <w:vAlign w:val="center"/>
          </w:tcPr>
          <w:p>
            <w:pPr>
              <w:widowControl/>
              <w:jc w:val="left"/>
            </w:pPr>
            <w:r>
              <w:rPr>
                <w:rFonts w:hint="eastAsia" w:ascii="方正书宋_GBK" w:hAnsi="方正书宋_GBK" w:eastAsia="方正书宋_GBK" w:cs="方正书宋_GBK"/>
                <w:sz w:val="21"/>
                <w:szCs w:val="20"/>
                <w:lang w:val="en-US" w:eastAsia="zh-CN"/>
              </w:rPr>
              <w:t>≥95%</w:t>
            </w:r>
          </w:p>
        </w:tc>
        <w:tc>
          <w:tcPr>
            <w:tcW w:w="1276" w:type="dxa"/>
            <w:vAlign w:val="center"/>
          </w:tcPr>
          <w:p>
            <w:pPr>
              <w:pStyle w:val="13"/>
              <w:ind w:firstLine="0" w:firstLineChars="0"/>
              <w:jc w:val="left"/>
            </w:pPr>
            <w:r>
              <w:rPr>
                <w:rFonts w:hint="eastAsia"/>
                <w:lang w:val="en-US" w:eastAsia="zh-CN"/>
              </w:rPr>
              <w:t>年度工作报告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ind w:firstLine="0" w:firstLineChars="0"/>
            </w:pPr>
            <w:r>
              <w:t>质量指标</w:t>
            </w:r>
          </w:p>
        </w:tc>
        <w:tc>
          <w:tcPr>
            <w:tcW w:w="2835" w:type="dxa"/>
            <w:vAlign w:val="center"/>
          </w:tcPr>
          <w:p>
            <w:pPr>
              <w:widowControl/>
              <w:jc w:val="left"/>
            </w:pPr>
            <w:r>
              <w:rPr>
                <w:rFonts w:hint="default" w:ascii="方正书宋_GBK" w:hAnsi="方正书宋_GBK" w:eastAsia="方正书宋_GBK" w:cs="方正书宋_GBK"/>
                <w:sz w:val="21"/>
                <w:szCs w:val="20"/>
                <w:lang w:val="en-US" w:eastAsia="zh-CN"/>
              </w:rPr>
              <w:t>资金支付率</w:t>
            </w:r>
          </w:p>
        </w:tc>
        <w:tc>
          <w:tcPr>
            <w:tcW w:w="5386" w:type="dxa"/>
            <w:vAlign w:val="center"/>
          </w:tcPr>
          <w:p>
            <w:pPr>
              <w:widowControl/>
              <w:jc w:val="left"/>
            </w:pPr>
            <w:r>
              <w:rPr>
                <w:rFonts w:hint="default" w:ascii="方正书宋_GBK" w:hAnsi="方正书宋_GBK" w:eastAsia="方正书宋_GBK" w:cs="方正书宋_GBK"/>
                <w:sz w:val="21"/>
                <w:szCs w:val="20"/>
                <w:lang w:val="en-US" w:eastAsia="zh-CN"/>
              </w:rPr>
              <w:t>资金支付率</w:t>
            </w:r>
          </w:p>
        </w:tc>
        <w:tc>
          <w:tcPr>
            <w:tcW w:w="2268" w:type="dxa"/>
            <w:vAlign w:val="center"/>
          </w:tcPr>
          <w:p>
            <w:pPr>
              <w:widowControl/>
              <w:jc w:val="left"/>
            </w:pPr>
            <w:r>
              <w:rPr>
                <w:rFonts w:hint="eastAsia" w:ascii="方正书宋_GBK" w:hAnsi="方正书宋_GBK" w:eastAsia="方正书宋_GBK" w:cs="方正书宋_GBK"/>
                <w:sz w:val="21"/>
                <w:szCs w:val="20"/>
                <w:lang w:val="en-US" w:eastAsia="zh-CN"/>
              </w:rPr>
              <w:t>≥95%</w:t>
            </w:r>
          </w:p>
        </w:tc>
        <w:tc>
          <w:tcPr>
            <w:tcW w:w="1276" w:type="dxa"/>
            <w:vAlign w:val="center"/>
          </w:tcPr>
          <w:p>
            <w:pPr>
              <w:widowControl/>
              <w:jc w:val="left"/>
            </w:pPr>
            <w:r>
              <w:rPr>
                <w:rFonts w:hint="default" w:ascii="方正书宋_GBK" w:hAnsi="方正书宋_GBK" w:eastAsia="方正书宋_GBK" w:cs="方正书宋_GBK"/>
                <w:sz w:val="21"/>
                <w:szCs w:val="20"/>
                <w:lang w:val="en-US" w:eastAsia="zh-CN"/>
              </w:rPr>
              <w:t>年度工作报告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ind w:firstLine="0" w:firstLineChars="0"/>
            </w:pPr>
            <w:r>
              <w:t>时效指标</w:t>
            </w:r>
          </w:p>
        </w:tc>
        <w:tc>
          <w:tcPr>
            <w:tcW w:w="2835" w:type="dxa"/>
            <w:vAlign w:val="center"/>
          </w:tcPr>
          <w:p>
            <w:pPr>
              <w:widowControl/>
              <w:jc w:val="left"/>
            </w:pPr>
            <w:r>
              <w:rPr>
                <w:rFonts w:hint="default" w:ascii="方正书宋_GBK" w:hAnsi="方正书宋_GBK" w:eastAsia="方正书宋_GBK" w:cs="方正书宋_GBK"/>
                <w:sz w:val="21"/>
                <w:szCs w:val="20"/>
                <w:lang w:val="en-US" w:eastAsia="zh-CN"/>
              </w:rPr>
              <w:t>项目按计划完成率（%）</w:t>
            </w:r>
          </w:p>
        </w:tc>
        <w:tc>
          <w:tcPr>
            <w:tcW w:w="5386" w:type="dxa"/>
            <w:vAlign w:val="center"/>
          </w:tcPr>
          <w:p>
            <w:pPr>
              <w:widowControl/>
              <w:jc w:val="left"/>
            </w:pPr>
            <w:r>
              <w:rPr>
                <w:rFonts w:hint="default" w:ascii="方正书宋_GBK" w:hAnsi="方正书宋_GBK" w:eastAsia="方正书宋_GBK" w:cs="方正书宋_GBK"/>
                <w:sz w:val="21"/>
                <w:szCs w:val="20"/>
                <w:lang w:val="en-US" w:eastAsia="zh-CN"/>
              </w:rPr>
              <w:t>项目按计划完成率（%）</w:t>
            </w:r>
          </w:p>
        </w:tc>
        <w:tc>
          <w:tcPr>
            <w:tcW w:w="2268" w:type="dxa"/>
            <w:vAlign w:val="center"/>
          </w:tcPr>
          <w:p>
            <w:pPr>
              <w:widowControl/>
              <w:jc w:val="left"/>
            </w:pPr>
            <w:r>
              <w:rPr>
                <w:rFonts w:hint="eastAsia" w:ascii="方正书宋_GBK" w:hAnsi="方正书宋_GBK" w:eastAsia="方正书宋_GBK" w:cs="方正书宋_GBK"/>
                <w:sz w:val="21"/>
                <w:szCs w:val="20"/>
                <w:lang w:val="en-US" w:eastAsia="zh-CN"/>
              </w:rPr>
              <w:t>≥95%</w:t>
            </w:r>
          </w:p>
        </w:tc>
        <w:tc>
          <w:tcPr>
            <w:tcW w:w="1276" w:type="dxa"/>
            <w:vAlign w:val="center"/>
          </w:tcPr>
          <w:p>
            <w:pPr>
              <w:widowControl/>
              <w:jc w:val="left"/>
            </w:pPr>
            <w:r>
              <w:rPr>
                <w:rFonts w:hint="default" w:ascii="方正书宋_GBK" w:hAnsi="方正书宋_GBK" w:eastAsia="方正书宋_GBK" w:cs="方正书宋_GBK"/>
                <w:sz w:val="21"/>
                <w:szCs w:val="20"/>
                <w:lang w:val="en-US" w:eastAsia="zh-CN"/>
              </w:rPr>
              <w:t>年度工作报告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ind w:firstLine="0" w:firstLineChars="0"/>
            </w:pPr>
            <w:r>
              <w:t>成本指标</w:t>
            </w:r>
          </w:p>
        </w:tc>
        <w:tc>
          <w:tcPr>
            <w:tcW w:w="2835" w:type="dxa"/>
            <w:vAlign w:val="center"/>
          </w:tcPr>
          <w:p>
            <w:pPr>
              <w:widowControl/>
              <w:jc w:val="left"/>
            </w:pPr>
            <w:r>
              <w:rPr>
                <w:rFonts w:hint="default" w:ascii="方正书宋_GBK" w:hAnsi="方正书宋_GBK" w:eastAsia="方正书宋_GBK" w:cs="方正书宋_GBK"/>
                <w:sz w:val="21"/>
                <w:szCs w:val="20"/>
                <w:lang w:val="en-US" w:eastAsia="zh-CN"/>
              </w:rPr>
              <w:t>预算执行率（%）</w:t>
            </w:r>
          </w:p>
        </w:tc>
        <w:tc>
          <w:tcPr>
            <w:tcW w:w="5386" w:type="dxa"/>
            <w:vAlign w:val="center"/>
          </w:tcPr>
          <w:p>
            <w:pPr>
              <w:widowControl/>
              <w:jc w:val="left"/>
            </w:pPr>
            <w:r>
              <w:rPr>
                <w:rFonts w:hint="default" w:ascii="方正书宋_GBK" w:hAnsi="方正书宋_GBK" w:eastAsia="方正书宋_GBK" w:cs="方正书宋_GBK"/>
                <w:sz w:val="21"/>
                <w:szCs w:val="20"/>
                <w:lang w:val="en-US" w:eastAsia="zh-CN"/>
              </w:rPr>
              <w:t>预算执行率（%）</w:t>
            </w:r>
          </w:p>
        </w:tc>
        <w:tc>
          <w:tcPr>
            <w:tcW w:w="2268" w:type="dxa"/>
            <w:vAlign w:val="center"/>
          </w:tcPr>
          <w:p>
            <w:pPr>
              <w:widowControl/>
              <w:jc w:val="left"/>
            </w:pPr>
            <w:r>
              <w:rPr>
                <w:rFonts w:hint="eastAsia" w:ascii="方正书宋_GBK" w:hAnsi="方正书宋_GBK" w:eastAsia="方正书宋_GBK" w:cs="方正书宋_GBK"/>
                <w:sz w:val="21"/>
                <w:szCs w:val="20"/>
                <w:lang w:val="en-US" w:eastAsia="zh-CN"/>
              </w:rPr>
              <w:t>≥95%</w:t>
            </w:r>
          </w:p>
        </w:tc>
        <w:tc>
          <w:tcPr>
            <w:tcW w:w="1276" w:type="dxa"/>
            <w:vAlign w:val="center"/>
          </w:tcPr>
          <w:p>
            <w:pPr>
              <w:widowControl/>
              <w:jc w:val="left"/>
            </w:pPr>
            <w:r>
              <w:rPr>
                <w:rFonts w:hint="eastAsia" w:ascii="方正书宋_GBK" w:hAnsi="方正书宋_GBK" w:eastAsia="方正书宋_GBK" w:cs="方正书宋_GBK"/>
                <w:sz w:val="21"/>
                <w:szCs w:val="20"/>
                <w:lang w:val="en-US" w:eastAsia="zh-CN"/>
              </w:rPr>
              <w:t>年终决算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ind w:firstLine="0" w:firstLineChars="0"/>
            </w:pPr>
            <w:r>
              <w:t>经济效益指标</w:t>
            </w:r>
          </w:p>
        </w:tc>
        <w:tc>
          <w:tcPr>
            <w:tcW w:w="2835" w:type="dxa"/>
            <w:vAlign w:val="center"/>
          </w:tcPr>
          <w:p>
            <w:pPr>
              <w:widowControl/>
              <w:jc w:val="left"/>
            </w:pPr>
            <w:r>
              <w:rPr>
                <w:rFonts w:hint="eastAsia" w:ascii="方正书宋_GBK" w:hAnsi="方正书宋_GBK" w:eastAsia="方正书宋_GBK" w:cs="方正书宋_GBK"/>
                <w:sz w:val="21"/>
                <w:szCs w:val="20"/>
                <w:lang w:val="en-US" w:eastAsia="zh-CN"/>
              </w:rPr>
              <w:t>成本利用率　</w:t>
            </w:r>
          </w:p>
        </w:tc>
        <w:tc>
          <w:tcPr>
            <w:tcW w:w="5386" w:type="dxa"/>
            <w:vAlign w:val="center"/>
          </w:tcPr>
          <w:p>
            <w:pPr>
              <w:widowControl/>
              <w:jc w:val="left"/>
            </w:pPr>
            <w:r>
              <w:rPr>
                <w:rFonts w:hint="eastAsia" w:ascii="方正书宋_GBK" w:hAnsi="方正书宋_GBK" w:eastAsia="方正书宋_GBK" w:cs="方正书宋_GBK"/>
                <w:sz w:val="21"/>
                <w:szCs w:val="20"/>
                <w:lang w:val="en-US" w:eastAsia="zh-CN"/>
              </w:rPr>
              <w:t>成本利用率</w:t>
            </w:r>
          </w:p>
        </w:tc>
        <w:tc>
          <w:tcPr>
            <w:tcW w:w="2268" w:type="dxa"/>
            <w:vAlign w:val="center"/>
          </w:tcPr>
          <w:p>
            <w:pPr>
              <w:widowControl/>
              <w:jc w:val="left"/>
            </w:pPr>
            <w:r>
              <w:rPr>
                <w:rFonts w:hint="eastAsia" w:ascii="方正书宋_GBK" w:hAnsi="方正书宋_GBK" w:eastAsia="方正书宋_GBK" w:cs="方正书宋_GBK"/>
                <w:sz w:val="21"/>
                <w:szCs w:val="20"/>
                <w:lang w:val="en-US" w:eastAsia="zh-CN"/>
              </w:rPr>
              <w:t>≥95%</w:t>
            </w:r>
          </w:p>
        </w:tc>
        <w:tc>
          <w:tcPr>
            <w:tcW w:w="1276" w:type="dxa"/>
            <w:vAlign w:val="center"/>
          </w:tcPr>
          <w:p>
            <w:pPr>
              <w:widowControl/>
              <w:jc w:val="left"/>
            </w:pPr>
            <w:r>
              <w:rPr>
                <w:rFonts w:hint="default" w:ascii="方正书宋_GBK" w:hAnsi="方正书宋_GBK" w:eastAsia="方正书宋_GBK" w:cs="方正书宋_GBK"/>
                <w:sz w:val="21"/>
                <w:szCs w:val="20"/>
                <w:lang w:val="en-US" w:eastAsia="zh-CN"/>
              </w:rPr>
              <w:t>年度工作报告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ind w:firstLine="0" w:firstLineChars="0"/>
            </w:pPr>
            <w:r>
              <w:t>社会效益指标</w:t>
            </w:r>
          </w:p>
        </w:tc>
        <w:tc>
          <w:tcPr>
            <w:tcW w:w="2835" w:type="dxa"/>
            <w:vAlign w:val="center"/>
          </w:tcPr>
          <w:p>
            <w:pPr>
              <w:widowControl/>
              <w:jc w:val="left"/>
            </w:pPr>
            <w:r>
              <w:rPr>
                <w:rFonts w:hint="default" w:ascii="方正书宋_GBK" w:hAnsi="方正书宋_GBK" w:eastAsia="方正书宋_GBK" w:cs="方正书宋_GBK"/>
                <w:sz w:val="21"/>
                <w:szCs w:val="20"/>
                <w:lang w:val="en-US" w:eastAsia="zh-CN"/>
              </w:rPr>
              <w:t>案件流程合规率(%)</w:t>
            </w:r>
          </w:p>
        </w:tc>
        <w:tc>
          <w:tcPr>
            <w:tcW w:w="5386" w:type="dxa"/>
            <w:vAlign w:val="center"/>
          </w:tcPr>
          <w:p>
            <w:pPr>
              <w:widowControl/>
              <w:jc w:val="left"/>
            </w:pPr>
            <w:r>
              <w:rPr>
                <w:rFonts w:hint="default" w:ascii="方正书宋_GBK" w:hAnsi="方正书宋_GBK" w:eastAsia="方正书宋_GBK" w:cs="方正书宋_GBK"/>
                <w:sz w:val="21"/>
                <w:szCs w:val="20"/>
                <w:lang w:val="en-US" w:eastAsia="zh-CN"/>
              </w:rPr>
              <w:t>司法救助金的发放范围、发放标准和发放程序符合相关法规制度的规定</w:t>
            </w:r>
          </w:p>
        </w:tc>
        <w:tc>
          <w:tcPr>
            <w:tcW w:w="2268" w:type="dxa"/>
            <w:vAlign w:val="center"/>
          </w:tcPr>
          <w:p>
            <w:pPr>
              <w:widowControl/>
              <w:jc w:val="left"/>
            </w:pPr>
            <w:r>
              <w:rPr>
                <w:rFonts w:hint="eastAsia" w:ascii="方正书宋_GBK" w:hAnsi="方正书宋_GBK" w:eastAsia="方正书宋_GBK" w:cs="方正书宋_GBK"/>
                <w:sz w:val="21"/>
                <w:szCs w:val="20"/>
                <w:lang w:val="en-US" w:eastAsia="zh-CN"/>
              </w:rPr>
              <w:t>=100%</w:t>
            </w:r>
          </w:p>
        </w:tc>
        <w:tc>
          <w:tcPr>
            <w:tcW w:w="1276" w:type="dxa"/>
            <w:vAlign w:val="center"/>
          </w:tcPr>
          <w:p>
            <w:pPr>
              <w:widowControl/>
              <w:jc w:val="left"/>
            </w:pPr>
            <w:r>
              <w:rPr>
                <w:rFonts w:hint="eastAsia" w:ascii="方正书宋_GBK" w:hAnsi="方正书宋_GBK" w:eastAsia="方正书宋_GBK" w:cs="方正书宋_GBK"/>
                <w:sz w:val="21"/>
                <w:szCs w:val="20"/>
                <w:lang w:val="en-US" w:eastAsia="zh-CN"/>
              </w:rPr>
              <w:t>相关法律法规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ind w:firstLine="0" w:firstLineChars="0"/>
            </w:pPr>
            <w:r>
              <w:t>可持续影响指标</w:t>
            </w:r>
          </w:p>
        </w:tc>
        <w:tc>
          <w:tcPr>
            <w:tcW w:w="2835" w:type="dxa"/>
            <w:vAlign w:val="center"/>
          </w:tcPr>
          <w:p>
            <w:pPr>
              <w:widowControl/>
              <w:jc w:val="left"/>
            </w:pPr>
            <w:r>
              <w:rPr>
                <w:rFonts w:hint="default" w:ascii="方正书宋_GBK" w:hAnsi="方正书宋_GBK" w:eastAsia="方正书宋_GBK" w:cs="方正书宋_GBK"/>
                <w:sz w:val="21"/>
                <w:szCs w:val="20"/>
                <w:lang w:val="en-US" w:eastAsia="zh-CN"/>
              </w:rPr>
              <w:t>任务计划完成率</w:t>
            </w:r>
          </w:p>
        </w:tc>
        <w:tc>
          <w:tcPr>
            <w:tcW w:w="5386" w:type="dxa"/>
            <w:vAlign w:val="center"/>
          </w:tcPr>
          <w:p>
            <w:pPr>
              <w:widowControl/>
              <w:jc w:val="left"/>
            </w:pPr>
            <w:r>
              <w:rPr>
                <w:rFonts w:hint="default" w:ascii="方正书宋_GBK" w:hAnsi="方正书宋_GBK" w:eastAsia="方正书宋_GBK" w:cs="方正书宋_GBK"/>
                <w:sz w:val="21"/>
                <w:szCs w:val="20"/>
                <w:lang w:val="en-US" w:eastAsia="zh-CN"/>
              </w:rPr>
              <w:t>任务计划完成率</w:t>
            </w:r>
          </w:p>
        </w:tc>
        <w:tc>
          <w:tcPr>
            <w:tcW w:w="2268" w:type="dxa"/>
            <w:vAlign w:val="center"/>
          </w:tcPr>
          <w:p>
            <w:pPr>
              <w:widowControl/>
              <w:jc w:val="left"/>
            </w:pPr>
            <w:r>
              <w:rPr>
                <w:rFonts w:hint="eastAsia" w:ascii="方正书宋_GBK" w:hAnsi="方正书宋_GBK" w:eastAsia="方正书宋_GBK" w:cs="方正书宋_GBK"/>
                <w:sz w:val="21"/>
                <w:szCs w:val="20"/>
                <w:lang w:val="en-US" w:eastAsia="zh-CN"/>
              </w:rPr>
              <w:t>≥95%</w:t>
            </w:r>
          </w:p>
        </w:tc>
        <w:tc>
          <w:tcPr>
            <w:tcW w:w="1276" w:type="dxa"/>
            <w:vAlign w:val="center"/>
          </w:tcPr>
          <w:p>
            <w:pPr>
              <w:widowControl/>
              <w:jc w:val="left"/>
            </w:pPr>
            <w:r>
              <w:rPr>
                <w:rFonts w:hint="default" w:ascii="方正书宋_GBK" w:hAnsi="方正书宋_GBK" w:eastAsia="方正书宋_GBK" w:cs="方正书宋_GBK"/>
                <w:sz w:val="21"/>
                <w:szCs w:val="20"/>
                <w:lang w:val="en-US" w:eastAsia="zh-CN"/>
              </w:rPr>
              <w:t>年度工作报告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ind w:firstLine="0" w:firstLineChars="0"/>
            </w:pPr>
            <w:r>
              <w:t>服务对象满意度指标</w:t>
            </w:r>
          </w:p>
        </w:tc>
        <w:tc>
          <w:tcPr>
            <w:tcW w:w="2835" w:type="dxa"/>
            <w:vAlign w:val="center"/>
          </w:tcPr>
          <w:p>
            <w:pPr>
              <w:widowControl/>
              <w:jc w:val="left"/>
            </w:pPr>
            <w:r>
              <w:rPr>
                <w:rFonts w:hint="eastAsia" w:ascii="方正书宋_GBK" w:hAnsi="方正书宋_GBK" w:eastAsia="方正书宋_GBK" w:cs="方正书宋_GBK"/>
                <w:sz w:val="21"/>
                <w:szCs w:val="20"/>
                <w:lang w:val="en-US" w:eastAsia="zh-CN"/>
              </w:rPr>
              <w:t>被救助人员满意度</w:t>
            </w:r>
          </w:p>
        </w:tc>
        <w:tc>
          <w:tcPr>
            <w:tcW w:w="5386" w:type="dxa"/>
            <w:vAlign w:val="center"/>
          </w:tcPr>
          <w:p>
            <w:pPr>
              <w:widowControl/>
              <w:jc w:val="left"/>
            </w:pPr>
            <w:r>
              <w:rPr>
                <w:rFonts w:hint="eastAsia" w:ascii="方正书宋_GBK" w:hAnsi="方正书宋_GBK" w:eastAsia="方正书宋_GBK" w:cs="方正书宋_GBK"/>
                <w:sz w:val="21"/>
                <w:szCs w:val="20"/>
                <w:lang w:val="en-US" w:eastAsia="zh-CN"/>
              </w:rPr>
              <w:t>被救助人员满意度</w:t>
            </w:r>
          </w:p>
        </w:tc>
        <w:tc>
          <w:tcPr>
            <w:tcW w:w="2268" w:type="dxa"/>
            <w:vAlign w:val="center"/>
          </w:tcPr>
          <w:p>
            <w:pPr>
              <w:pStyle w:val="13"/>
              <w:ind w:firstLine="0" w:firstLineChars="0"/>
            </w:pPr>
            <w:r>
              <w:t>≥95%</w:t>
            </w:r>
          </w:p>
        </w:tc>
        <w:tc>
          <w:tcPr>
            <w:tcW w:w="1276" w:type="dxa"/>
            <w:vAlign w:val="center"/>
          </w:tcPr>
          <w:p>
            <w:pPr>
              <w:widowControl/>
              <w:jc w:val="left"/>
            </w:pPr>
            <w:r>
              <w:rPr>
                <w:rFonts w:hint="eastAsia" w:ascii="方正书宋_GBK" w:hAnsi="方正书宋_GBK" w:eastAsia="方正书宋_GBK" w:cs="方正书宋_GBK"/>
                <w:sz w:val="21"/>
                <w:szCs w:val="20"/>
                <w:lang w:val="en-US" w:eastAsia="zh-CN"/>
              </w:rPr>
              <w:t>满意度调查</w:t>
            </w:r>
            <w:r>
              <w:rPr>
                <w:rFonts w:hint="default" w:ascii="方正书宋_GBK" w:hAnsi="方正书宋_GBK" w:eastAsia="方正书宋_GBK" w:cs="方正书宋_GBK"/>
                <w:sz w:val="21"/>
                <w:szCs w:val="20"/>
                <w:lang w:val="en-US" w:eastAsia="zh-CN"/>
              </w:rPr>
              <w:t>　</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7、中央政法纪检监察转移支付资金绩效目标表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13660025P005370100653</w:t>
            </w:r>
          </w:p>
        </w:tc>
        <w:tc>
          <w:tcPr>
            <w:tcW w:w="2835" w:type="dxa"/>
            <w:vAlign w:val="center"/>
          </w:tcPr>
          <w:p>
            <w:pPr>
              <w:pStyle w:val="11"/>
            </w:pPr>
            <w:r>
              <w:t>项目名称</w:t>
            </w:r>
          </w:p>
        </w:tc>
        <w:tc>
          <w:tcPr>
            <w:tcW w:w="6095" w:type="dxa"/>
            <w:gridSpan w:val="3"/>
            <w:vAlign w:val="center"/>
          </w:tcPr>
          <w:p>
            <w:pPr>
              <w:pStyle w:val="13"/>
            </w:pPr>
            <w:r>
              <w:t>中央政法纪检监察转移支付资金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99.00</w:t>
            </w:r>
          </w:p>
        </w:tc>
        <w:tc>
          <w:tcPr>
            <w:tcW w:w="2835" w:type="dxa"/>
            <w:vAlign w:val="center"/>
          </w:tcPr>
          <w:p>
            <w:pPr>
              <w:pStyle w:val="11"/>
            </w:pPr>
            <w:r>
              <w:t>其中：财政    资金</w:t>
            </w:r>
          </w:p>
        </w:tc>
        <w:tc>
          <w:tcPr>
            <w:tcW w:w="2551" w:type="dxa"/>
            <w:vAlign w:val="center"/>
          </w:tcPr>
          <w:p>
            <w:pPr>
              <w:pStyle w:val="13"/>
            </w:pPr>
            <w:r>
              <w:t>99.00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保障机关开展办案业务和业务装备支出，提高经费保障水平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ind w:firstLine="0" w:firstLineChars="0"/>
            </w:pPr>
            <w:r>
              <w:rPr>
                <w:rFonts w:hint="eastAsia"/>
                <w:lang w:val="en-US" w:eastAsia="zh-CN"/>
              </w:rPr>
              <w:t>25</w:t>
            </w:r>
          </w:p>
        </w:tc>
        <w:tc>
          <w:tcPr>
            <w:tcW w:w="2835" w:type="dxa"/>
            <w:vAlign w:val="center"/>
          </w:tcPr>
          <w:p>
            <w:pPr>
              <w:pStyle w:val="14"/>
              <w:ind w:firstLine="0" w:firstLineChars="0"/>
            </w:pPr>
            <w:r>
              <w:rPr>
                <w:rFonts w:hint="eastAsia"/>
                <w:lang w:val="en-US" w:eastAsia="zh-CN"/>
              </w:rPr>
              <w:t>50</w:t>
            </w:r>
          </w:p>
        </w:tc>
        <w:tc>
          <w:tcPr>
            <w:tcW w:w="2551" w:type="dxa"/>
            <w:vAlign w:val="center"/>
          </w:tcPr>
          <w:p>
            <w:pPr>
              <w:pStyle w:val="14"/>
              <w:ind w:firstLine="0" w:firstLineChars="0"/>
            </w:pPr>
            <w:r>
              <w:rPr>
                <w:rFonts w:hint="eastAsia"/>
                <w:lang w:val="en-US" w:eastAsia="zh-CN"/>
              </w:rPr>
              <w:t>75</w:t>
            </w:r>
          </w:p>
        </w:tc>
        <w:tc>
          <w:tcPr>
            <w:tcW w:w="3544" w:type="dxa"/>
            <w:gridSpan w:val="2"/>
            <w:vAlign w:val="center"/>
          </w:tcPr>
          <w:p>
            <w:pPr>
              <w:pStyle w:val="14"/>
              <w:ind w:firstLine="0" w:firstLineChars="0"/>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1.保障机关开展办案业务和业务装备支出，专款专用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资金保障率</w:t>
            </w:r>
          </w:p>
        </w:tc>
        <w:tc>
          <w:tcPr>
            <w:tcW w:w="5386" w:type="dxa"/>
            <w:vAlign w:val="center"/>
          </w:tcPr>
          <w:p>
            <w:pPr>
              <w:pStyle w:val="13"/>
            </w:pPr>
            <w:r>
              <w:t>资金保障率</w:t>
            </w:r>
          </w:p>
        </w:tc>
        <w:tc>
          <w:tcPr>
            <w:tcW w:w="2268" w:type="dxa"/>
            <w:vAlign w:val="center"/>
          </w:tcPr>
          <w:p>
            <w:pPr>
              <w:pStyle w:val="13"/>
            </w:pPr>
            <w:r>
              <w:t>≥95%</w:t>
            </w:r>
          </w:p>
        </w:tc>
        <w:tc>
          <w:tcPr>
            <w:tcW w:w="1276" w:type="dxa"/>
            <w:vAlign w:val="center"/>
          </w:tcPr>
          <w:p>
            <w:pPr>
              <w:pStyle w:val="13"/>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资金使用合规率</w:t>
            </w:r>
          </w:p>
        </w:tc>
        <w:tc>
          <w:tcPr>
            <w:tcW w:w="5386" w:type="dxa"/>
            <w:vAlign w:val="center"/>
          </w:tcPr>
          <w:p>
            <w:pPr>
              <w:pStyle w:val="13"/>
            </w:pPr>
            <w:r>
              <w:t>资金使用合规率</w:t>
            </w:r>
          </w:p>
        </w:tc>
        <w:tc>
          <w:tcPr>
            <w:tcW w:w="2268" w:type="dxa"/>
            <w:vAlign w:val="center"/>
          </w:tcPr>
          <w:p>
            <w:pPr>
              <w:pStyle w:val="13"/>
            </w:pPr>
            <w:r>
              <w:t>100%</w:t>
            </w:r>
          </w:p>
        </w:tc>
        <w:tc>
          <w:tcPr>
            <w:tcW w:w="1276" w:type="dxa"/>
            <w:vAlign w:val="center"/>
          </w:tcPr>
          <w:p>
            <w:pPr>
              <w:pStyle w:val="13"/>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资金拨付及时率</w:t>
            </w:r>
          </w:p>
        </w:tc>
        <w:tc>
          <w:tcPr>
            <w:tcW w:w="2268" w:type="dxa"/>
            <w:vAlign w:val="center"/>
          </w:tcPr>
          <w:p>
            <w:pPr>
              <w:pStyle w:val="13"/>
            </w:pPr>
            <w:r>
              <w:t>≥95%</w:t>
            </w:r>
          </w:p>
        </w:tc>
        <w:tc>
          <w:tcPr>
            <w:tcW w:w="1276" w:type="dxa"/>
            <w:vAlign w:val="center"/>
          </w:tcPr>
          <w:p>
            <w:pPr>
              <w:pStyle w:val="13"/>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预算执行率（%）</w:t>
            </w:r>
          </w:p>
        </w:tc>
        <w:tc>
          <w:tcPr>
            <w:tcW w:w="5386" w:type="dxa"/>
            <w:vAlign w:val="center"/>
          </w:tcPr>
          <w:p>
            <w:pPr>
              <w:pStyle w:val="13"/>
            </w:pPr>
            <w:r>
              <w:t>预算执行率（%）</w:t>
            </w:r>
          </w:p>
        </w:tc>
        <w:tc>
          <w:tcPr>
            <w:tcW w:w="2268" w:type="dxa"/>
            <w:vAlign w:val="center"/>
          </w:tcPr>
          <w:p>
            <w:pPr>
              <w:pStyle w:val="13"/>
            </w:pPr>
            <w:r>
              <w:t>≥95%</w:t>
            </w:r>
          </w:p>
        </w:tc>
        <w:tc>
          <w:tcPr>
            <w:tcW w:w="1276" w:type="dxa"/>
            <w:vAlign w:val="center"/>
          </w:tcPr>
          <w:p>
            <w:pPr>
              <w:pStyle w:val="13"/>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设备使用率（%）</w:t>
            </w:r>
          </w:p>
        </w:tc>
        <w:tc>
          <w:tcPr>
            <w:tcW w:w="5386" w:type="dxa"/>
            <w:vAlign w:val="center"/>
          </w:tcPr>
          <w:p>
            <w:pPr>
              <w:pStyle w:val="13"/>
            </w:pPr>
            <w:r>
              <w:t>设备使用率（%）</w:t>
            </w:r>
          </w:p>
        </w:tc>
        <w:tc>
          <w:tcPr>
            <w:tcW w:w="2268" w:type="dxa"/>
            <w:vAlign w:val="center"/>
          </w:tcPr>
          <w:p>
            <w:pPr>
              <w:pStyle w:val="13"/>
            </w:pPr>
            <w:r>
              <w:t>≥95%</w:t>
            </w:r>
          </w:p>
        </w:tc>
        <w:tc>
          <w:tcPr>
            <w:tcW w:w="1276" w:type="dxa"/>
            <w:vAlign w:val="center"/>
          </w:tcPr>
          <w:p>
            <w:pPr>
              <w:pStyle w:val="13"/>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创新工作完成率</w:t>
            </w:r>
          </w:p>
        </w:tc>
        <w:tc>
          <w:tcPr>
            <w:tcW w:w="5386" w:type="dxa"/>
            <w:vAlign w:val="center"/>
          </w:tcPr>
          <w:p>
            <w:pPr>
              <w:pStyle w:val="13"/>
            </w:pPr>
            <w:r>
              <w:t>创新工作完成率</w:t>
            </w:r>
          </w:p>
        </w:tc>
        <w:tc>
          <w:tcPr>
            <w:tcW w:w="2268" w:type="dxa"/>
            <w:vAlign w:val="center"/>
          </w:tcPr>
          <w:p>
            <w:pPr>
              <w:pStyle w:val="13"/>
            </w:pPr>
            <w:r>
              <w:t>≥95%</w:t>
            </w:r>
          </w:p>
        </w:tc>
        <w:tc>
          <w:tcPr>
            <w:tcW w:w="1276" w:type="dxa"/>
            <w:vAlign w:val="center"/>
          </w:tcPr>
          <w:p>
            <w:pPr>
              <w:pStyle w:val="13"/>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重大环保事件及时发现率（%）</w:t>
            </w:r>
          </w:p>
        </w:tc>
        <w:tc>
          <w:tcPr>
            <w:tcW w:w="5386" w:type="dxa"/>
            <w:vAlign w:val="center"/>
          </w:tcPr>
          <w:p>
            <w:pPr>
              <w:pStyle w:val="13"/>
            </w:pPr>
            <w:r>
              <w:t>重大环保事件及时发现率（%）</w:t>
            </w:r>
          </w:p>
        </w:tc>
        <w:tc>
          <w:tcPr>
            <w:tcW w:w="2268" w:type="dxa"/>
            <w:vAlign w:val="center"/>
          </w:tcPr>
          <w:p>
            <w:pPr>
              <w:pStyle w:val="13"/>
            </w:pPr>
            <w:r>
              <w:t>≥95%</w:t>
            </w:r>
          </w:p>
        </w:tc>
        <w:tc>
          <w:tcPr>
            <w:tcW w:w="1276" w:type="dxa"/>
            <w:vAlign w:val="center"/>
          </w:tcPr>
          <w:p>
            <w:pPr>
              <w:pStyle w:val="13"/>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各项工作任务按时完成率</w:t>
            </w:r>
          </w:p>
        </w:tc>
        <w:tc>
          <w:tcPr>
            <w:tcW w:w="5386" w:type="dxa"/>
            <w:vAlign w:val="center"/>
          </w:tcPr>
          <w:p>
            <w:pPr>
              <w:pStyle w:val="13"/>
            </w:pPr>
            <w:r>
              <w:t>各项工作任务按时完成率</w:t>
            </w:r>
          </w:p>
        </w:tc>
        <w:tc>
          <w:tcPr>
            <w:tcW w:w="2268" w:type="dxa"/>
            <w:vAlign w:val="center"/>
          </w:tcPr>
          <w:p>
            <w:pPr>
              <w:pStyle w:val="13"/>
            </w:pPr>
            <w:r>
              <w:t>≥95%</w:t>
            </w:r>
          </w:p>
        </w:tc>
        <w:tc>
          <w:tcPr>
            <w:tcW w:w="1276" w:type="dxa"/>
            <w:vAlign w:val="center"/>
          </w:tcPr>
          <w:p>
            <w:pPr>
              <w:pStyle w:val="13"/>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使用部门满意度</w:t>
            </w:r>
          </w:p>
        </w:tc>
        <w:tc>
          <w:tcPr>
            <w:tcW w:w="5386" w:type="dxa"/>
            <w:vAlign w:val="center"/>
          </w:tcPr>
          <w:p>
            <w:pPr>
              <w:pStyle w:val="13"/>
            </w:pPr>
            <w:r>
              <w:t>使用部门满意度</w:t>
            </w:r>
          </w:p>
        </w:tc>
        <w:tc>
          <w:tcPr>
            <w:tcW w:w="2268" w:type="dxa"/>
            <w:vAlign w:val="center"/>
          </w:tcPr>
          <w:p>
            <w:pPr>
              <w:pStyle w:val="13"/>
            </w:pPr>
            <w:r>
              <w:t>≥95%</w:t>
            </w:r>
          </w:p>
        </w:tc>
        <w:tc>
          <w:tcPr>
            <w:tcW w:w="1276" w:type="dxa"/>
            <w:vAlign w:val="center"/>
          </w:tcPr>
          <w:p>
            <w:pPr>
              <w:pStyle w:val="13"/>
            </w:pPr>
            <w:r>
              <w:t>部门</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705雄县人民检察院</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23.74</w:t>
            </w:r>
          </w:p>
        </w:tc>
        <w:tc>
          <w:tcPr>
            <w:tcW w:w="964" w:type="dxa"/>
            <w:vAlign w:val="center"/>
          </w:tcPr>
          <w:p>
            <w:pPr>
              <w:pStyle w:val="16"/>
            </w:pPr>
            <w:r>
              <w:t>23.74</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18.64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雄县人民检察院小计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23.74</w:t>
            </w:r>
          </w:p>
        </w:tc>
        <w:tc>
          <w:tcPr>
            <w:tcW w:w="964" w:type="dxa"/>
            <w:vAlign w:val="center"/>
          </w:tcPr>
          <w:p>
            <w:pPr>
              <w:pStyle w:val="16"/>
            </w:pPr>
            <w:r>
              <w:t>23.74</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18.64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2025年公用经费</w:t>
            </w:r>
          </w:p>
        </w:tc>
        <w:tc>
          <w:tcPr>
            <w:tcW w:w="964" w:type="dxa"/>
            <w:vAlign w:val="center"/>
          </w:tcPr>
          <w:p>
            <w:pPr>
              <w:pStyle w:val="12"/>
            </w:pPr>
            <w:r>
              <w:t>199.00</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0.45</w:t>
            </w:r>
          </w:p>
        </w:tc>
        <w:tc>
          <w:tcPr>
            <w:tcW w:w="964" w:type="dxa"/>
            <w:vAlign w:val="center"/>
          </w:tcPr>
          <w:p>
            <w:pPr>
              <w:pStyle w:val="12"/>
            </w:pPr>
            <w:r>
              <w:t>0.90</w:t>
            </w:r>
          </w:p>
        </w:tc>
        <w:tc>
          <w:tcPr>
            <w:tcW w:w="964" w:type="dxa"/>
            <w:vAlign w:val="center"/>
          </w:tcPr>
          <w:p>
            <w:pPr>
              <w:pStyle w:val="12"/>
            </w:pPr>
            <w:r>
              <w:t>0.90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2025年公用经费</w:t>
            </w:r>
          </w:p>
        </w:tc>
        <w:tc>
          <w:tcPr>
            <w:tcW w:w="964" w:type="dxa"/>
            <w:vAlign w:val="center"/>
          </w:tcPr>
          <w:p>
            <w:pPr>
              <w:pStyle w:val="12"/>
            </w:pPr>
            <w:r>
              <w:t>199.00</w:t>
            </w:r>
          </w:p>
        </w:tc>
        <w:tc>
          <w:tcPr>
            <w:tcW w:w="1134" w:type="dxa"/>
            <w:vAlign w:val="center"/>
          </w:tcPr>
          <w:p>
            <w:pPr>
              <w:pStyle w:val="13"/>
            </w:pPr>
            <w:r>
              <w:t>便携式计算机</w:t>
            </w:r>
          </w:p>
        </w:tc>
        <w:tc>
          <w:tcPr>
            <w:tcW w:w="1134" w:type="dxa"/>
            <w:vAlign w:val="center"/>
          </w:tcPr>
          <w:p>
            <w:pPr>
              <w:pStyle w:val="13"/>
            </w:pPr>
            <w:r>
              <w:t>A02010108</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0.60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2025年公用经费</w:t>
            </w:r>
          </w:p>
        </w:tc>
        <w:tc>
          <w:tcPr>
            <w:tcW w:w="964" w:type="dxa"/>
            <w:vAlign w:val="center"/>
          </w:tcPr>
          <w:p>
            <w:pPr>
              <w:pStyle w:val="12"/>
            </w:pPr>
            <w:r>
              <w:t>199.00</w:t>
            </w:r>
          </w:p>
        </w:tc>
        <w:tc>
          <w:tcPr>
            <w:tcW w:w="1134" w:type="dxa"/>
            <w:vAlign w:val="center"/>
          </w:tcPr>
          <w:p>
            <w:pPr>
              <w:pStyle w:val="13"/>
            </w:pPr>
            <w:r>
              <w:t>多功能一体机</w:t>
            </w:r>
          </w:p>
        </w:tc>
        <w:tc>
          <w:tcPr>
            <w:tcW w:w="1134" w:type="dxa"/>
            <w:vAlign w:val="center"/>
          </w:tcPr>
          <w:p>
            <w:pPr>
              <w:pStyle w:val="13"/>
            </w:pPr>
            <w:r>
              <w:t>A02020400</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0.35</w:t>
            </w:r>
          </w:p>
        </w:tc>
        <w:tc>
          <w:tcPr>
            <w:tcW w:w="964" w:type="dxa"/>
            <w:vAlign w:val="center"/>
          </w:tcPr>
          <w:p>
            <w:pPr>
              <w:pStyle w:val="12"/>
            </w:pPr>
            <w:r>
              <w:t>0.70</w:t>
            </w:r>
          </w:p>
        </w:tc>
        <w:tc>
          <w:tcPr>
            <w:tcW w:w="964" w:type="dxa"/>
            <w:vAlign w:val="center"/>
          </w:tcPr>
          <w:p>
            <w:pPr>
              <w:pStyle w:val="12"/>
            </w:pPr>
            <w:r>
              <w:t>0.70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2025年公用经费</w:t>
            </w:r>
          </w:p>
        </w:tc>
        <w:tc>
          <w:tcPr>
            <w:tcW w:w="964" w:type="dxa"/>
            <w:vAlign w:val="center"/>
          </w:tcPr>
          <w:p>
            <w:pPr>
              <w:pStyle w:val="12"/>
            </w:pPr>
            <w:r>
              <w:t>199.00</w:t>
            </w:r>
          </w:p>
        </w:tc>
        <w:tc>
          <w:tcPr>
            <w:tcW w:w="1134" w:type="dxa"/>
            <w:vAlign w:val="center"/>
          </w:tcPr>
          <w:p>
            <w:pPr>
              <w:pStyle w:val="13"/>
            </w:pPr>
            <w:r>
              <w:t>碎纸机</w:t>
            </w:r>
          </w:p>
        </w:tc>
        <w:tc>
          <w:tcPr>
            <w:tcW w:w="1134" w:type="dxa"/>
            <w:vAlign w:val="center"/>
          </w:tcPr>
          <w:p>
            <w:pPr>
              <w:pStyle w:val="13"/>
            </w:pPr>
            <w:r>
              <w:t>A02021301</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0.10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2025年公用经费</w:t>
            </w:r>
          </w:p>
        </w:tc>
        <w:tc>
          <w:tcPr>
            <w:tcW w:w="964" w:type="dxa"/>
            <w:vAlign w:val="center"/>
          </w:tcPr>
          <w:p>
            <w:pPr>
              <w:pStyle w:val="12"/>
            </w:pPr>
            <w:r>
              <w:t>199.00</w:t>
            </w:r>
          </w:p>
        </w:tc>
        <w:tc>
          <w:tcPr>
            <w:tcW w:w="1134" w:type="dxa"/>
            <w:vAlign w:val="center"/>
          </w:tcPr>
          <w:p>
            <w:pPr>
              <w:pStyle w:val="13"/>
            </w:pPr>
            <w:r>
              <w:t>空调机</w:t>
            </w:r>
          </w:p>
        </w:tc>
        <w:tc>
          <w:tcPr>
            <w:tcW w:w="1134" w:type="dxa"/>
            <w:vAlign w:val="center"/>
          </w:tcPr>
          <w:p>
            <w:pPr>
              <w:pStyle w:val="13"/>
            </w:pPr>
            <w:r>
              <w:t>A02061804</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0.30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2025年公用经费</w:t>
            </w:r>
          </w:p>
        </w:tc>
        <w:tc>
          <w:tcPr>
            <w:tcW w:w="964" w:type="dxa"/>
            <w:vAlign w:val="center"/>
          </w:tcPr>
          <w:p>
            <w:pPr>
              <w:pStyle w:val="12"/>
            </w:pPr>
            <w:r>
              <w:t>199.00</w:t>
            </w:r>
          </w:p>
        </w:tc>
        <w:tc>
          <w:tcPr>
            <w:tcW w:w="1134" w:type="dxa"/>
            <w:vAlign w:val="center"/>
          </w:tcPr>
          <w:p>
            <w:pPr>
              <w:pStyle w:val="13"/>
            </w:pPr>
            <w:r>
              <w:t>办公桌</w:t>
            </w:r>
          </w:p>
        </w:tc>
        <w:tc>
          <w:tcPr>
            <w:tcW w:w="1134" w:type="dxa"/>
            <w:vAlign w:val="center"/>
          </w:tcPr>
          <w:p>
            <w:pPr>
              <w:pStyle w:val="13"/>
            </w:pPr>
            <w:r>
              <w:t>A05010201</w:t>
            </w:r>
          </w:p>
        </w:tc>
        <w:tc>
          <w:tcPr>
            <w:tcW w:w="709" w:type="dxa"/>
            <w:vAlign w:val="center"/>
          </w:tcPr>
          <w:p>
            <w:pPr>
              <w:pStyle w:val="14"/>
            </w:pPr>
            <w:r>
              <w:t>件</w:t>
            </w:r>
          </w:p>
        </w:tc>
        <w:tc>
          <w:tcPr>
            <w:tcW w:w="850" w:type="dxa"/>
            <w:vAlign w:val="center"/>
          </w:tcPr>
          <w:p>
            <w:pPr>
              <w:pStyle w:val="12"/>
            </w:pPr>
            <w:r>
              <w:t>2</w:t>
            </w:r>
          </w:p>
        </w:tc>
        <w:tc>
          <w:tcPr>
            <w:tcW w:w="850" w:type="dxa"/>
            <w:vAlign w:val="center"/>
          </w:tcPr>
          <w:p>
            <w:pPr>
              <w:pStyle w:val="12"/>
            </w:pPr>
            <w:r>
              <w:t>0.15</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2025年公用经费</w:t>
            </w:r>
          </w:p>
        </w:tc>
        <w:tc>
          <w:tcPr>
            <w:tcW w:w="964" w:type="dxa"/>
            <w:vAlign w:val="center"/>
          </w:tcPr>
          <w:p>
            <w:pPr>
              <w:pStyle w:val="12"/>
            </w:pPr>
            <w:r>
              <w:t>199.00</w:t>
            </w:r>
          </w:p>
        </w:tc>
        <w:tc>
          <w:tcPr>
            <w:tcW w:w="1134" w:type="dxa"/>
            <w:vAlign w:val="center"/>
          </w:tcPr>
          <w:p>
            <w:pPr>
              <w:pStyle w:val="13"/>
            </w:pPr>
            <w:r>
              <w:t>办公椅</w:t>
            </w:r>
          </w:p>
        </w:tc>
        <w:tc>
          <w:tcPr>
            <w:tcW w:w="1134" w:type="dxa"/>
            <w:vAlign w:val="center"/>
          </w:tcPr>
          <w:p>
            <w:pPr>
              <w:pStyle w:val="13"/>
            </w:pPr>
            <w:r>
              <w:t>A05010301</w:t>
            </w:r>
          </w:p>
        </w:tc>
        <w:tc>
          <w:tcPr>
            <w:tcW w:w="709" w:type="dxa"/>
            <w:vAlign w:val="center"/>
          </w:tcPr>
          <w:p>
            <w:pPr>
              <w:pStyle w:val="14"/>
            </w:pPr>
            <w:r>
              <w:t>件</w:t>
            </w:r>
          </w:p>
        </w:tc>
        <w:tc>
          <w:tcPr>
            <w:tcW w:w="850" w:type="dxa"/>
            <w:vAlign w:val="center"/>
          </w:tcPr>
          <w:p>
            <w:pPr>
              <w:pStyle w:val="12"/>
            </w:pPr>
            <w:r>
              <w:t>4</w:t>
            </w:r>
          </w:p>
        </w:tc>
        <w:tc>
          <w:tcPr>
            <w:tcW w:w="850" w:type="dxa"/>
            <w:vAlign w:val="center"/>
          </w:tcPr>
          <w:p>
            <w:pPr>
              <w:pStyle w:val="12"/>
            </w:pPr>
            <w:r>
              <w:t>0.05</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基层公检法司转移支付资金</w:t>
            </w:r>
          </w:p>
        </w:tc>
        <w:tc>
          <w:tcPr>
            <w:tcW w:w="964" w:type="dxa"/>
            <w:vAlign w:val="center"/>
          </w:tcPr>
          <w:p>
            <w:pPr>
              <w:pStyle w:val="12"/>
            </w:pPr>
            <w:r>
              <w:t>74.00</w:t>
            </w:r>
          </w:p>
        </w:tc>
        <w:tc>
          <w:tcPr>
            <w:tcW w:w="1134" w:type="dxa"/>
            <w:vAlign w:val="center"/>
          </w:tcPr>
          <w:p>
            <w:pPr>
              <w:pStyle w:val="13"/>
            </w:pPr>
            <w:r>
              <w:t>扫描仪</w:t>
            </w:r>
          </w:p>
        </w:tc>
        <w:tc>
          <w:tcPr>
            <w:tcW w:w="1134" w:type="dxa"/>
            <w:vAlign w:val="center"/>
          </w:tcPr>
          <w:p>
            <w:pPr>
              <w:pStyle w:val="13"/>
            </w:pPr>
            <w:r>
              <w:t>A02021118</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0.40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基层公检法司转移支付资金</w:t>
            </w:r>
          </w:p>
        </w:tc>
        <w:tc>
          <w:tcPr>
            <w:tcW w:w="964" w:type="dxa"/>
            <w:vAlign w:val="center"/>
          </w:tcPr>
          <w:p>
            <w:pPr>
              <w:pStyle w:val="12"/>
            </w:pPr>
            <w:r>
              <w:t>74.00</w:t>
            </w:r>
          </w:p>
        </w:tc>
        <w:tc>
          <w:tcPr>
            <w:tcW w:w="1134" w:type="dxa"/>
            <w:vAlign w:val="center"/>
          </w:tcPr>
          <w:p>
            <w:pPr>
              <w:pStyle w:val="13"/>
            </w:pPr>
            <w:r>
              <w:t>碎纸机</w:t>
            </w:r>
          </w:p>
        </w:tc>
        <w:tc>
          <w:tcPr>
            <w:tcW w:w="1134" w:type="dxa"/>
            <w:vAlign w:val="center"/>
          </w:tcPr>
          <w:p>
            <w:pPr>
              <w:pStyle w:val="13"/>
            </w:pPr>
            <w:r>
              <w:t>A02021301</w:t>
            </w:r>
          </w:p>
        </w:tc>
        <w:tc>
          <w:tcPr>
            <w:tcW w:w="709" w:type="dxa"/>
            <w:vAlign w:val="center"/>
          </w:tcPr>
          <w:p>
            <w:pPr>
              <w:pStyle w:val="14"/>
            </w:pPr>
            <w:r>
              <w:t>台</w:t>
            </w:r>
          </w:p>
        </w:tc>
        <w:tc>
          <w:tcPr>
            <w:tcW w:w="850" w:type="dxa"/>
            <w:vAlign w:val="center"/>
          </w:tcPr>
          <w:p>
            <w:pPr>
              <w:pStyle w:val="12"/>
            </w:pPr>
            <w:r>
              <w:t>5</w:t>
            </w:r>
          </w:p>
        </w:tc>
        <w:tc>
          <w:tcPr>
            <w:tcW w:w="850" w:type="dxa"/>
            <w:vAlign w:val="center"/>
          </w:tcPr>
          <w:p>
            <w:pPr>
              <w:pStyle w:val="12"/>
            </w:pPr>
            <w:r>
              <w:t>0.10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基层公检法司转移支付资金</w:t>
            </w:r>
          </w:p>
        </w:tc>
        <w:tc>
          <w:tcPr>
            <w:tcW w:w="964" w:type="dxa"/>
            <w:vAlign w:val="center"/>
          </w:tcPr>
          <w:p>
            <w:pPr>
              <w:pStyle w:val="12"/>
            </w:pPr>
            <w:r>
              <w:t>74.00</w:t>
            </w:r>
          </w:p>
        </w:tc>
        <w:tc>
          <w:tcPr>
            <w:tcW w:w="1134" w:type="dxa"/>
            <w:vAlign w:val="center"/>
          </w:tcPr>
          <w:p>
            <w:pPr>
              <w:pStyle w:val="13"/>
            </w:pPr>
            <w:r>
              <w:t>办公桌</w:t>
            </w:r>
          </w:p>
        </w:tc>
        <w:tc>
          <w:tcPr>
            <w:tcW w:w="1134" w:type="dxa"/>
            <w:vAlign w:val="center"/>
          </w:tcPr>
          <w:p>
            <w:pPr>
              <w:pStyle w:val="13"/>
            </w:pPr>
            <w:r>
              <w:t>A05010201</w:t>
            </w:r>
          </w:p>
        </w:tc>
        <w:tc>
          <w:tcPr>
            <w:tcW w:w="709" w:type="dxa"/>
            <w:vAlign w:val="center"/>
          </w:tcPr>
          <w:p>
            <w:pPr>
              <w:pStyle w:val="14"/>
            </w:pPr>
            <w:r>
              <w:t>件</w:t>
            </w:r>
          </w:p>
        </w:tc>
        <w:tc>
          <w:tcPr>
            <w:tcW w:w="850" w:type="dxa"/>
            <w:vAlign w:val="center"/>
          </w:tcPr>
          <w:p>
            <w:pPr>
              <w:pStyle w:val="12"/>
            </w:pPr>
            <w:r>
              <w:t>4</w:t>
            </w:r>
          </w:p>
        </w:tc>
        <w:tc>
          <w:tcPr>
            <w:tcW w:w="850" w:type="dxa"/>
            <w:vAlign w:val="center"/>
          </w:tcPr>
          <w:p>
            <w:pPr>
              <w:pStyle w:val="12"/>
            </w:pPr>
            <w:r>
              <w:t>0.15</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基层公检法司转移支付资金</w:t>
            </w:r>
          </w:p>
        </w:tc>
        <w:tc>
          <w:tcPr>
            <w:tcW w:w="964" w:type="dxa"/>
            <w:vAlign w:val="center"/>
          </w:tcPr>
          <w:p>
            <w:pPr>
              <w:pStyle w:val="12"/>
            </w:pPr>
            <w:r>
              <w:t>74.00</w:t>
            </w:r>
          </w:p>
        </w:tc>
        <w:tc>
          <w:tcPr>
            <w:tcW w:w="1134" w:type="dxa"/>
            <w:vAlign w:val="center"/>
          </w:tcPr>
          <w:p>
            <w:pPr>
              <w:pStyle w:val="13"/>
            </w:pPr>
            <w:r>
              <w:t>办公椅</w:t>
            </w:r>
          </w:p>
        </w:tc>
        <w:tc>
          <w:tcPr>
            <w:tcW w:w="1134" w:type="dxa"/>
            <w:vAlign w:val="center"/>
          </w:tcPr>
          <w:p>
            <w:pPr>
              <w:pStyle w:val="13"/>
            </w:pPr>
            <w:r>
              <w:t>A05010301</w:t>
            </w:r>
          </w:p>
        </w:tc>
        <w:tc>
          <w:tcPr>
            <w:tcW w:w="709" w:type="dxa"/>
            <w:vAlign w:val="center"/>
          </w:tcPr>
          <w:p>
            <w:pPr>
              <w:pStyle w:val="14"/>
            </w:pPr>
            <w:r>
              <w:t>件</w:t>
            </w:r>
          </w:p>
        </w:tc>
        <w:tc>
          <w:tcPr>
            <w:tcW w:w="850" w:type="dxa"/>
            <w:vAlign w:val="center"/>
          </w:tcPr>
          <w:p>
            <w:pPr>
              <w:pStyle w:val="12"/>
            </w:pPr>
            <w:r>
              <w:t>12</w:t>
            </w:r>
          </w:p>
        </w:tc>
        <w:tc>
          <w:tcPr>
            <w:tcW w:w="850" w:type="dxa"/>
            <w:vAlign w:val="center"/>
          </w:tcPr>
          <w:p>
            <w:pPr>
              <w:pStyle w:val="12"/>
            </w:pPr>
            <w:r>
              <w:t>0.05</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中央政法纪检监察转移支付资金</w:t>
            </w:r>
          </w:p>
        </w:tc>
        <w:tc>
          <w:tcPr>
            <w:tcW w:w="964" w:type="dxa"/>
            <w:vAlign w:val="center"/>
          </w:tcPr>
          <w:p>
            <w:pPr>
              <w:pStyle w:val="12"/>
            </w:pPr>
            <w:r>
              <w:t>99.00</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台</w:t>
            </w:r>
          </w:p>
        </w:tc>
        <w:tc>
          <w:tcPr>
            <w:tcW w:w="850" w:type="dxa"/>
            <w:vAlign w:val="center"/>
          </w:tcPr>
          <w:p>
            <w:pPr>
              <w:pStyle w:val="12"/>
            </w:pPr>
            <w:r>
              <w:t>6</w:t>
            </w:r>
          </w:p>
        </w:tc>
        <w:tc>
          <w:tcPr>
            <w:tcW w:w="850" w:type="dxa"/>
            <w:vAlign w:val="center"/>
          </w:tcPr>
          <w:p>
            <w:pPr>
              <w:pStyle w:val="12"/>
            </w:pPr>
            <w:r>
              <w:t>0.45</w:t>
            </w:r>
          </w:p>
        </w:tc>
        <w:tc>
          <w:tcPr>
            <w:tcW w:w="964" w:type="dxa"/>
            <w:vAlign w:val="center"/>
          </w:tcPr>
          <w:p>
            <w:pPr>
              <w:pStyle w:val="12"/>
            </w:pPr>
            <w:r>
              <w:t>2.70</w:t>
            </w:r>
          </w:p>
        </w:tc>
        <w:tc>
          <w:tcPr>
            <w:tcW w:w="964" w:type="dxa"/>
            <w:vAlign w:val="center"/>
          </w:tcPr>
          <w:p>
            <w:pPr>
              <w:pStyle w:val="12"/>
            </w:pPr>
            <w:r>
              <w:t>2.70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中央政法纪检监察转移支付资金</w:t>
            </w:r>
          </w:p>
        </w:tc>
        <w:tc>
          <w:tcPr>
            <w:tcW w:w="964" w:type="dxa"/>
            <w:vAlign w:val="center"/>
          </w:tcPr>
          <w:p>
            <w:pPr>
              <w:pStyle w:val="12"/>
            </w:pPr>
            <w:r>
              <w:t>99.00</w:t>
            </w:r>
          </w:p>
        </w:tc>
        <w:tc>
          <w:tcPr>
            <w:tcW w:w="1134" w:type="dxa"/>
            <w:vAlign w:val="center"/>
          </w:tcPr>
          <w:p>
            <w:pPr>
              <w:pStyle w:val="13"/>
            </w:pPr>
            <w:r>
              <w:t>便携式计算机</w:t>
            </w:r>
          </w:p>
        </w:tc>
        <w:tc>
          <w:tcPr>
            <w:tcW w:w="1134" w:type="dxa"/>
            <w:vAlign w:val="center"/>
          </w:tcPr>
          <w:p>
            <w:pPr>
              <w:pStyle w:val="13"/>
            </w:pPr>
            <w:r>
              <w:t>A02010108</w:t>
            </w:r>
          </w:p>
        </w:tc>
        <w:tc>
          <w:tcPr>
            <w:tcW w:w="709" w:type="dxa"/>
            <w:vAlign w:val="center"/>
          </w:tcPr>
          <w:p>
            <w:pPr>
              <w:pStyle w:val="14"/>
            </w:pPr>
            <w:r>
              <w:t>台</w:t>
            </w:r>
          </w:p>
        </w:tc>
        <w:tc>
          <w:tcPr>
            <w:tcW w:w="850" w:type="dxa"/>
            <w:vAlign w:val="center"/>
          </w:tcPr>
          <w:p>
            <w:pPr>
              <w:pStyle w:val="12"/>
            </w:pPr>
            <w:r>
              <w:t>4</w:t>
            </w:r>
          </w:p>
        </w:tc>
        <w:tc>
          <w:tcPr>
            <w:tcW w:w="850" w:type="dxa"/>
            <w:vAlign w:val="center"/>
          </w:tcPr>
          <w:p>
            <w:pPr>
              <w:pStyle w:val="12"/>
            </w:pPr>
            <w:r>
              <w:t>0.60</w:t>
            </w:r>
          </w:p>
        </w:tc>
        <w:tc>
          <w:tcPr>
            <w:tcW w:w="964" w:type="dxa"/>
            <w:vAlign w:val="center"/>
          </w:tcPr>
          <w:p>
            <w:pPr>
              <w:pStyle w:val="12"/>
            </w:pPr>
            <w:r>
              <w:t>2.40</w:t>
            </w:r>
          </w:p>
        </w:tc>
        <w:tc>
          <w:tcPr>
            <w:tcW w:w="964" w:type="dxa"/>
            <w:vAlign w:val="center"/>
          </w:tcPr>
          <w:p>
            <w:pPr>
              <w:pStyle w:val="12"/>
            </w:pPr>
            <w:r>
              <w:t>2.40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中央政法纪检监察转移支付资金</w:t>
            </w:r>
          </w:p>
        </w:tc>
        <w:tc>
          <w:tcPr>
            <w:tcW w:w="964" w:type="dxa"/>
            <w:vAlign w:val="center"/>
          </w:tcPr>
          <w:p>
            <w:pPr>
              <w:pStyle w:val="12"/>
            </w:pPr>
            <w:r>
              <w:t>99.00</w:t>
            </w:r>
          </w:p>
        </w:tc>
        <w:tc>
          <w:tcPr>
            <w:tcW w:w="1134" w:type="dxa"/>
            <w:vAlign w:val="center"/>
          </w:tcPr>
          <w:p>
            <w:pPr>
              <w:pStyle w:val="13"/>
            </w:pPr>
            <w:r>
              <w:t>LED 显示屏</w:t>
            </w:r>
          </w:p>
        </w:tc>
        <w:tc>
          <w:tcPr>
            <w:tcW w:w="1134" w:type="dxa"/>
            <w:vAlign w:val="center"/>
          </w:tcPr>
          <w:p>
            <w:pPr>
              <w:pStyle w:val="13"/>
            </w:pPr>
            <w:r>
              <w:t>A02021103</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5.00</w:t>
            </w:r>
          </w:p>
        </w:tc>
        <w:tc>
          <w:tcPr>
            <w:tcW w:w="964" w:type="dxa"/>
            <w:vAlign w:val="center"/>
          </w:tcPr>
          <w:p>
            <w:pPr>
              <w:pStyle w:val="12"/>
            </w:pPr>
            <w:r>
              <w:t>10.00</w:t>
            </w:r>
          </w:p>
        </w:tc>
        <w:tc>
          <w:tcPr>
            <w:tcW w:w="964" w:type="dxa"/>
            <w:vAlign w:val="center"/>
          </w:tcPr>
          <w:p>
            <w:pPr>
              <w:pStyle w:val="12"/>
            </w:pPr>
            <w:r>
              <w:t>10.00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中央政法纪检监察转移支付资金</w:t>
            </w:r>
          </w:p>
        </w:tc>
        <w:tc>
          <w:tcPr>
            <w:tcW w:w="964" w:type="dxa"/>
            <w:vAlign w:val="center"/>
          </w:tcPr>
          <w:p>
            <w:pPr>
              <w:pStyle w:val="12"/>
            </w:pPr>
            <w:r>
              <w:t>99.00</w:t>
            </w:r>
          </w:p>
        </w:tc>
        <w:tc>
          <w:tcPr>
            <w:tcW w:w="1134" w:type="dxa"/>
            <w:vAlign w:val="center"/>
          </w:tcPr>
          <w:p>
            <w:pPr>
              <w:pStyle w:val="13"/>
            </w:pPr>
            <w:r>
              <w:t>空调机</w:t>
            </w:r>
          </w:p>
        </w:tc>
        <w:tc>
          <w:tcPr>
            <w:tcW w:w="1134" w:type="dxa"/>
            <w:vAlign w:val="center"/>
          </w:tcPr>
          <w:p>
            <w:pPr>
              <w:pStyle w:val="13"/>
            </w:pPr>
            <w:r>
              <w:t>A02061804</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0.30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中央政法纪检监察转移支付资金</w:t>
            </w:r>
          </w:p>
        </w:tc>
        <w:tc>
          <w:tcPr>
            <w:tcW w:w="964" w:type="dxa"/>
            <w:vAlign w:val="center"/>
          </w:tcPr>
          <w:p>
            <w:pPr>
              <w:pStyle w:val="12"/>
            </w:pPr>
            <w:r>
              <w:t>99.00</w:t>
            </w:r>
          </w:p>
        </w:tc>
        <w:tc>
          <w:tcPr>
            <w:tcW w:w="1134" w:type="dxa"/>
            <w:vAlign w:val="center"/>
          </w:tcPr>
          <w:p>
            <w:pPr>
              <w:pStyle w:val="13"/>
            </w:pPr>
            <w:r>
              <w:t>空调机</w:t>
            </w:r>
          </w:p>
        </w:tc>
        <w:tc>
          <w:tcPr>
            <w:tcW w:w="1134" w:type="dxa"/>
            <w:vAlign w:val="center"/>
          </w:tcPr>
          <w:p>
            <w:pPr>
              <w:pStyle w:val="13"/>
            </w:pPr>
            <w:r>
              <w:t>A02061804</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0.90</w:t>
            </w:r>
          </w:p>
        </w:tc>
        <w:tc>
          <w:tcPr>
            <w:tcW w:w="964" w:type="dxa"/>
            <w:vAlign w:val="center"/>
          </w:tcPr>
          <w:p>
            <w:pPr>
              <w:pStyle w:val="12"/>
            </w:pPr>
            <w:r>
              <w:t>1.80</w:t>
            </w:r>
          </w:p>
        </w:tc>
        <w:tc>
          <w:tcPr>
            <w:tcW w:w="964" w:type="dxa"/>
            <w:vAlign w:val="center"/>
          </w:tcPr>
          <w:p>
            <w:pPr>
              <w:pStyle w:val="12"/>
            </w:pPr>
            <w:r>
              <w:t>1.80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中央政法纪检监察转移支付资金</w:t>
            </w:r>
          </w:p>
        </w:tc>
        <w:tc>
          <w:tcPr>
            <w:tcW w:w="964" w:type="dxa"/>
            <w:vAlign w:val="center"/>
          </w:tcPr>
          <w:p>
            <w:pPr>
              <w:pStyle w:val="12"/>
            </w:pPr>
            <w:r>
              <w:t>99.00</w:t>
            </w:r>
          </w:p>
        </w:tc>
        <w:tc>
          <w:tcPr>
            <w:tcW w:w="1134" w:type="dxa"/>
            <w:vAlign w:val="center"/>
          </w:tcPr>
          <w:p>
            <w:pPr>
              <w:pStyle w:val="13"/>
            </w:pPr>
            <w:r>
              <w:t>保密柜</w:t>
            </w:r>
          </w:p>
        </w:tc>
        <w:tc>
          <w:tcPr>
            <w:tcW w:w="1134" w:type="dxa"/>
            <w:vAlign w:val="center"/>
          </w:tcPr>
          <w:p>
            <w:pPr>
              <w:pStyle w:val="13"/>
            </w:pPr>
            <w:r>
              <w:t>A05010504</w:t>
            </w:r>
          </w:p>
        </w:tc>
        <w:tc>
          <w:tcPr>
            <w:tcW w:w="709" w:type="dxa"/>
            <w:vAlign w:val="center"/>
          </w:tcPr>
          <w:p>
            <w:pPr>
              <w:pStyle w:val="14"/>
            </w:pPr>
            <w:r>
              <w:t>件</w:t>
            </w:r>
          </w:p>
        </w:tc>
        <w:tc>
          <w:tcPr>
            <w:tcW w:w="850" w:type="dxa"/>
            <w:vAlign w:val="center"/>
          </w:tcPr>
          <w:p>
            <w:pPr>
              <w:pStyle w:val="12"/>
            </w:pPr>
            <w:r>
              <w:t>4</w:t>
            </w:r>
          </w:p>
        </w:tc>
        <w:tc>
          <w:tcPr>
            <w:tcW w:w="850" w:type="dxa"/>
            <w:vAlign w:val="center"/>
          </w:tcPr>
          <w:p>
            <w:pPr>
              <w:pStyle w:val="12"/>
            </w:pPr>
            <w:r>
              <w:t>0.16</w:t>
            </w:r>
          </w:p>
        </w:tc>
        <w:tc>
          <w:tcPr>
            <w:tcW w:w="964" w:type="dxa"/>
            <w:vAlign w:val="center"/>
          </w:tcPr>
          <w:p>
            <w:pPr>
              <w:pStyle w:val="12"/>
            </w:pPr>
            <w:r>
              <w:t>0.64</w:t>
            </w:r>
          </w:p>
        </w:tc>
        <w:tc>
          <w:tcPr>
            <w:tcW w:w="964" w:type="dxa"/>
            <w:vAlign w:val="center"/>
          </w:tcPr>
          <w:p>
            <w:pPr>
              <w:pStyle w:val="12"/>
            </w:pPr>
            <w:r>
              <w:t>0.64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0.64</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雄县人民检察院（含所属单位）上年末固定资产金额为</w:t>
      </w:r>
      <w:r>
        <w:rPr>
          <w:rFonts w:hint="eastAsia" w:eastAsia="方正仿宋_GBK" w:cs="Times New Roman"/>
          <w:b w:val="0"/>
          <w:color w:val="000000"/>
          <w:sz w:val="28"/>
          <w:lang w:val="en-US" w:eastAsia="zh-CN"/>
        </w:rPr>
        <w:t>1453</w:t>
      </w:r>
      <w:r>
        <w:rPr>
          <w:rFonts w:ascii="Times New Roman" w:hAnsi="Times New Roman" w:eastAsia="方正仿宋_GBK" w:cs="Times New Roman"/>
          <w:b w:val="0"/>
          <w:color w:val="000000"/>
          <w:sz w:val="28"/>
        </w:rPr>
        <w:t>.</w:t>
      </w:r>
      <w:r>
        <w:rPr>
          <w:rFonts w:hint="eastAsia" w:eastAsia="方正仿宋_GBK" w:cs="Times New Roman"/>
          <w:b w:val="0"/>
          <w:color w:val="000000"/>
          <w:sz w:val="28"/>
          <w:lang w:val="en-US" w:eastAsia="zh-CN"/>
        </w:rPr>
        <w:t>21</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23</w:t>
      </w:r>
      <w:r>
        <w:rPr>
          <w:rFonts w:ascii="Times New Roman" w:hAnsi="Times New Roman" w:eastAsia="方正仿宋_GBK" w:cs="Times New Roman"/>
          <w:b w:val="0"/>
          <w:color w:val="000000"/>
          <w:sz w:val="28"/>
        </w:rPr>
        <w:t>.</w:t>
      </w:r>
      <w:r>
        <w:rPr>
          <w:rFonts w:hint="eastAsia" w:eastAsia="方正仿宋_GBK" w:cs="Times New Roman"/>
          <w:b w:val="0"/>
          <w:color w:val="000000"/>
          <w:sz w:val="28"/>
          <w:lang w:val="en-US" w:eastAsia="zh-CN"/>
        </w:rPr>
        <w:t>74</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705雄县人民检察院</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shd w:val="clear" w:color="auto" w:fill="auto"/>
            <w:vAlign w:val="center"/>
          </w:tcPr>
          <w:p>
            <w:pPr>
              <w:pStyle w:val="11"/>
              <w:ind w:firstLine="0" w:firstLineChars="0"/>
              <w:jc w:val="left"/>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val="0"/>
                <w:sz w:val="21"/>
                <w:szCs w:val="24"/>
                <w:lang w:val="en-US" w:eastAsia="uk-UA" w:bidi="ar-SA"/>
              </w:rPr>
              <w:t>资产总额</w:t>
            </w:r>
          </w:p>
        </w:tc>
        <w:tc>
          <w:tcPr>
            <w:tcW w:w="2835" w:type="dxa"/>
            <w:shd w:val="clear" w:color="auto" w:fill="auto"/>
            <w:vAlign w:val="center"/>
          </w:tcPr>
          <w:p>
            <w:pPr>
              <w:pStyle w:val="14"/>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w:t>
            </w:r>
          </w:p>
        </w:tc>
        <w:tc>
          <w:tcPr>
            <w:tcW w:w="2835" w:type="dxa"/>
            <w:shd w:val="clear" w:color="auto" w:fill="auto"/>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1453.21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shd w:val="clear" w:color="auto" w:fill="auto"/>
            <w:vAlign w:val="center"/>
          </w:tcPr>
          <w:p>
            <w:pPr>
              <w:pStyle w:val="13"/>
              <w:ind w:firstLine="0" w:firstLineChars="0"/>
              <w:rPr>
                <w:rFonts w:ascii="方正书宋_GBK" w:hAnsi="方正书宋_GBK" w:eastAsia="方正书宋_GBK" w:cs="方正书宋_GBK"/>
                <w:sz w:val="21"/>
                <w:szCs w:val="24"/>
                <w:lang w:val="en-US" w:eastAsia="uk-UA" w:bidi="ar-SA"/>
              </w:rPr>
            </w:pPr>
            <w:r>
              <w:t>1、房屋（平方米）</w:t>
            </w:r>
          </w:p>
        </w:tc>
        <w:tc>
          <w:tcPr>
            <w:tcW w:w="2835" w:type="dxa"/>
            <w:shd w:val="clear" w:color="auto" w:fill="auto"/>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2689</w:t>
            </w:r>
          </w:p>
        </w:tc>
        <w:tc>
          <w:tcPr>
            <w:tcW w:w="2835" w:type="dxa"/>
            <w:shd w:val="clear" w:color="auto" w:fill="auto"/>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513.99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shd w:val="clear" w:color="auto" w:fill="auto"/>
            <w:vAlign w:val="center"/>
          </w:tcPr>
          <w:p>
            <w:pPr>
              <w:pStyle w:val="13"/>
              <w:ind w:firstLine="0" w:firstLineChars="0"/>
              <w:rPr>
                <w:rFonts w:ascii="方正书宋_GBK" w:hAnsi="方正书宋_GBK" w:eastAsia="方正书宋_GBK" w:cs="方正书宋_GBK"/>
                <w:sz w:val="21"/>
                <w:szCs w:val="24"/>
                <w:lang w:val="en-US" w:eastAsia="uk-UA" w:bidi="ar-SA"/>
              </w:rPr>
            </w:pPr>
            <w:r>
              <w:t>　　其中：办公用房（平方米）</w:t>
            </w:r>
          </w:p>
        </w:tc>
        <w:tc>
          <w:tcPr>
            <w:tcW w:w="2835" w:type="dxa"/>
            <w:shd w:val="clear" w:color="auto" w:fill="auto"/>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600</w:t>
            </w:r>
          </w:p>
        </w:tc>
        <w:tc>
          <w:tcPr>
            <w:tcW w:w="2835" w:type="dxa"/>
            <w:shd w:val="clear" w:color="auto" w:fill="auto"/>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94.79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shd w:val="clear" w:color="auto" w:fill="auto"/>
            <w:vAlign w:val="center"/>
          </w:tcPr>
          <w:p>
            <w:pPr>
              <w:pStyle w:val="13"/>
              <w:ind w:firstLine="0" w:firstLineChars="0"/>
              <w:rPr>
                <w:rFonts w:hint="eastAsia" w:ascii="方正书宋_GBK" w:hAnsi="方正书宋_GBK" w:eastAsia="方正书宋_GBK" w:cs="方正书宋_GBK"/>
                <w:sz w:val="21"/>
                <w:szCs w:val="24"/>
                <w:lang w:val="en-US" w:eastAsia="zh-CN" w:bidi="ar-SA"/>
              </w:rPr>
            </w:pPr>
            <w:r>
              <w:t>2、</w:t>
            </w:r>
            <w:r>
              <w:rPr>
                <w:rFonts w:hint="eastAsia"/>
                <w:lang w:val="en-US" w:eastAsia="zh-CN"/>
              </w:rPr>
              <w:t>车辆（台、辆）</w:t>
            </w:r>
          </w:p>
        </w:tc>
        <w:tc>
          <w:tcPr>
            <w:tcW w:w="2835" w:type="dxa"/>
            <w:shd w:val="clear" w:color="auto" w:fill="auto"/>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11</w:t>
            </w:r>
          </w:p>
        </w:tc>
        <w:tc>
          <w:tcPr>
            <w:tcW w:w="2835" w:type="dxa"/>
            <w:shd w:val="clear" w:color="auto" w:fill="auto"/>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157.91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shd w:val="clear" w:color="auto" w:fill="auto"/>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w:t>
            </w:r>
            <w:r>
              <w:t>、</w:t>
            </w:r>
            <w:r>
              <w:rPr>
                <w:rFonts w:hint="eastAsia"/>
                <w:lang w:val="en-US" w:eastAsia="zh-CN"/>
              </w:rPr>
              <w:t>单价在20万元以上的设备</w:t>
            </w:r>
          </w:p>
        </w:tc>
        <w:tc>
          <w:tcPr>
            <w:tcW w:w="2835" w:type="dxa"/>
            <w:shd w:val="clear" w:color="auto" w:fill="auto"/>
            <w:vAlign w:val="center"/>
          </w:tcPr>
          <w:p>
            <w:pPr>
              <w:pStyle w:val="14"/>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9</w:t>
            </w:r>
          </w:p>
        </w:tc>
        <w:tc>
          <w:tcPr>
            <w:tcW w:w="2835" w:type="dxa"/>
            <w:shd w:val="clear" w:color="auto" w:fill="auto"/>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338.07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shd w:val="clear" w:color="auto" w:fill="auto"/>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4、其他固定资产</w:t>
            </w:r>
          </w:p>
        </w:tc>
        <w:tc>
          <w:tcPr>
            <w:tcW w:w="2835" w:type="dxa"/>
            <w:shd w:val="clear" w:color="auto" w:fill="auto"/>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535</w:t>
            </w:r>
          </w:p>
        </w:tc>
        <w:tc>
          <w:tcPr>
            <w:tcW w:w="2835" w:type="dxa"/>
            <w:shd w:val="clear" w:color="auto" w:fill="auto"/>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443.25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AB5A3F"/>
    <w:multiLevelType w:val="singleLevel"/>
    <w:tmpl w:val="92AB5A3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A8C601F"/>
    <w:rsid w:val="0D556CC6"/>
    <w:rsid w:val="131B4F68"/>
    <w:rsid w:val="445834E7"/>
    <w:rsid w:val="4F35405E"/>
    <w:rsid w:val="7BEB227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39</Pages>
  <Words>355</Words>
  <Characters>378</Characters>
  <TotalTime>2</TotalTime>
  <ScaleCrop>false</ScaleCrop>
  <LinksUpToDate>false</LinksUpToDate>
  <CharactersWithSpaces>399</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2025-01-25T02:15:00Z</dcterms:created>
  <dc:creator>Administrator</dc:creator>
  <cp:lastModifiedBy>work</cp:lastModifiedBy>
  <dcterms:modified xsi:type="dcterms:W3CDTF">2025-02-11T16:35:16Z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eyJoZGlkIjoiZTIzMDliMDAwNjYwZjFhMzg2N2VjNzAzNjkzZWQ2ZDgiLCJ1c2VySWQiOiIxMjE4NTQ0ODI0In0=</vt:lpwstr>
  </property>
  <property fmtid="{D5CDD505-2E9C-101B-9397-08002B2CF9AE}" pid="3" name="KSOProductBuildVer">
    <vt:lpwstr>2052-11.8.2.12129</vt:lpwstr>
  </property>
  <property fmtid="{D5CDD505-2E9C-101B-9397-08002B2CF9AE}" pid="4" name="ICV">
    <vt:lpwstr>5FF2110A9779477EB2E66975E6C9340E_12</vt:lpwstr>
  </property>
</Properties>
</file>