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10"/>
        <w:gridCol w:w="1247"/>
        <w:gridCol w:w="1785"/>
        <w:gridCol w:w="1235"/>
        <w:gridCol w:w="1165"/>
        <w:gridCol w:w="4809"/>
        <w:gridCol w:w="1212"/>
      </w:tblGrid>
      <w:tr w14:paraId="59C2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3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1A8A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  <w:p w14:paraId="2E670B4C">
            <w:pPr>
              <w:ind w:left="1278" w:leftChars="304" w:hanging="640" w:hangingChars="200"/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</w:rPr>
              <w:t>雄安新区殡仪馆收费标准明细表</w:t>
            </w:r>
          </w:p>
          <w:bookmarkEnd w:id="0"/>
          <w:p w14:paraId="0146E0D1">
            <w:pPr>
              <w:pStyle w:val="4"/>
              <w:snapToGrid w:val="0"/>
              <w:textAlignment w:val="baseline"/>
              <w:rPr>
                <w:rFonts w:hint="default" w:ascii="Times New Roman" w:hAnsi="Times New Roman" w:cs="Times New Roman"/>
                <w:highlight w:val="none"/>
                <w:lang w:bidi="ar"/>
              </w:rPr>
            </w:pPr>
          </w:p>
        </w:tc>
      </w:tr>
      <w:tr w14:paraId="63538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30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2F0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服务类别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0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收费项目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2B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规格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BA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计费单位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9D0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收费标准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18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服务内容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2A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 w14:paraId="313E8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FAE0E3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4E9B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基本服务</w:t>
            </w:r>
          </w:p>
          <w:p w14:paraId="22EE40D9">
            <w:pPr>
              <w:widowControl/>
              <w:snapToGrid w:val="0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7FDF68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遗</w:t>
            </w:r>
          </w:p>
          <w:p w14:paraId="7316B29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体</w:t>
            </w:r>
          </w:p>
          <w:p w14:paraId="7A0865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火</w:t>
            </w:r>
          </w:p>
          <w:p w14:paraId="0D62E1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化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B0D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火化炉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AB910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具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·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832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300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577E"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highlight w:val="none"/>
                <w:lang w:eastAsia="zh-CN" w:bidi="ar"/>
              </w:rPr>
              <w:t>遗体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火化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1627B14">
            <w:pPr>
              <w:widowControl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免除新区户籍所有居民的遗体火化、遗体接运（含抬尸、消毒）、遗体暂存（3日内连棺冷藏）、骨灰寄存（1年）等基本殡葬服务费用。未发生的免费项目不折现、不折抵，免费项目外的费用由丧主或丧事经办人支付。</w:t>
            </w:r>
          </w:p>
        </w:tc>
      </w:tr>
      <w:tr w14:paraId="3F1D5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6BF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1017E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D70DC6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遗</w:t>
            </w:r>
          </w:p>
          <w:p w14:paraId="4C2640E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体</w:t>
            </w:r>
          </w:p>
          <w:p w14:paraId="4563F8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接</w:t>
            </w:r>
          </w:p>
          <w:p w14:paraId="14ED2EE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运</w:t>
            </w:r>
          </w:p>
          <w:p w14:paraId="7E4C50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（含抬尸、消毒）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6E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殡仪服务车（车价在20万元以上）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5FA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具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·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55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200（起价）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3083">
            <w:pPr>
              <w:widowControl/>
              <w:snapToGrid w:val="0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highlight w:val="none"/>
                <w:lang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运送费以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10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公里起价，按往返计算里程，里程不足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10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公里的按次收费，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10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公里以上每次每公里加收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元，接运时间超过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小时的，另加收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10%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的费用</w:t>
            </w:r>
            <w:r>
              <w:rPr>
                <w:rStyle w:val="12"/>
                <w:rFonts w:hint="eastAsia" w:eastAsia="仿宋_GB2312" w:cs="Times New Roman"/>
                <w:highlight w:val="none"/>
                <w:lang w:eastAsia="zh-CN" w:bidi="ar"/>
              </w:rPr>
              <w:t>，</w:t>
            </w:r>
          </w:p>
          <w:p w14:paraId="1DE05A1C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主要包括人工费、消毒费用、运输车辆的折旧费、维修费和燃料动力费等。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D7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16E0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11B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3903B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46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骨</w:t>
            </w:r>
          </w:p>
          <w:p w14:paraId="52741A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灰</w:t>
            </w:r>
          </w:p>
          <w:p w14:paraId="2ACA9B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寄</w:t>
            </w:r>
          </w:p>
          <w:p w14:paraId="18066E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99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普通殡仪馆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80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盒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·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DA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30</w:t>
            </w:r>
          </w:p>
        </w:tc>
        <w:tc>
          <w:tcPr>
            <w:tcW w:w="48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DAC">
            <w:pPr>
              <w:widowControl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传统骨灰寄存时间五年为一期，以后每期递增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元；</w:t>
            </w:r>
          </w:p>
          <w:p w14:paraId="3E6E57D0">
            <w:pPr>
              <w:widowControl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智能骨灰寄存采用智能管理系统，单盒70元/年（各层次统一价），5年为一期以后每期递增5元，可一次性办理寄存20年；智能存放厅提供迷你祭奠室（含供桌、蒲团垫子），探视祭祀不离开寄存厅不再收取费用。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73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783D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  <w:jc w:val="center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79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7E961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F22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5A6E">
            <w:pPr>
              <w:widowControl/>
              <w:snapToGrid w:val="0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国家三级</w:t>
            </w: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BB2F">
            <w:pPr>
              <w:widowControl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28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40</w:t>
            </w:r>
          </w:p>
        </w:tc>
        <w:tc>
          <w:tcPr>
            <w:tcW w:w="48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F847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2C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6854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  <w:jc w:val="center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D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AA02D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CDE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9AC9">
            <w:pPr>
              <w:widowControl/>
              <w:snapToGrid w:val="0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国家二级</w:t>
            </w: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6089">
            <w:pPr>
              <w:widowControl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7E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50</w:t>
            </w:r>
          </w:p>
        </w:tc>
        <w:tc>
          <w:tcPr>
            <w:tcW w:w="48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ACE1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22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13E9B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  <w:jc w:val="center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744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68BB2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D6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F860">
            <w:pPr>
              <w:widowControl/>
              <w:snapToGrid w:val="0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国家一级</w:t>
            </w: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2C91">
            <w:pPr>
              <w:widowControl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8C3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60</w:t>
            </w:r>
          </w:p>
        </w:tc>
        <w:tc>
          <w:tcPr>
            <w:tcW w:w="48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8D08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EB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01C6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  <w:jc w:val="center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C2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32954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BD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47C3">
            <w:pPr>
              <w:widowControl/>
              <w:snapToGrid w:val="0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智能骨灰寄存</w:t>
            </w:r>
          </w:p>
        </w:tc>
        <w:tc>
          <w:tcPr>
            <w:tcW w:w="1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98D">
            <w:pPr>
              <w:widowControl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B9A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70</w:t>
            </w:r>
          </w:p>
        </w:tc>
        <w:tc>
          <w:tcPr>
            <w:tcW w:w="48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570A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72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7E0B0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5B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02D6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2A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 w14:paraId="1CC4F2D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遗</w:t>
            </w:r>
          </w:p>
          <w:p w14:paraId="1EE9587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体</w:t>
            </w:r>
          </w:p>
          <w:p w14:paraId="266005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暂</w:t>
            </w:r>
          </w:p>
          <w:p w14:paraId="49B828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存</w:t>
            </w:r>
          </w:p>
          <w:p w14:paraId="5DE27C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71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遗体冷藏</w:t>
            </w:r>
          </w:p>
          <w:p w14:paraId="6A58774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（连棺/单棺冷藏）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81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元</w:t>
            </w:r>
            <w:r>
              <w:rPr>
                <w:rStyle w:val="15"/>
                <w:rFonts w:hint="default" w:ascii="Times New Roman" w:hAnsi="Times New Roman" w:eastAsia="仿宋_GB2312" w:cs="Times New Roman"/>
                <w:highlight w:val="none"/>
                <w:lang w:bidi="ar"/>
              </w:rPr>
              <w:t>/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具</w:t>
            </w:r>
            <w:r>
              <w:rPr>
                <w:rStyle w:val="15"/>
                <w:rFonts w:hint="default" w:ascii="Times New Roman" w:hAnsi="Times New Roman" w:eastAsia="仿宋_GB2312" w:cs="Times New Roman"/>
                <w:highlight w:val="none"/>
                <w:lang w:bidi="ar"/>
              </w:rPr>
              <w:t>·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天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C1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80/200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13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提供连棺或单棺冷藏，包含第一次入棺；按照24小时为一天，不足12小时按半天计算。</w:t>
            </w:r>
          </w:p>
        </w:tc>
        <w:tc>
          <w:tcPr>
            <w:tcW w:w="121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2C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5DA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DEF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5FBDF3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1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F6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遗体解冻</w:t>
            </w:r>
          </w:p>
          <w:p w14:paraId="66709A6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（含入柜出柜）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EC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元</w:t>
            </w:r>
            <w:r>
              <w:rPr>
                <w:rStyle w:val="15"/>
                <w:rFonts w:hint="default" w:ascii="Times New Roman" w:hAnsi="Times New Roman" w:eastAsia="仿宋_GB2312" w:cs="Times New Roman"/>
                <w:highlight w:val="none"/>
                <w:lang w:bidi="ar"/>
              </w:rPr>
              <w:t>/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具</w:t>
            </w:r>
            <w:r>
              <w:rPr>
                <w:rStyle w:val="15"/>
                <w:rFonts w:hint="default" w:ascii="Times New Roman" w:hAnsi="Times New Roman" w:eastAsia="仿宋_GB2312" w:cs="Times New Roman"/>
                <w:highlight w:val="none"/>
                <w:lang w:bidi="ar"/>
              </w:rPr>
              <w:t>·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次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CC8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highlight w:val="none"/>
                <w:lang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100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F540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提供暂存中途遗体解冻服务，包含一出一入各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50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元；如不需出棺只收取解冻费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bidi="ar"/>
              </w:rPr>
              <w:t>5</w:t>
            </w: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元。</w:t>
            </w:r>
          </w:p>
        </w:tc>
        <w:tc>
          <w:tcPr>
            <w:tcW w:w="121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75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A008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5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14F83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092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10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中途开箱</w:t>
            </w:r>
          </w:p>
          <w:p w14:paraId="0B8477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（开箱服务费）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BD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元</w:t>
            </w:r>
            <w:r>
              <w:rPr>
                <w:rStyle w:val="15"/>
                <w:rFonts w:hint="default" w:ascii="Times New Roman" w:hAnsi="Times New Roman" w:eastAsia="仿宋_GB2312" w:cs="Times New Roman"/>
                <w:highlight w:val="none"/>
                <w:lang w:bidi="ar"/>
              </w:rPr>
              <w:t>/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次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BCB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0021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2"/>
                <w:rFonts w:hint="default" w:ascii="Times New Roman" w:hAnsi="Times New Roman" w:cs="Times New Roman"/>
                <w:highlight w:val="none"/>
                <w:lang w:bidi="ar"/>
              </w:rPr>
              <w:t>暂存中途开箱费，只供瞻仰，不包含解冻及出入棺。</w:t>
            </w:r>
          </w:p>
        </w:tc>
        <w:tc>
          <w:tcPr>
            <w:tcW w:w="12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0C8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tbl>
      <w:tblPr>
        <w:tblStyle w:val="9"/>
        <w:tblpPr w:leftFromText="180" w:rightFromText="180" w:vertAnchor="text" w:horzAnchor="page" w:tblpX="1744" w:tblpY="724"/>
        <w:tblOverlap w:val="never"/>
        <w:tblW w:w="13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507"/>
        <w:gridCol w:w="743"/>
        <w:gridCol w:w="1134"/>
        <w:gridCol w:w="1843"/>
        <w:gridCol w:w="1254"/>
        <w:gridCol w:w="1156"/>
        <w:gridCol w:w="5020"/>
        <w:gridCol w:w="967"/>
      </w:tblGrid>
      <w:tr w14:paraId="44D3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5F8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5</w:t>
            </w:r>
          </w:p>
        </w:tc>
        <w:tc>
          <w:tcPr>
            <w:tcW w:w="5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1E8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  <w:t>一般延伸服务</w:t>
            </w:r>
          </w:p>
        </w:tc>
        <w:tc>
          <w:tcPr>
            <w:tcW w:w="74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EF6D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  <w:t>遗</w:t>
            </w:r>
          </w:p>
          <w:p w14:paraId="4E7E5BB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  <w:t>体</w:t>
            </w:r>
          </w:p>
          <w:p w14:paraId="0253E3D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  <w:t>整</w:t>
            </w:r>
          </w:p>
          <w:p w14:paraId="4DFD046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  <w:t>理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D80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遗体</w:t>
            </w:r>
          </w:p>
          <w:p w14:paraId="5ABC34A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防腐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64FD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针剂防腐</w:t>
            </w:r>
          </w:p>
        </w:tc>
        <w:tc>
          <w:tcPr>
            <w:tcW w:w="12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F9A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元/具·次</w:t>
            </w:r>
          </w:p>
        </w:tc>
        <w:tc>
          <w:tcPr>
            <w:tcW w:w="11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3F2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400</w:t>
            </w:r>
          </w:p>
        </w:tc>
        <w:tc>
          <w:tcPr>
            <w:tcW w:w="50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8D4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因非传染性疾病去世24小时内，通过胸腔针剂防腐（含药剂费用），可保证3日内遗体无腐败现象发生。</w:t>
            </w:r>
          </w:p>
        </w:tc>
        <w:tc>
          <w:tcPr>
            <w:tcW w:w="967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E1AE64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905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3BD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6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E34B1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30E18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F23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穿衣费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39D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一般遗体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7F6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具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A22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200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751D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提供为一般遗体穿脱衣服务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57A8929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235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A9F7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C8C90F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0B4378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38CF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23F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特殊遗体</w:t>
            </w:r>
          </w:p>
          <w:p w14:paraId="45FFACD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（腐烂、破碎、传染病等）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A5A8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具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D09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500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9C468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提供对因车祸、刑事案件、自杀、溺水、爆炸、焚烧等意外死亡的遗体更衣服务。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3904AC7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B03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5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EC3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7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DE5B3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7FAE91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A948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整容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0CF8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一般遗体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B01D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具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F7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200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C1DE7E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对普通遗体进行口眼闭合、简单擦洗等一般清洁整理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49BF0A6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7BD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2E25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7D119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0EA53CF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732E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800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特殊遗体</w:t>
            </w:r>
          </w:p>
          <w:p w14:paraId="1F08F36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（腐烂、破碎、传染病等）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C493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具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E2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500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4B0C8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对车祸、刑事案件、意外死亡、面部毁容程度不严重的遗体整容，特殊情况收费双方协商。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CFE2057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48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BFA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8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B84EA3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18B9F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DEC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遗体</w:t>
            </w:r>
          </w:p>
          <w:p w14:paraId="1005686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缝合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B8B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一般遗体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41E3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具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05D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200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AFA4E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一般伤口清理包扎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C2E390A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017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9A72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88C67E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E4F4B6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6D9A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C2F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特殊遗体</w:t>
            </w:r>
          </w:p>
          <w:p w14:paraId="1298A52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（腐烂、破碎、传染病等）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B96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具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982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500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8D6FB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提供普通伤口缝合处理，破碎断裂伤费用双方协商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9F5088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A66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43E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9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DCE55E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2212E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设施设备租赁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7F9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守灵厅</w:t>
            </w:r>
          </w:p>
          <w:p w14:paraId="694A72A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  <w:t>（不含休息室）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6D4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大型（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550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3851">
            <w:pPr>
              <w:widowControl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天（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小时）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E1B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600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D3CADE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高档冷棺、空调通风系统、像架、座椅、饮用水等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191117A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E95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9326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568A21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486FB3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50E6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6B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中型（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2</w:t>
            </w:r>
            <w:r>
              <w:rPr>
                <w:rStyle w:val="17"/>
                <w:rFonts w:hint="eastAsia" w:eastAsia="仿宋_GB2312" w:cs="Times New Roman"/>
                <w:spacing w:val="-20"/>
                <w:highlight w:val="none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8BA8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天（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小时）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B2B4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300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FB520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中档冷棺、空调通风系统、像架、座椅、饮用水等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BC86E23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931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961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79AC606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478E4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8D9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65A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小型（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1</w:t>
            </w:r>
            <w:r>
              <w:rPr>
                <w:rStyle w:val="17"/>
                <w:rFonts w:hint="eastAsia" w:eastAsia="仿宋_GB2312" w:cs="Times New Roman"/>
                <w:spacing w:val="-20"/>
                <w:highlight w:val="none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2164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天（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小时）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58E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200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41589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普通冷棺、空调通风系统、像架、座椅、饮用水等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A5B61BA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F98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75A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10</w:t>
            </w: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59CA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03210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4AE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告别厅</w:t>
            </w:r>
          </w:p>
          <w:p w14:paraId="549DD200">
            <w:pPr>
              <w:pStyle w:val="2"/>
              <w:ind w:left="200" w:hanging="200" w:hangingChars="100"/>
              <w:rPr>
                <w:rFonts w:hint="eastAsia" w:eastAsia="黑体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eastAsia="zh-CN" w:bidi="ar"/>
              </w:rPr>
              <w:t>（不含休息室）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DC0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超大型（700</w:t>
            </w:r>
            <w:r>
              <w:rPr>
                <w:rFonts w:hint="default" w:ascii="Times New Roman" w:hAnsi="Times New Roman" w:eastAsia="Segoe UI Symbol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2D59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元/场（1小时以内）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AB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900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8E20AD">
            <w:pPr>
              <w:widowControl/>
              <w:snapToGrid w:val="0"/>
              <w:jc w:val="left"/>
              <w:textAlignment w:val="center"/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提供豪华冷棺，空调通风系统、像架以及其他仪式所需设备设施等。每场不超过1小时，超时每半小时加收100元，不足半小时按半小时计算。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723AFD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4DC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E58A9DD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5854B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80FB1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D3F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F90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大型</w:t>
            </w:r>
          </w:p>
          <w:p w14:paraId="3338A79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500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553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元/场（1小时以内）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2C73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600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B5B18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高档冷棺、空调通风系统、像架以及其他仪式所需设备设施等。每场不超过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小时，超时每半小时加收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60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元，不足半小时按半小时计算。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B9FFA94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3DF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AF12E6B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664B65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CC9795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5C8E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880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中型</w:t>
            </w:r>
          </w:p>
          <w:p w14:paraId="693CE99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300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E46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元/场</w:t>
            </w:r>
          </w:p>
          <w:p w14:paraId="093266D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（1小时以内）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43C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300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79D2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中档冷棺、空调通风系统、像架以及其他仪式所需设备设施等。每场不超过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小时，超时每半小时加收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30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元，不足半小时按半小时计算。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B5ABACF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6E6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5D7B28B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CD8069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9DB93F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96E4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56B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小型（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200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0F35">
            <w:pPr>
              <w:widowControl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元/场（1小时以内）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527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200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27C6F5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普通冷棺、空调通风系统、像架以及其他仪式所需设备设施等。每场不超过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小时，超时每半小时加收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20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元，不足半小时按半小时计算。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1D241D6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CDA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2EA2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0E720B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A611DF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FA31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852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临时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70FC">
            <w:pPr>
              <w:widowControl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元/场（30分钟以内）</w:t>
            </w:r>
          </w:p>
        </w:tc>
        <w:tc>
          <w:tcPr>
            <w:tcW w:w="11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74B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100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454EE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普通冷棺、空调通风系统、电子显示屏等。每场不超过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30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分钟，超时每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10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分钟加收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20</w:t>
            </w:r>
            <w:r>
              <w:rPr>
                <w:rStyle w:val="18"/>
                <w:rFonts w:hint="default" w:ascii="Times New Roman" w:hAnsi="Times New Roman" w:cs="Times New Roman"/>
                <w:spacing w:val="-20"/>
                <w:highlight w:val="none"/>
                <w:lang w:bidi="ar"/>
              </w:rPr>
              <w:t>元）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BFCB8F5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E4F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5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CF1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11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C1F8B5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4DE752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1D6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 w14:paraId="089D9E93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休息室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DBA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超大（67</w:t>
            </w:r>
            <w:r>
              <w:rPr>
                <w:rFonts w:hint="default" w:ascii="Times New Roman" w:hAnsi="Times New Roman" w:eastAsia="Segoe UI Symbol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73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元/次（2小时以内）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E7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200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F36E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告别休息室</w:t>
            </w: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装修豪华，内设空调、沙发、茶几、绿植、饮水机；超过2小时每半小时加收50元，不足半小时按半小时计算。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E854EA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F59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59" w:type="dxa"/>
            <w:vMerge w:val="continue"/>
            <w:tcBorders>
              <w:top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F4A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24A9D7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15C3D2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C8E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2BB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大（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30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A875">
            <w:pPr>
              <w:widowControl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元/次（2小时以内）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E50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100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434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告别休息室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装潢精致、配有沙发、茶几、绿植等，环境幽雅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>超过2小时每半小时加收25元，不足半小时按半小时计算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0EB31EE7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eastAsia="zh-CN" w:bidi="ar"/>
              </w:rPr>
              <w:t>守灵休息室：配有单人床、床头柜、圆桌、椅子、卫生间、沙发、茶几、饮水机、绿植、挂画等，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"/>
              </w:rPr>
              <w:t>24小时内最高计费300元。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BCDB35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059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B71ED17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D29BB1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6AE9D1A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7A36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D6B0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中（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20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65C">
            <w:pPr>
              <w:widowControl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元/次（2小时以内）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C9C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60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7D7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Style w:val="19"/>
                <w:rFonts w:hint="default" w:ascii="Times New Roman" w:hAnsi="Times New Roman" w:cs="Times New Roman"/>
                <w:spacing w:val="-2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告别休息室</w:t>
            </w: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：</w:t>
            </w:r>
            <w:r>
              <w:rPr>
                <w:rStyle w:val="19"/>
                <w:rFonts w:hint="default" w:ascii="Times New Roman" w:hAnsi="Times New Roman" w:cs="Times New Roman"/>
                <w:spacing w:val="-20"/>
                <w:sz w:val="20"/>
                <w:szCs w:val="20"/>
                <w:highlight w:val="none"/>
                <w:lang w:bidi="ar"/>
              </w:rPr>
              <w:t>装潢简约大气，配有沙发、茶几等，干净舒适</w:t>
            </w:r>
            <w:r>
              <w:rPr>
                <w:rStyle w:val="19"/>
                <w:rFonts w:hint="eastAsia" w:eastAsia="仿宋_GB2312" w:cs="Times New Roman"/>
                <w:spacing w:val="-2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Style w:val="19"/>
                <w:rFonts w:hint="default" w:ascii="Times New Roman" w:hAnsi="Times New Roman" w:cs="Times New Roman"/>
                <w:spacing w:val="-20"/>
                <w:sz w:val="20"/>
                <w:szCs w:val="20"/>
                <w:highlight w:val="none"/>
                <w:lang w:bidi="ar"/>
              </w:rPr>
              <w:t>超过2小时每半小时加收15元，不足半小时按半小时计算。</w:t>
            </w:r>
          </w:p>
          <w:p w14:paraId="519D1EE2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守灵休息室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eastAsia="zh-CN" w:bidi="ar"/>
              </w:rPr>
              <w:t>：配有单人床、床头柜、圆桌、椅子、卫生间、绿植、挂画等，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"/>
              </w:rPr>
              <w:t>24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"/>
              </w:rPr>
              <w:t>小时内最高计费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"/>
              </w:rPr>
              <w:t>200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0"/>
                <w:szCs w:val="20"/>
                <w:highlight w:val="none"/>
                <w:lang w:val="en-US" w:eastAsia="zh-CN" w:bidi="ar"/>
              </w:rPr>
              <w:t>元。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405254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873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258B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3AAE328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D206504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B66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A0D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小（</w:t>
            </w:r>
            <w:r>
              <w:rPr>
                <w:rStyle w:val="17"/>
                <w:rFonts w:hint="default" w:ascii="Times New Roman" w:hAnsi="Times New Roman" w:eastAsia="仿宋_GB2312" w:cs="Times New Roman"/>
                <w:spacing w:val="-20"/>
                <w:highlight w:val="none"/>
                <w:lang w:bidi="ar"/>
              </w:rPr>
              <w:t>10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及以上）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4B5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元/次（2小时以内）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52C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30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387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告别休息室</w:t>
            </w: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宽敞明亮、卫生整洁，配有座椅，使用面积10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以上(含10</w:t>
            </w:r>
            <w:r>
              <w:rPr>
                <w:rFonts w:hint="default" w:ascii="Times New Roman" w:hAnsi="Times New Roman" w:eastAsia="Segoe UI Symbol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)。超过2小时每半小时加收10元，不足半小时按半小时计算。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B43527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F1F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3E9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8938781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369E63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2D0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  <w:r>
              <w:rPr>
                <w:rStyle w:val="18"/>
                <w:rFonts w:hint="default" w:ascii="Times New Roman" w:hAnsi="Times New Roman" w:eastAsia="黑体" w:cs="Times New Roman"/>
                <w:highlight w:val="none"/>
                <w:lang w:bidi="ar"/>
              </w:rPr>
              <w:t>接待室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4D1D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元/次（2小时以内）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9BF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  <w:lang w:bidi="ar"/>
              </w:rPr>
              <w:t>50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65E4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highlight w:val="none"/>
              </w:rPr>
            </w:pPr>
            <w:r>
              <w:rPr>
                <w:rStyle w:val="18"/>
                <w:rFonts w:hint="default" w:ascii="Times New Roman" w:hAnsi="Times New Roman" w:cs="Times New Roman"/>
                <w:highlight w:val="none"/>
                <w:lang w:bidi="ar"/>
              </w:rPr>
              <w:t>提供桌椅、桌牌、路引等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255387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0DB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803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13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C4F64B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DA8ED7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86C7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吊唁室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（探视祭奠费）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D68BE">
            <w:pPr>
              <w:widowControl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>元/场（30分钟以内）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BAC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  <w:lang w:bidi="ar"/>
              </w:rPr>
              <w:t>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58FF02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  <w:lang w:bidi="ar"/>
              </w:rPr>
              <w:t>为选择传统骨灰寄存的遗属提供探视祭祀场地，包含供桌、蒲团（垫子）等。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BCFF2A7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248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5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519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highlight w:val="none"/>
                <w:lang w:bidi="ar"/>
              </w:rPr>
              <w:t>14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5AB9E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28DA5D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遗物处理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271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highlight w:val="none"/>
                <w:lang w:bidi="ar"/>
              </w:rPr>
              <w:t>遗物环保无害化处理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4842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  <w:r>
              <w:rPr>
                <w:rStyle w:val="17"/>
                <w:rFonts w:hint="default" w:ascii="Times New Roman" w:hAnsi="Times New Roman" w:eastAsia="仿宋_GB2312" w:cs="Times New Roman"/>
                <w:highlight w:val="none"/>
                <w:lang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  <w:lang w:bidi="ar"/>
              </w:rPr>
              <w:t>具</w:t>
            </w:r>
            <w:r>
              <w:rPr>
                <w:rStyle w:val="17"/>
                <w:rFonts w:hint="default" w:ascii="Times New Roman" w:hAnsi="Times New Roman" w:eastAsia="仿宋_GB2312" w:cs="Times New Roman"/>
                <w:highlight w:val="none"/>
                <w:lang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  <w:lang w:bidi="ar"/>
              </w:rPr>
              <w:t>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BE4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  <w:lang w:bidi="ar"/>
              </w:rPr>
              <w:t>50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87C4E1F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  <w:lang w:bidi="ar"/>
              </w:rPr>
              <w:t>为遗属无害化处理（粉碎）逝者一般遗物如衣物、相册等。</w:t>
            </w:r>
          </w:p>
        </w:tc>
        <w:tc>
          <w:tcPr>
            <w:tcW w:w="967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21E8A0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0"/>
        <w:tblpPr w:leftFromText="180" w:rightFromText="180" w:vertAnchor="text" w:tblpX="15506" w:tblpY="-198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</w:tblGrid>
      <w:tr w14:paraId="51B1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509" w:type="dxa"/>
          </w:tcPr>
          <w:p w14:paraId="10CFEB3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0776430">
      <w:pPr>
        <w:pStyle w:val="2"/>
        <w:rPr>
          <w:rFonts w:hint="eastAsia"/>
          <w:lang w:val="en-US" w:eastAsia="zh-CN"/>
        </w:rPr>
      </w:pPr>
    </w:p>
    <w:p w14:paraId="15308EC0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sectPr>
      <w:footerReference r:id="rId3" w:type="default"/>
      <w:pgSz w:w="16838" w:h="11906" w:orient="landscape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6579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61466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61466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YzUwZTAxMTA0YzIxOWU3MDk1Nzg2YzQ0YWU4ODMifQ=="/>
  </w:docVars>
  <w:rsids>
    <w:rsidRoot w:val="50CB0843"/>
    <w:rsid w:val="003A0914"/>
    <w:rsid w:val="005714C6"/>
    <w:rsid w:val="02E56701"/>
    <w:rsid w:val="02EE59E6"/>
    <w:rsid w:val="04FC43CE"/>
    <w:rsid w:val="06AF7093"/>
    <w:rsid w:val="07BC1056"/>
    <w:rsid w:val="07C44448"/>
    <w:rsid w:val="0810758D"/>
    <w:rsid w:val="095726A9"/>
    <w:rsid w:val="0A0F2E11"/>
    <w:rsid w:val="0A397E8E"/>
    <w:rsid w:val="0A8D35B4"/>
    <w:rsid w:val="0B582596"/>
    <w:rsid w:val="0B734FD4"/>
    <w:rsid w:val="0C5C6520"/>
    <w:rsid w:val="11026D28"/>
    <w:rsid w:val="11A007F3"/>
    <w:rsid w:val="16CA07EC"/>
    <w:rsid w:val="18B8291A"/>
    <w:rsid w:val="1B7E5E7D"/>
    <w:rsid w:val="1B9F3557"/>
    <w:rsid w:val="1BF6798D"/>
    <w:rsid w:val="1D0C49D1"/>
    <w:rsid w:val="1ECF623B"/>
    <w:rsid w:val="209218EC"/>
    <w:rsid w:val="227D2BB6"/>
    <w:rsid w:val="22CD23BA"/>
    <w:rsid w:val="23AE4B4B"/>
    <w:rsid w:val="23D04F68"/>
    <w:rsid w:val="2787583D"/>
    <w:rsid w:val="2B3C27F2"/>
    <w:rsid w:val="2BC30788"/>
    <w:rsid w:val="2BED3D37"/>
    <w:rsid w:val="2CF11BBB"/>
    <w:rsid w:val="2D0F6705"/>
    <w:rsid w:val="2D1774ED"/>
    <w:rsid w:val="2EB92968"/>
    <w:rsid w:val="2F8B6C08"/>
    <w:rsid w:val="319C0C6E"/>
    <w:rsid w:val="34630D13"/>
    <w:rsid w:val="376260EA"/>
    <w:rsid w:val="37857FAA"/>
    <w:rsid w:val="37EF5AC4"/>
    <w:rsid w:val="3845787B"/>
    <w:rsid w:val="38A92B70"/>
    <w:rsid w:val="38F74141"/>
    <w:rsid w:val="39A0637B"/>
    <w:rsid w:val="3F3C28F6"/>
    <w:rsid w:val="403F72A5"/>
    <w:rsid w:val="415B3C6B"/>
    <w:rsid w:val="45F30AEE"/>
    <w:rsid w:val="46B806A4"/>
    <w:rsid w:val="46F32CA2"/>
    <w:rsid w:val="484625FF"/>
    <w:rsid w:val="48B94B58"/>
    <w:rsid w:val="4BD25472"/>
    <w:rsid w:val="4CF53C44"/>
    <w:rsid w:val="50CB0843"/>
    <w:rsid w:val="533E549E"/>
    <w:rsid w:val="55B5115A"/>
    <w:rsid w:val="569F0646"/>
    <w:rsid w:val="594C23E9"/>
    <w:rsid w:val="59590F80"/>
    <w:rsid w:val="5CF36353"/>
    <w:rsid w:val="5D377A2B"/>
    <w:rsid w:val="60141D2A"/>
    <w:rsid w:val="611B2150"/>
    <w:rsid w:val="61A46B11"/>
    <w:rsid w:val="62001FDA"/>
    <w:rsid w:val="62862EBF"/>
    <w:rsid w:val="62AD4DB7"/>
    <w:rsid w:val="64990483"/>
    <w:rsid w:val="65DD5A37"/>
    <w:rsid w:val="661C528B"/>
    <w:rsid w:val="67013264"/>
    <w:rsid w:val="6C753B7E"/>
    <w:rsid w:val="6E277B0B"/>
    <w:rsid w:val="6EDE196B"/>
    <w:rsid w:val="70262366"/>
    <w:rsid w:val="72C2127C"/>
    <w:rsid w:val="744C5512"/>
    <w:rsid w:val="7524018E"/>
    <w:rsid w:val="75E24EF8"/>
    <w:rsid w:val="779B4756"/>
    <w:rsid w:val="77C54196"/>
    <w:rsid w:val="790243F1"/>
    <w:rsid w:val="790E7239"/>
    <w:rsid w:val="79A16564"/>
    <w:rsid w:val="7B1D0AA5"/>
    <w:rsid w:val="7BA07CCA"/>
    <w:rsid w:val="7C1C04BF"/>
    <w:rsid w:val="7CF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spacing w:line="360" w:lineRule="auto"/>
      <w:ind w:firstLine="200" w:firstLineChars="200"/>
    </w:pPr>
    <w:rPr>
      <w:rFonts w:eastAsia="楷体_GB2312"/>
      <w:b/>
      <w:sz w:val="24"/>
      <w:szCs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 w:eastAsia="宋体" w:cs="Times New Roman"/>
      <w:szCs w:val="24"/>
    </w:rPr>
  </w:style>
  <w:style w:type="paragraph" w:styleId="5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next w:val="1"/>
    <w:unhideWhenUsed/>
    <w:qFormat/>
    <w:uiPriority w:val="99"/>
    <w:pPr>
      <w:spacing w:after="120" w:line="240" w:lineRule="auto"/>
      <w:ind w:left="420" w:leftChars="200" w:firstLine="420"/>
    </w:pPr>
    <w:rPr>
      <w:rFonts w:eastAsia="宋体"/>
      <w:b w:val="0"/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3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2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9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7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3454</Words>
  <Characters>3616</Characters>
  <Lines>0</Lines>
  <Paragraphs>0</Paragraphs>
  <TotalTime>25</TotalTime>
  <ScaleCrop>false</ScaleCrop>
  <LinksUpToDate>false</LinksUpToDate>
  <CharactersWithSpaces>3672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2023-02-28T17:49:00Z</dcterms:created>
  <dc:creator>Administrator</dc:creator>
  <cp:lastModifiedBy>Administrator</cp:lastModifiedBy>
  <cp:lastPrinted>2024-11-01T18:20:00Z</cp:lastPrinted>
  <dcterms:modified xsi:type="dcterms:W3CDTF">2024-12-04T07:24:55Z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961D9715A6DA4322A0E403B2137295A7_13</vt:lpwstr>
  </property>
</Properties>
</file>