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黑体" w:cs="Times New Roman"/>
          <w:sz w:val="32"/>
          <w:szCs w:val="32"/>
        </w:rPr>
      </w:pPr>
      <w:bookmarkStart w:id="0" w:name="_Hlk76057740"/>
      <w:bookmarkEnd w:id="0"/>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after="313" w:afterLines="100" w:line="580" w:lineRule="exact"/>
        <w:ind w:firstLine="0"/>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建设单位信用信息计分标准</w:t>
      </w:r>
    </w:p>
    <w:tbl>
      <w:tblPr>
        <w:tblStyle w:val="13"/>
        <w:tblW w:w="8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231"/>
        <w:gridCol w:w="3421"/>
        <w:gridCol w:w="1418"/>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8590" w:type="dxa"/>
            <w:gridSpan w:val="5"/>
            <w:vAlign w:val="center"/>
          </w:tcPr>
          <w:p>
            <w:pPr>
              <w:widowControl/>
              <w:spacing w:line="36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一、良好信用信息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序号</w:t>
            </w:r>
          </w:p>
        </w:tc>
        <w:tc>
          <w:tcPr>
            <w:tcW w:w="123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信用信息</w:t>
            </w:r>
          </w:p>
        </w:tc>
        <w:tc>
          <w:tcPr>
            <w:tcW w:w="342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计分规则</w:t>
            </w:r>
          </w:p>
        </w:tc>
        <w:tc>
          <w:tcPr>
            <w:tcW w:w="1418"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认定依据</w:t>
            </w:r>
          </w:p>
        </w:tc>
        <w:tc>
          <w:tcPr>
            <w:tcW w:w="1819"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表扬表彰信息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（15分）</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单位获得省级政府（包括省政府派出机构）或国家部委认定优质精品工程、优秀（杰出）企业、优秀（杰出）班组、政府质量奖等表扬（表彰）奖励的，每项得2分；建设单位承建建设工程取得国家层面建设成绩（须有具体事由），或起到良好带动或观摩效应，受到省级政府（包括省政府派出机构）或国家部委书面表扬的，每项得1分。最高得分为15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以发布的正式文件或证明材料为准。省级政府（包括省政府派出机构）或国家部委可委托主管部门实施。</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以有关证书或文件发布日期为生效日期。</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701" w:type="dxa"/>
            <w:vAlign w:val="center"/>
          </w:tcPr>
          <w:p>
            <w:pPr>
              <w:widowControl/>
              <w:spacing w:line="280" w:lineRule="exact"/>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2</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高质量</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（5分）</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在推动地区经济社会高质量发展或符合地区产业规划的高端高新产业发展方面贡献突出（须有具体事由），被省级政府（包括省政府派出机构）或国家部委通报表扬的，每项得5分。最高得分为5分。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以发布的正式文件或证明材料为准。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以表彰奖励文件日期为生效日期。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90" w:type="dxa"/>
            <w:gridSpan w:val="5"/>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二、不良信用信息（同一行为适用以下多种情形的，按照扣分较高的情形认定，不累计扣分）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违规开工信息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建设单位未办理施工许可手续（施工意见登记函、施工许可证、施工准备函或开工报告）或工程质量安全监督手续，擅自开工建设的，每起扣3分。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工期管理不力信息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建设单位违反《雄安新区建设工程建设单位质量安全首要责任管理办法》等政策文件要求，设置不合理</w:t>
            </w:r>
            <w:r>
              <w:rPr>
                <w:rFonts w:hint="default" w:ascii="Times New Roman" w:hAnsi="Times New Roman" w:eastAsia="仿宋_GB2312" w:cs="Times New Roman"/>
                <w:spacing w:val="-6"/>
                <w:kern w:val="0"/>
                <w:sz w:val="21"/>
                <w:szCs w:val="21"/>
              </w:rPr>
              <w:t>工期或任意压缩工期的，每起扣1分。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701" w:type="dxa"/>
            <w:vAlign w:val="center"/>
          </w:tcPr>
          <w:p>
            <w:pPr>
              <w:widowControl/>
              <w:spacing w:line="280" w:lineRule="exact"/>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5</w:t>
            </w:r>
          </w:p>
        </w:tc>
        <w:tc>
          <w:tcPr>
            <w:tcW w:w="123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违反强制性标准</w:t>
            </w:r>
          </w:p>
          <w:p>
            <w:pPr>
              <w:widowControl/>
              <w:spacing w:line="280" w:lineRule="exact"/>
              <w:jc w:val="center"/>
              <w:rPr>
                <w:rFonts w:hint="default" w:ascii="Times New Roman" w:hAnsi="Times New Roman" w:eastAsia="黑体" w:cs="Times New Roman"/>
                <w:kern w:val="0"/>
                <w:szCs w:val="21"/>
              </w:rPr>
            </w:pPr>
            <w:r>
              <w:rPr>
                <w:rFonts w:hint="default" w:ascii="Times New Roman" w:hAnsi="Times New Roman" w:eastAsia="仿宋_GB2312" w:cs="Times New Roman"/>
                <w:kern w:val="0"/>
                <w:szCs w:val="21"/>
              </w:rPr>
              <w:t>信息</w:t>
            </w:r>
          </w:p>
        </w:tc>
        <w:tc>
          <w:tcPr>
            <w:tcW w:w="3421" w:type="dxa"/>
            <w:vAlign w:val="center"/>
          </w:tcPr>
          <w:p>
            <w:pPr>
              <w:widowControl/>
              <w:spacing w:line="280" w:lineRule="exact"/>
              <w:jc w:val="left"/>
              <w:rPr>
                <w:rFonts w:hint="default" w:ascii="Times New Roman" w:hAnsi="Times New Roman" w:eastAsia="黑体" w:cs="Times New Roman"/>
                <w:kern w:val="0"/>
                <w:szCs w:val="21"/>
              </w:rPr>
            </w:pPr>
            <w:r>
              <w:rPr>
                <w:rFonts w:hint="default" w:ascii="Times New Roman" w:hAnsi="Times New Roman" w:eastAsia="仿宋_GB2312" w:cs="Times New Roman"/>
                <w:kern w:val="0"/>
                <w:szCs w:val="21"/>
              </w:rPr>
              <w:t>建设工程勘察文件、设计图纸或建设责任主体在施工阶段存在违反工程强制性标准问题，降低工程质量的，且建设单位未按要求履行质量安全首要责任的，每起扣1分。</w:t>
            </w:r>
          </w:p>
        </w:tc>
        <w:tc>
          <w:tcPr>
            <w:tcW w:w="1418" w:type="dxa"/>
            <w:vAlign w:val="center"/>
          </w:tcPr>
          <w:p>
            <w:pPr>
              <w:widowControl/>
              <w:spacing w:line="280" w:lineRule="exact"/>
              <w:rPr>
                <w:rFonts w:hint="default" w:ascii="Times New Roman" w:hAnsi="Times New Roman" w:eastAsia="黑体"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819" w:type="dxa"/>
            <w:vAlign w:val="center"/>
          </w:tcPr>
          <w:p>
            <w:pPr>
              <w:widowControl/>
              <w:spacing w:line="280" w:lineRule="exact"/>
              <w:jc w:val="left"/>
              <w:rPr>
                <w:rFonts w:hint="default" w:ascii="Times New Roman" w:hAnsi="Times New Roman" w:eastAsia="黑体"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序号</w:t>
            </w:r>
          </w:p>
        </w:tc>
        <w:tc>
          <w:tcPr>
            <w:tcW w:w="123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信用信息</w:t>
            </w:r>
          </w:p>
        </w:tc>
        <w:tc>
          <w:tcPr>
            <w:tcW w:w="342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计分规则</w:t>
            </w:r>
          </w:p>
        </w:tc>
        <w:tc>
          <w:tcPr>
            <w:tcW w:w="1418"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认定依据</w:t>
            </w:r>
          </w:p>
        </w:tc>
        <w:tc>
          <w:tcPr>
            <w:tcW w:w="1819"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党委政府部门反馈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负面信息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在质量安全监管、建设管理、审计、纪律监督等方面监管活动中，被新区及省级党委政府有关部门（单位）反馈负面信息且建设单位负有责任的，每起扣1分；被党中央国务院有关主管部门或省委省政府书面反馈负面信息且建设单位负有责任的，每起扣3分；涉及行贿、受贿等违反廉政纪律的，每起扣10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以行政处罚移交文件印发日期为生效时间。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建设工程移交行政</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处罚信息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建设工程涉嫌违法违规行为被依法移送行政处罚的，且建设单位未按要求履行质量安全首要责任的，每起扣2分；涉嫌违法发包、违法转包、挂靠、串标被移交行政处罚的，每起扣3分。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以行政处罚移交凭证为准。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以行政处罚移交文件印发日期为生效时间。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质量或安全生产事故（事件）信息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1.建设项目发生建设工程质量或安全生产事故且建设单位负有责任的，一律扣50分处理；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建设工程发生影响重大的质量或安全事件，建设单位负有责任的，每起扣5分；在省级及以上层面产生影响恶劣的质量或安全事件，建设单位负有责任的，每起扣10分；经有管辖权的政府认定属于情节特别恶劣的，每起扣50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70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擅自变更项目经理或监理工程师信息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施工单位擅自更换中标项目经理或监理单位擅自变更总监理工程师的，建设单位不按要求向建设主管部门书面报告即擅自变更或实质更换项目经理或总监理工程师的，每起扣2分。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70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违规使用不合格材料或设备信息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建设工程使用不合格的建筑材料、构配件或设备，且建设单位已书面同意使用的，每起扣1分。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70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擅自变动工程主体和承重结构信息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涉及建筑主体或承重结构变动的工程，没有设计方案擅自组织施工；或擅自变动建设工程主体承重结构的，每起扣2分。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w:t>
            </w:r>
          </w:p>
        </w:tc>
        <w:tc>
          <w:tcPr>
            <w:tcW w:w="123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竣工验收不规范</w:t>
            </w:r>
          </w:p>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w:t>
            </w:r>
          </w:p>
        </w:tc>
        <w:tc>
          <w:tcPr>
            <w:tcW w:w="3421" w:type="dxa"/>
            <w:vAlign w:val="center"/>
          </w:tcPr>
          <w:p>
            <w:pPr>
              <w:widowControl/>
              <w:spacing w:line="280" w:lineRule="exact"/>
              <w:rPr>
                <w:rFonts w:hint="default" w:ascii="Times New Roman" w:hAnsi="Times New Roman" w:cs="Times New Roman"/>
              </w:rPr>
            </w:pPr>
            <w:r>
              <w:rPr>
                <w:rFonts w:hint="default" w:ascii="Times New Roman" w:hAnsi="Times New Roman" w:eastAsia="仿宋_GB2312" w:cs="Times New Roman"/>
                <w:kern w:val="0"/>
                <w:szCs w:val="21"/>
              </w:rPr>
              <w:t>工程未组织竣工验收擅自交付使用，或将验收不合格的工程擅自交付使用，或将不合格工程按照合格验收的，或采取信用承诺制度验收后又未按期办结的，每起扣2分。</w:t>
            </w:r>
          </w:p>
        </w:tc>
        <w:tc>
          <w:tcPr>
            <w:tcW w:w="1418"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819"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序号</w:t>
            </w:r>
          </w:p>
        </w:tc>
        <w:tc>
          <w:tcPr>
            <w:tcW w:w="123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信用信息</w:t>
            </w:r>
          </w:p>
        </w:tc>
        <w:tc>
          <w:tcPr>
            <w:tcW w:w="342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计分规则</w:t>
            </w:r>
          </w:p>
        </w:tc>
        <w:tc>
          <w:tcPr>
            <w:tcW w:w="1418"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认定依据</w:t>
            </w:r>
          </w:p>
        </w:tc>
        <w:tc>
          <w:tcPr>
            <w:tcW w:w="1819"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13</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质量保修不力信息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承建的建设工程交付使用后，存在工程质量问题受到投诉且施工单位不履行保修义务的，每起扣0.5分。经建设主管部门核实，存在严重工程质量问题的，每起扣3分；存在严重不履行质量保修义务行为的，每起扣5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以行政主管部门通报文件或认定事实为准。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以事件发生日期或行政主管部门通报文件印发日期为生效日期。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未按要求移交工程项目档案信息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建设工程竣工验收后，建设单位未按要求移交工程项目档案的，每起扣1分。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安全生产风险隐患排查治理信息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1.执法检查发现建设工程存在安全生产重大隐患且建设单位未履行管理责任的，每起扣1分；</w:t>
            </w: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2.未按照规定开展企业安全生产标准化建设的或在规定期限内未达到安全生产标准化要求的；或未建立隐患排查治理制度，不如实记录和上报隐患排查情况，期限内未完成治理整改的，每起扣0.5分。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以有关主管部门限期整改文书或核查意见为准。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以挂牌督办单、限期整改文书或核查意见发布日期为生效日期。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拖欠农民工工资或工程款</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工程存在拖欠建设工人工资引发严重负面舆情或造成严重负面影响的，且建设单位拨付工程款不及时的，每起扣3分；建设工程不按照合同约定及时足额支付工程款、材料款或机械款，受到利害相对人投诉，经政府主管部门核查属实且建设单位未按照要求拨付工程款的，每起扣1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17</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破坏生态环境信息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建设工程未按照规定采取扬尘污染防控措施且未按期整改到位的，每起扣0.2分；随意倾倒建筑垃圾或其他造成环境破坏的，每起扣1分。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以行政主管部门通报文件或认定事实为准。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以事件发生日期或行政主管部门通报文件印发日期为生效日期。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18</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工程抗震不规范</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建设单位违反《建设工程抗震管理条例》有关要求或建设工程违反抗震强制性标准的，每起扣1分。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以行政主管部门通报文件或认定事实为准。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以事件发生日期或行政主管部门通报文件印发日期为生效日期。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19</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问题整改不力信息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对于建设工程管理问题，建设单位未按照要求组织限期整改到位，每起扣1分。（对于已进行信用扣分的事项，予以加扣处理。）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以建设主管部门通报文件或认定事实为准。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以建设主管部门通报文件或认定事实为生效日期。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w:t>
            </w:r>
          </w:p>
        </w:tc>
        <w:tc>
          <w:tcPr>
            <w:tcW w:w="1231" w:type="dxa"/>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诚信申报信息</w:t>
            </w:r>
          </w:p>
        </w:tc>
        <w:tc>
          <w:tcPr>
            <w:tcW w:w="3421"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在建设单位信用评价过程中弄虚作假、提报虚假材料、刻意虚报漏报的，每起扣2分。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以相关主管部门认定事实或通报文件为准。</w:t>
            </w:r>
          </w:p>
        </w:tc>
        <w:tc>
          <w:tcPr>
            <w:tcW w:w="1819" w:type="dxa"/>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以主管部门认定事实发生日期或通报文件印发日期为生效日期。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90" w:type="dxa"/>
            <w:gridSpan w:val="5"/>
            <w:vAlign w:val="center"/>
          </w:tcPr>
          <w:p>
            <w:pPr>
              <w:widowControl/>
              <w:spacing w:line="360" w:lineRule="exact"/>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三、</w:t>
            </w:r>
            <w:r>
              <w:rPr>
                <w:rFonts w:hint="eastAsia" w:ascii="Times New Roman" w:hAnsi="Times New Roman" w:eastAsia="黑体" w:cs="Times New Roman"/>
                <w:kern w:val="0"/>
                <w:szCs w:val="21"/>
              </w:rPr>
              <w:t>“</w:t>
            </w:r>
            <w:r>
              <w:rPr>
                <w:rFonts w:hint="default" w:ascii="Times New Roman" w:hAnsi="Times New Roman" w:eastAsia="黑体" w:cs="Times New Roman"/>
                <w:kern w:val="0"/>
                <w:szCs w:val="21"/>
              </w:rPr>
              <w:t>严重失信名单</w:t>
            </w:r>
            <w:r>
              <w:rPr>
                <w:rFonts w:hint="eastAsia" w:ascii="Times New Roman" w:hAnsi="Times New Roman" w:eastAsia="黑体" w:cs="Times New Roman"/>
                <w:kern w:val="0"/>
                <w:szCs w:val="21"/>
              </w:rPr>
              <w:t>”</w:t>
            </w:r>
            <w:r>
              <w:rPr>
                <w:rFonts w:hint="default" w:ascii="Times New Roman" w:hAnsi="Times New Roman" w:eastAsia="黑体" w:cs="Times New Roman"/>
                <w:kern w:val="0"/>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01"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21</w:t>
            </w:r>
          </w:p>
        </w:tc>
        <w:tc>
          <w:tcPr>
            <w:tcW w:w="1231" w:type="dxa"/>
            <w:vAlign w:val="center"/>
          </w:tcPr>
          <w:p>
            <w:pPr>
              <w:widowControl/>
              <w:spacing w:line="280" w:lineRule="exact"/>
              <w:jc w:val="left"/>
              <w:rPr>
                <w:rFonts w:hint="default" w:ascii="Times New Roman" w:hAnsi="Times New Roman" w:eastAsia="仿宋_GB2312" w:cs="Times New Roman"/>
                <w:kern w:val="0"/>
                <w:szCs w:val="21"/>
              </w:rPr>
            </w:pPr>
            <w:r>
              <w:rPr>
                <w:rFonts w:hint="eastAsia" w:ascii="Times New Roman" w:hAnsi="Times New Roman" w:eastAsia="仿宋_GB2312" w:cs="Times New Roman"/>
                <w:spacing w:val="-6"/>
                <w:kern w:val="0"/>
                <w:sz w:val="21"/>
                <w:szCs w:val="21"/>
              </w:rPr>
              <w:t>“</w:t>
            </w:r>
            <w:r>
              <w:rPr>
                <w:rFonts w:hint="default" w:ascii="Times New Roman" w:hAnsi="Times New Roman" w:eastAsia="仿宋_GB2312" w:cs="Times New Roman"/>
                <w:spacing w:val="-6"/>
                <w:kern w:val="0"/>
                <w:sz w:val="21"/>
                <w:szCs w:val="21"/>
              </w:rPr>
              <w:t>严重失信名单</w:t>
            </w:r>
            <w:r>
              <w:rPr>
                <w:rFonts w:hint="eastAsia" w:ascii="Times New Roman" w:hAnsi="Times New Roman" w:eastAsia="仿宋_GB2312" w:cs="Times New Roman"/>
                <w:spacing w:val="-6"/>
                <w:kern w:val="0"/>
                <w:sz w:val="21"/>
                <w:szCs w:val="21"/>
              </w:rPr>
              <w:t>”</w:t>
            </w:r>
            <w:r>
              <w:rPr>
                <w:rFonts w:hint="default" w:ascii="Times New Roman" w:hAnsi="Times New Roman" w:eastAsia="仿宋_GB2312" w:cs="Times New Roman"/>
                <w:spacing w:val="-6"/>
                <w:kern w:val="0"/>
                <w:sz w:val="21"/>
                <w:szCs w:val="21"/>
              </w:rPr>
              <w:t>信息</w:t>
            </w:r>
          </w:p>
        </w:tc>
        <w:tc>
          <w:tcPr>
            <w:tcW w:w="3421"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建设单位违法违规行为按规定被纳入</w:t>
            </w:r>
            <w:r>
              <w:rPr>
                <w:rFonts w:hint="eastAsia" w:ascii="Times New Roman" w:hAnsi="Times New Roman" w:eastAsia="仿宋_GB2312" w:cs="Times New Roman"/>
                <w:kern w:val="0"/>
                <w:szCs w:val="21"/>
              </w:rPr>
              <w:t>“</w:t>
            </w:r>
            <w:r>
              <w:rPr>
                <w:rFonts w:hint="default" w:ascii="Times New Roman" w:hAnsi="Times New Roman" w:eastAsia="仿宋_GB2312" w:cs="Times New Roman"/>
                <w:kern w:val="0"/>
                <w:szCs w:val="21"/>
              </w:rPr>
              <w:t>严重失信名单</w:t>
            </w:r>
            <w:r>
              <w:rPr>
                <w:rFonts w:hint="eastAsia" w:ascii="Times New Roman" w:hAnsi="Times New Roman" w:eastAsia="仿宋_GB2312" w:cs="Times New Roman"/>
                <w:kern w:val="0"/>
                <w:szCs w:val="21"/>
              </w:rPr>
              <w:t>”</w:t>
            </w:r>
            <w:r>
              <w:rPr>
                <w:rFonts w:hint="default" w:ascii="Times New Roman" w:hAnsi="Times New Roman" w:eastAsia="仿宋_GB2312" w:cs="Times New Roman"/>
                <w:kern w:val="0"/>
                <w:szCs w:val="21"/>
              </w:rPr>
              <w:t>的，每起扣20分。</w:t>
            </w:r>
          </w:p>
        </w:tc>
        <w:tc>
          <w:tcPr>
            <w:tcW w:w="1418"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以行政处罚文书或违法违规认定事实为准。</w:t>
            </w:r>
          </w:p>
        </w:tc>
        <w:tc>
          <w:tcPr>
            <w:tcW w:w="1819"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以行政处罚文书下发时间或违法违规事实认定时间为生效日期。</w:t>
            </w:r>
          </w:p>
        </w:tc>
      </w:tr>
    </w:tbl>
    <w:p>
      <w:pPr>
        <w:keepNext w:val="0"/>
        <w:keepLines w:val="0"/>
        <w:pageBreakBefore w:val="0"/>
        <w:widowControl/>
        <w:pBdr>
          <w:top w:val="none" w:sz="0" w:space="0"/>
          <w:left w:val="none" w:sz="0" w:space="0"/>
          <w:bottom w:val="none" w:sz="0" w:space="0"/>
          <w:right w:val="none" w:sz="0" w:space="0"/>
        </w:pBd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cs="Times New Roman"/>
        </w:rPr>
      </w:pPr>
      <w:bookmarkStart w:id="1" w:name="_GoBack"/>
      <w:bookmarkEnd w:id="1"/>
    </w:p>
    <w:sectPr>
      <w:headerReference r:id="rId3" w:type="default"/>
      <w:footerReference r:id="rId4" w:type="default"/>
      <w:pgSz w:w="11906" w:h="16838"/>
      <w:pgMar w:top="2098" w:right="1474" w:bottom="1701" w:left="1587" w:header="851"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decorative"/>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7386D"/>
    <w:multiLevelType w:val="multilevel"/>
    <w:tmpl w:val="3F47386D"/>
    <w:lvl w:ilvl="0" w:tentative="0">
      <w:start w:val="1"/>
      <w:numFmt w:val="japaneseCounting"/>
      <w:pStyle w:val="16"/>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kODA0M2I1NzVkNGEyYTBkZmJlOWFiMzE1MWRhZjYifQ=="/>
    <w:docVar w:name="KSO_WPS_MARK_KEY" w:val="41b26959-9119-4453-988f-c4286a0dc7bf"/>
  </w:docVars>
  <w:rsids>
    <w:rsidRoot w:val="00CE3D81"/>
    <w:rsid w:val="00036E3C"/>
    <w:rsid w:val="00040D3D"/>
    <w:rsid w:val="00072C80"/>
    <w:rsid w:val="00085004"/>
    <w:rsid w:val="0008587C"/>
    <w:rsid w:val="000A67A4"/>
    <w:rsid w:val="000B309F"/>
    <w:rsid w:val="000B5CE2"/>
    <w:rsid w:val="000D2E5B"/>
    <w:rsid w:val="000E7E41"/>
    <w:rsid w:val="000F130E"/>
    <w:rsid w:val="000F1A7D"/>
    <w:rsid w:val="00102765"/>
    <w:rsid w:val="00122A85"/>
    <w:rsid w:val="001262FA"/>
    <w:rsid w:val="001542DC"/>
    <w:rsid w:val="00156B51"/>
    <w:rsid w:val="00160412"/>
    <w:rsid w:val="001673BA"/>
    <w:rsid w:val="001731DD"/>
    <w:rsid w:val="001828C3"/>
    <w:rsid w:val="00194E89"/>
    <w:rsid w:val="001A17A9"/>
    <w:rsid w:val="001A32DF"/>
    <w:rsid w:val="001A3E25"/>
    <w:rsid w:val="001A69E5"/>
    <w:rsid w:val="001E652E"/>
    <w:rsid w:val="001F7C6D"/>
    <w:rsid w:val="0020374A"/>
    <w:rsid w:val="00210200"/>
    <w:rsid w:val="002242F4"/>
    <w:rsid w:val="00233587"/>
    <w:rsid w:val="00234ACF"/>
    <w:rsid w:val="002419F5"/>
    <w:rsid w:val="00247854"/>
    <w:rsid w:val="002521CD"/>
    <w:rsid w:val="0028745C"/>
    <w:rsid w:val="002978D2"/>
    <w:rsid w:val="002A0F76"/>
    <w:rsid w:val="002A5C1A"/>
    <w:rsid w:val="002B5BCD"/>
    <w:rsid w:val="0030326C"/>
    <w:rsid w:val="00304658"/>
    <w:rsid w:val="003114D8"/>
    <w:rsid w:val="0035469E"/>
    <w:rsid w:val="00355E86"/>
    <w:rsid w:val="003656D9"/>
    <w:rsid w:val="00391C53"/>
    <w:rsid w:val="003D27B7"/>
    <w:rsid w:val="003D7058"/>
    <w:rsid w:val="003D7902"/>
    <w:rsid w:val="003E1BF5"/>
    <w:rsid w:val="003E212F"/>
    <w:rsid w:val="003E22CE"/>
    <w:rsid w:val="004054CD"/>
    <w:rsid w:val="0045398B"/>
    <w:rsid w:val="004624BC"/>
    <w:rsid w:val="00470E0C"/>
    <w:rsid w:val="00471C69"/>
    <w:rsid w:val="004836A3"/>
    <w:rsid w:val="00493E29"/>
    <w:rsid w:val="004C2FEF"/>
    <w:rsid w:val="004C4F36"/>
    <w:rsid w:val="004D3728"/>
    <w:rsid w:val="004E0905"/>
    <w:rsid w:val="004F0FE1"/>
    <w:rsid w:val="004F7FF8"/>
    <w:rsid w:val="00524D80"/>
    <w:rsid w:val="00525233"/>
    <w:rsid w:val="00563ECA"/>
    <w:rsid w:val="00575188"/>
    <w:rsid w:val="005809A8"/>
    <w:rsid w:val="00581304"/>
    <w:rsid w:val="0058742D"/>
    <w:rsid w:val="00594F63"/>
    <w:rsid w:val="005A0E66"/>
    <w:rsid w:val="005B405E"/>
    <w:rsid w:val="005C3D2F"/>
    <w:rsid w:val="005D14C5"/>
    <w:rsid w:val="005D177C"/>
    <w:rsid w:val="00640C30"/>
    <w:rsid w:val="006579B3"/>
    <w:rsid w:val="00672166"/>
    <w:rsid w:val="006829AF"/>
    <w:rsid w:val="006A06A5"/>
    <w:rsid w:val="006B1279"/>
    <w:rsid w:val="006E16E3"/>
    <w:rsid w:val="006E4DE0"/>
    <w:rsid w:val="006F7F6F"/>
    <w:rsid w:val="00717C82"/>
    <w:rsid w:val="0072577D"/>
    <w:rsid w:val="007264AF"/>
    <w:rsid w:val="00731473"/>
    <w:rsid w:val="0078018A"/>
    <w:rsid w:val="0078075A"/>
    <w:rsid w:val="007B0A06"/>
    <w:rsid w:val="007C01D1"/>
    <w:rsid w:val="007C52EE"/>
    <w:rsid w:val="007E4BE3"/>
    <w:rsid w:val="008014B5"/>
    <w:rsid w:val="00810113"/>
    <w:rsid w:val="0081589B"/>
    <w:rsid w:val="00830514"/>
    <w:rsid w:val="00844948"/>
    <w:rsid w:val="0084590C"/>
    <w:rsid w:val="008460B6"/>
    <w:rsid w:val="00867F8C"/>
    <w:rsid w:val="00877049"/>
    <w:rsid w:val="008A255B"/>
    <w:rsid w:val="008A2A6C"/>
    <w:rsid w:val="008C330C"/>
    <w:rsid w:val="008C655C"/>
    <w:rsid w:val="008E4830"/>
    <w:rsid w:val="008F3515"/>
    <w:rsid w:val="00923019"/>
    <w:rsid w:val="00930DD8"/>
    <w:rsid w:val="0095482D"/>
    <w:rsid w:val="009548D5"/>
    <w:rsid w:val="00965BF6"/>
    <w:rsid w:val="00990D29"/>
    <w:rsid w:val="00995EE7"/>
    <w:rsid w:val="009B528F"/>
    <w:rsid w:val="009B52E4"/>
    <w:rsid w:val="00A032A6"/>
    <w:rsid w:val="00A06168"/>
    <w:rsid w:val="00A10423"/>
    <w:rsid w:val="00A30EDF"/>
    <w:rsid w:val="00A325C5"/>
    <w:rsid w:val="00A460EF"/>
    <w:rsid w:val="00A53CD6"/>
    <w:rsid w:val="00A578F4"/>
    <w:rsid w:val="00A62AAC"/>
    <w:rsid w:val="00A64B9F"/>
    <w:rsid w:val="00A71185"/>
    <w:rsid w:val="00A72B20"/>
    <w:rsid w:val="00AA47D3"/>
    <w:rsid w:val="00AB1676"/>
    <w:rsid w:val="00AB493A"/>
    <w:rsid w:val="00AE05BF"/>
    <w:rsid w:val="00AF6D08"/>
    <w:rsid w:val="00B06A01"/>
    <w:rsid w:val="00B233E3"/>
    <w:rsid w:val="00B23761"/>
    <w:rsid w:val="00B37ED4"/>
    <w:rsid w:val="00B51F0E"/>
    <w:rsid w:val="00B60214"/>
    <w:rsid w:val="00B9303B"/>
    <w:rsid w:val="00BC23B1"/>
    <w:rsid w:val="00BC49F5"/>
    <w:rsid w:val="00BC55B2"/>
    <w:rsid w:val="00BC7883"/>
    <w:rsid w:val="00BD1580"/>
    <w:rsid w:val="00BE1E60"/>
    <w:rsid w:val="00BF0D1E"/>
    <w:rsid w:val="00C236DC"/>
    <w:rsid w:val="00C328F5"/>
    <w:rsid w:val="00C42FFC"/>
    <w:rsid w:val="00C476CA"/>
    <w:rsid w:val="00C550EC"/>
    <w:rsid w:val="00C60AD3"/>
    <w:rsid w:val="00C66A49"/>
    <w:rsid w:val="00C77B77"/>
    <w:rsid w:val="00C9344C"/>
    <w:rsid w:val="00C937DB"/>
    <w:rsid w:val="00C94596"/>
    <w:rsid w:val="00CA1F2D"/>
    <w:rsid w:val="00CC3149"/>
    <w:rsid w:val="00CD0AAA"/>
    <w:rsid w:val="00CD5CBB"/>
    <w:rsid w:val="00CE3D81"/>
    <w:rsid w:val="00CE55AB"/>
    <w:rsid w:val="00CE71A0"/>
    <w:rsid w:val="00CF0910"/>
    <w:rsid w:val="00D1646B"/>
    <w:rsid w:val="00D27D5F"/>
    <w:rsid w:val="00D4442D"/>
    <w:rsid w:val="00D44CCE"/>
    <w:rsid w:val="00D547E8"/>
    <w:rsid w:val="00D54DDB"/>
    <w:rsid w:val="00D74358"/>
    <w:rsid w:val="00D86C07"/>
    <w:rsid w:val="00D90DCC"/>
    <w:rsid w:val="00D978BF"/>
    <w:rsid w:val="00DA47EB"/>
    <w:rsid w:val="00DB29F0"/>
    <w:rsid w:val="00DC0D55"/>
    <w:rsid w:val="00DC5487"/>
    <w:rsid w:val="00DC7E31"/>
    <w:rsid w:val="00DE0D54"/>
    <w:rsid w:val="00DE614C"/>
    <w:rsid w:val="00E02FA9"/>
    <w:rsid w:val="00E147AF"/>
    <w:rsid w:val="00E21EE0"/>
    <w:rsid w:val="00E242BC"/>
    <w:rsid w:val="00E248EE"/>
    <w:rsid w:val="00E33F3F"/>
    <w:rsid w:val="00E425DC"/>
    <w:rsid w:val="00E46D0E"/>
    <w:rsid w:val="00EA7A51"/>
    <w:rsid w:val="00ED4DA9"/>
    <w:rsid w:val="00EE385D"/>
    <w:rsid w:val="00EF69A6"/>
    <w:rsid w:val="00F01412"/>
    <w:rsid w:val="00F06990"/>
    <w:rsid w:val="00F260BA"/>
    <w:rsid w:val="00F46E88"/>
    <w:rsid w:val="00F51C33"/>
    <w:rsid w:val="00F7066D"/>
    <w:rsid w:val="00F817ED"/>
    <w:rsid w:val="00FA236F"/>
    <w:rsid w:val="00FD0890"/>
    <w:rsid w:val="00FD2124"/>
    <w:rsid w:val="00FD5458"/>
    <w:rsid w:val="00FE185E"/>
    <w:rsid w:val="00FF1B12"/>
    <w:rsid w:val="00FF26E6"/>
    <w:rsid w:val="015754F6"/>
    <w:rsid w:val="02900CBF"/>
    <w:rsid w:val="03211B78"/>
    <w:rsid w:val="035241C7"/>
    <w:rsid w:val="03B94246"/>
    <w:rsid w:val="04BD38C2"/>
    <w:rsid w:val="06BF6017"/>
    <w:rsid w:val="07126147"/>
    <w:rsid w:val="07D05367"/>
    <w:rsid w:val="08064057"/>
    <w:rsid w:val="080F08D8"/>
    <w:rsid w:val="088968DD"/>
    <w:rsid w:val="097A7FD3"/>
    <w:rsid w:val="09C474A0"/>
    <w:rsid w:val="09D16618"/>
    <w:rsid w:val="0A3202C4"/>
    <w:rsid w:val="0A786C09"/>
    <w:rsid w:val="0B947474"/>
    <w:rsid w:val="0BF370C1"/>
    <w:rsid w:val="0D0B3D64"/>
    <w:rsid w:val="0D4E59FF"/>
    <w:rsid w:val="0DCF5F7A"/>
    <w:rsid w:val="0ED2440E"/>
    <w:rsid w:val="0EE228A3"/>
    <w:rsid w:val="0F977B31"/>
    <w:rsid w:val="0FAB7138"/>
    <w:rsid w:val="0FF26B15"/>
    <w:rsid w:val="1142280C"/>
    <w:rsid w:val="119D589C"/>
    <w:rsid w:val="11A622AD"/>
    <w:rsid w:val="11E150AB"/>
    <w:rsid w:val="12260CF8"/>
    <w:rsid w:val="126B542C"/>
    <w:rsid w:val="129465AA"/>
    <w:rsid w:val="13C22CA3"/>
    <w:rsid w:val="14812B96"/>
    <w:rsid w:val="14F275B8"/>
    <w:rsid w:val="1638724C"/>
    <w:rsid w:val="167209B0"/>
    <w:rsid w:val="17D21303"/>
    <w:rsid w:val="180B10BC"/>
    <w:rsid w:val="198F5AB5"/>
    <w:rsid w:val="1A732B02"/>
    <w:rsid w:val="1AB31597"/>
    <w:rsid w:val="1B4534B5"/>
    <w:rsid w:val="1C0A3439"/>
    <w:rsid w:val="1C1F5136"/>
    <w:rsid w:val="1CFF7079"/>
    <w:rsid w:val="1D06529A"/>
    <w:rsid w:val="1E0E7BB3"/>
    <w:rsid w:val="1E236A34"/>
    <w:rsid w:val="1E722F3F"/>
    <w:rsid w:val="1E845724"/>
    <w:rsid w:val="1F066139"/>
    <w:rsid w:val="1F731930"/>
    <w:rsid w:val="200F101E"/>
    <w:rsid w:val="206E7531"/>
    <w:rsid w:val="20BB2F53"/>
    <w:rsid w:val="20BD3A7A"/>
    <w:rsid w:val="219537A4"/>
    <w:rsid w:val="22C17821"/>
    <w:rsid w:val="23AF1360"/>
    <w:rsid w:val="23C55F12"/>
    <w:rsid w:val="241A791C"/>
    <w:rsid w:val="24FB7DC2"/>
    <w:rsid w:val="25D725DE"/>
    <w:rsid w:val="26872F31"/>
    <w:rsid w:val="27764078"/>
    <w:rsid w:val="27906EE8"/>
    <w:rsid w:val="27B64475"/>
    <w:rsid w:val="27CB43C4"/>
    <w:rsid w:val="28F6721F"/>
    <w:rsid w:val="2AF92FF6"/>
    <w:rsid w:val="2B351EF6"/>
    <w:rsid w:val="2B5C5333"/>
    <w:rsid w:val="2C212804"/>
    <w:rsid w:val="2C92725E"/>
    <w:rsid w:val="2D55022E"/>
    <w:rsid w:val="2D727090"/>
    <w:rsid w:val="2D940DB4"/>
    <w:rsid w:val="2E960B5C"/>
    <w:rsid w:val="2EAF641F"/>
    <w:rsid w:val="2F43624E"/>
    <w:rsid w:val="31010E56"/>
    <w:rsid w:val="327F0285"/>
    <w:rsid w:val="328C0BF4"/>
    <w:rsid w:val="32F50547"/>
    <w:rsid w:val="3341553A"/>
    <w:rsid w:val="335039CF"/>
    <w:rsid w:val="33995376"/>
    <w:rsid w:val="34533777"/>
    <w:rsid w:val="34692F9B"/>
    <w:rsid w:val="34CF1DAC"/>
    <w:rsid w:val="3542559A"/>
    <w:rsid w:val="37F34A4B"/>
    <w:rsid w:val="383345BA"/>
    <w:rsid w:val="384257A0"/>
    <w:rsid w:val="38C2711D"/>
    <w:rsid w:val="39785A2E"/>
    <w:rsid w:val="3A3556CD"/>
    <w:rsid w:val="3A7B57D6"/>
    <w:rsid w:val="3B2A0FAA"/>
    <w:rsid w:val="3B64607D"/>
    <w:rsid w:val="3C5502A8"/>
    <w:rsid w:val="3D5F5F03"/>
    <w:rsid w:val="3DB55618"/>
    <w:rsid w:val="3E9A01F4"/>
    <w:rsid w:val="3EDE4585"/>
    <w:rsid w:val="3F4D34B9"/>
    <w:rsid w:val="3FAE2A19"/>
    <w:rsid w:val="4047671A"/>
    <w:rsid w:val="41967399"/>
    <w:rsid w:val="430F7403"/>
    <w:rsid w:val="43454BD3"/>
    <w:rsid w:val="44254A04"/>
    <w:rsid w:val="44AB4F09"/>
    <w:rsid w:val="451F1453"/>
    <w:rsid w:val="454A0786"/>
    <w:rsid w:val="466E4440"/>
    <w:rsid w:val="472D60AA"/>
    <w:rsid w:val="47E13207"/>
    <w:rsid w:val="48DD58AD"/>
    <w:rsid w:val="491312CF"/>
    <w:rsid w:val="4A0A26D2"/>
    <w:rsid w:val="4B0B6702"/>
    <w:rsid w:val="4B410375"/>
    <w:rsid w:val="4B685902"/>
    <w:rsid w:val="4BA12D6E"/>
    <w:rsid w:val="4BD411EA"/>
    <w:rsid w:val="4C0513A3"/>
    <w:rsid w:val="4C312198"/>
    <w:rsid w:val="4DB52955"/>
    <w:rsid w:val="4EF301D7"/>
    <w:rsid w:val="4F12415B"/>
    <w:rsid w:val="4F2E52D7"/>
    <w:rsid w:val="4F6939F7"/>
    <w:rsid w:val="51FD021E"/>
    <w:rsid w:val="52304CA0"/>
    <w:rsid w:val="53DD0E57"/>
    <w:rsid w:val="5555098B"/>
    <w:rsid w:val="566C201F"/>
    <w:rsid w:val="57E26A3C"/>
    <w:rsid w:val="5814296E"/>
    <w:rsid w:val="59EF5441"/>
    <w:rsid w:val="5A2F1CE1"/>
    <w:rsid w:val="5AB20948"/>
    <w:rsid w:val="5AFA409D"/>
    <w:rsid w:val="5C07081F"/>
    <w:rsid w:val="5C14521D"/>
    <w:rsid w:val="5C5B6DBD"/>
    <w:rsid w:val="5CE40B61"/>
    <w:rsid w:val="5DA402F0"/>
    <w:rsid w:val="5E4F64AE"/>
    <w:rsid w:val="5E802B0B"/>
    <w:rsid w:val="5EB734F0"/>
    <w:rsid w:val="5F91655E"/>
    <w:rsid w:val="5FCB425A"/>
    <w:rsid w:val="60343BAD"/>
    <w:rsid w:val="61054B10"/>
    <w:rsid w:val="617C3A5E"/>
    <w:rsid w:val="61DF5D9B"/>
    <w:rsid w:val="62CA25A7"/>
    <w:rsid w:val="632B74E9"/>
    <w:rsid w:val="63B05C41"/>
    <w:rsid w:val="63BA086D"/>
    <w:rsid w:val="63F2535B"/>
    <w:rsid w:val="64857D04"/>
    <w:rsid w:val="648D7D30"/>
    <w:rsid w:val="65012C7C"/>
    <w:rsid w:val="650C10E2"/>
    <w:rsid w:val="651B358E"/>
    <w:rsid w:val="65815AE7"/>
    <w:rsid w:val="65A478BB"/>
    <w:rsid w:val="676034DA"/>
    <w:rsid w:val="687B6378"/>
    <w:rsid w:val="68972A57"/>
    <w:rsid w:val="6A5D01A4"/>
    <w:rsid w:val="6B1E16E2"/>
    <w:rsid w:val="6B5C045C"/>
    <w:rsid w:val="6C034528"/>
    <w:rsid w:val="6D712F09"/>
    <w:rsid w:val="6DDE15FC"/>
    <w:rsid w:val="6E3B72E7"/>
    <w:rsid w:val="6EC40F9D"/>
    <w:rsid w:val="6FB00E68"/>
    <w:rsid w:val="700A0487"/>
    <w:rsid w:val="70D57728"/>
    <w:rsid w:val="72593431"/>
    <w:rsid w:val="728359ED"/>
    <w:rsid w:val="72C059BA"/>
    <w:rsid w:val="730218E9"/>
    <w:rsid w:val="744A1799"/>
    <w:rsid w:val="74C756DA"/>
    <w:rsid w:val="75324707"/>
    <w:rsid w:val="75AE7B06"/>
    <w:rsid w:val="75F06371"/>
    <w:rsid w:val="76880357"/>
    <w:rsid w:val="76C67875"/>
    <w:rsid w:val="77D00208"/>
    <w:rsid w:val="789B0816"/>
    <w:rsid w:val="79295E21"/>
    <w:rsid w:val="7A6F1F5A"/>
    <w:rsid w:val="7AE71AF0"/>
    <w:rsid w:val="7D5E3C7D"/>
    <w:rsid w:val="7D8775BA"/>
    <w:rsid w:val="7E3F23D4"/>
    <w:rsid w:val="7F53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23"/>
    <w:unhideWhenUsed/>
    <w:qFormat/>
    <w:uiPriority w:val="99"/>
    <w:pPr>
      <w:jc w:val="center"/>
    </w:pPr>
    <w:rPr>
      <w:rFonts w:ascii="方正小标宋简体" w:hAnsi="Courier New" w:eastAsia="方正小标宋简体" w:cs="Courier New"/>
      <w:sz w:val="44"/>
      <w:szCs w:val="44"/>
    </w:rPr>
  </w:style>
  <w:style w:type="paragraph" w:styleId="3">
    <w:name w:val="index 9"/>
    <w:basedOn w:val="1"/>
    <w:next w:val="1"/>
    <w:qFormat/>
    <w:uiPriority w:val="99"/>
    <w:pPr>
      <w:spacing w:line="240" w:lineRule="atLeast"/>
      <w:ind w:left="3360"/>
    </w:pPr>
    <w:rPr>
      <w:rFonts w:ascii="Calibri" w:hAnsi="Calibri" w:eastAsia="仿宋_GB2312" w:cs="等线"/>
      <w:sz w:val="32"/>
      <w:szCs w:val="21"/>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Calibri Light" w:hAnsi="Calibri Light" w:eastAsia="宋体" w:cs="Times New Roman"/>
    </w:rPr>
  </w:style>
  <w:style w:type="paragraph" w:styleId="8">
    <w:name w:val="Balloon Text"/>
    <w:basedOn w:val="1"/>
    <w:link w:val="20"/>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index 7"/>
    <w:basedOn w:val="1"/>
    <w:next w:val="1"/>
    <w:autoRedefine/>
    <w:qFormat/>
    <w:uiPriority w:val="0"/>
    <w:pPr>
      <w:ind w:left="2520"/>
    </w:pPr>
    <w:rPr>
      <w:rFonts w:ascii="Calibri" w:hAnsi="Calibri" w:eastAsia="宋体" w:cs="Arial"/>
      <w:b/>
      <w:bCs/>
      <w:sz w:val="32"/>
      <w:szCs w:val="32"/>
    </w:rPr>
  </w:style>
  <w:style w:type="paragraph" w:styleId="12">
    <w:name w:val="Body Text First Indent 2"/>
    <w:basedOn w:val="6"/>
    <w:next w:val="1"/>
    <w:qFormat/>
    <w:uiPriority w:val="0"/>
    <w:pPr>
      <w:ind w:firstLine="42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autoRedefine/>
    <w:qFormat/>
    <w:uiPriority w:val="34"/>
    <w:pPr>
      <w:numPr>
        <w:ilvl w:val="0"/>
        <w:numId w:val="1"/>
      </w:numPr>
      <w:spacing w:line="580" w:lineRule="exact"/>
    </w:pPr>
    <w:rPr>
      <w:rFonts w:ascii="黑体" w:hAnsi="黑体" w:eastAsia="黑体" w:cs="Times New Roman"/>
      <w:sz w:val="32"/>
      <w:szCs w:val="32"/>
    </w:rPr>
  </w:style>
  <w:style w:type="character" w:customStyle="1" w:styleId="17">
    <w:name w:val="页眉 字符"/>
    <w:basedOn w:val="15"/>
    <w:link w:val="10"/>
    <w:qFormat/>
    <w:uiPriority w:val="0"/>
    <w:rPr>
      <w:sz w:val="18"/>
      <w:szCs w:val="18"/>
    </w:rPr>
  </w:style>
  <w:style w:type="character" w:customStyle="1" w:styleId="18">
    <w:name w:val="页脚 字符"/>
    <w:basedOn w:val="15"/>
    <w:link w:val="9"/>
    <w:autoRedefine/>
    <w:qFormat/>
    <w:uiPriority w:val="99"/>
    <w:rPr>
      <w:sz w:val="18"/>
      <w:szCs w:val="18"/>
    </w:r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框文本 字符"/>
    <w:basedOn w:val="15"/>
    <w:link w:val="8"/>
    <w:autoRedefine/>
    <w:semiHidden/>
    <w:qFormat/>
    <w:uiPriority w:val="99"/>
    <w:rPr>
      <w:sz w:val="18"/>
      <w:szCs w:val="18"/>
    </w:rPr>
  </w:style>
  <w:style w:type="paragraph" w:customStyle="1" w:styleId="21">
    <w:name w:val="列出段落1"/>
    <w:basedOn w:val="1"/>
    <w:qFormat/>
    <w:uiPriority w:val="34"/>
    <w:pPr>
      <w:ind w:firstLine="420" w:firstLineChars="200"/>
    </w:pPr>
  </w:style>
  <w:style w:type="paragraph" w:customStyle="1" w:styleId="22">
    <w:name w:val="p0"/>
    <w:qFormat/>
    <w:uiPriority w:val="0"/>
    <w:pPr>
      <w:jc w:val="both"/>
    </w:pPr>
    <w:rPr>
      <w:rFonts w:ascii="Times New Roman" w:hAnsi="Times New Roman" w:eastAsia="宋体" w:cs="Times New Roman"/>
      <w:sz w:val="21"/>
      <w:szCs w:val="21"/>
      <w:lang w:val="en-US" w:eastAsia="zh-CN" w:bidi="ar-SA"/>
    </w:rPr>
  </w:style>
  <w:style w:type="character" w:customStyle="1" w:styleId="23">
    <w:name w:val="纯文本 字符"/>
    <w:basedOn w:val="15"/>
    <w:link w:val="2"/>
    <w:autoRedefine/>
    <w:qFormat/>
    <w:uiPriority w:val="99"/>
    <w:rPr>
      <w:rFonts w:ascii="方正小标宋简体" w:hAnsi="Courier New" w:eastAsia="方正小标宋简体" w:cs="Courier New"/>
      <w:kern w:val="2"/>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2522E-1418-4A8B-97D8-A73EA95947E5}">
  <ds:schemaRefs/>
</ds:datastoreItem>
</file>

<file path=docProps/app.xml><?xml version="1.0" encoding="utf-8"?>
<Properties xmlns="http://schemas.openxmlformats.org/officeDocument/2006/extended-properties" xmlns:vt="http://schemas.openxmlformats.org/officeDocument/2006/docPropsVTypes">
  <Template>Normal</Template>
  <Pages>4</Pages>
  <Words>17361</Words>
  <Characters>17837</Characters>
  <Lines>132</Lines>
  <Paragraphs>37</Paragraphs>
  <TotalTime>225</TotalTime>
  <ScaleCrop>false</ScaleCrop>
  <LinksUpToDate>false</LinksUpToDate>
  <CharactersWithSpaces>17972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2024-04-30T03:54:00Z</dcterms:created>
  <dc:creator>lenovo</dc:creator>
  <cp:lastModifiedBy>%E6%98%9F</cp:lastModifiedBy>
  <cp:lastPrinted>2024-05-14T09:25:00Z</cp:lastPrinted>
  <dcterms:modified xsi:type="dcterms:W3CDTF">2024-05-17T09:09:20Z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F675FC40A6F54048986BC5D2FF3F8405_13</vt:lpwstr>
  </property>
</Properties>
</file>