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cs="Times New Roman"/>
        </w:rPr>
      </w:pPr>
      <w:r>
        <w:rPr>
          <w:rFonts w:ascii="黑体" w:hAnsi="黑体" w:eastAsia="黑体" w:cs="黑体"/>
          <w:b/>
          <w:color w:val="000000"/>
          <w:sz w:val="44"/>
        </w:rPr>
        <w:t>2024年部门预算信息公开目录</w:t>
      </w:r>
    </w:p>
    <w:p>
      <w:pPr>
        <w:spacing w:before="0" w:after="0" w:line="240" w:lineRule="auto"/>
        <w:ind w:firstLine="0"/>
        <w:jc w:val="center"/>
        <w:outlineLvl w:val="9"/>
        <w:rPr>
          <w:rFonts w:cs="Times New Roman"/>
        </w:rPr>
      </w:pPr>
      <w:r>
        <w:rPr>
          <w:rFonts w:ascii="黑体" w:hAnsi="黑体" w:eastAsia="黑体" w:cs="黑体"/>
          <w:b/>
          <w:color w:val="000000"/>
          <w:sz w:val="30"/>
        </w:rPr>
        <w:t xml:space="preserve"> </w:t>
      </w:r>
    </w:p>
    <w:p>
      <w:pPr>
        <w:spacing w:before="0" w:after="0" w:line="240" w:lineRule="auto"/>
        <w:ind w:firstLine="0"/>
        <w:jc w:val="left"/>
        <w:outlineLvl w:val="9"/>
        <w:rPr>
          <w:rFonts w:cs="Times New Roman"/>
        </w:rPr>
      </w:pPr>
      <w:r>
        <w:rPr>
          <w:rFonts w:ascii="方正楷体_GBK" w:hAnsi="方正楷体_GBK" w:eastAsia="方正楷体_GBK" w:cs="方正楷体_GBK"/>
          <w:b/>
          <w:color w:val="000000"/>
          <w:sz w:val="28"/>
        </w:rPr>
        <w:t>部门预算公开表</w:t>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TOC \o "2-2" \h \z \u</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"_Toc_2_2_0000000001"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部门预算收支总表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_Toc_2_2_0000000001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"_Toc_2_2_0000000002"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部门预算收入总表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_Toc_2_2_0000000002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"_Toc_2_2_0000000003"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部门预算支出总表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_Toc_2_2_0000000003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4</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"_Toc_2_2_0000000004"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部门预算财政拨款收支总表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_Toc_2_2_0000000004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5</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"_Toc_2_2_0000000005"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部门预算一般公共预算财政拨款支出表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_Toc_2_2_0000000005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7</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"_Toc_2_2_0000000006"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部门预算一般公共预算财政拨款基本支出表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_Toc_2_2_0000000006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8</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"_Toc_2_2_0000000007"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部门预算政府性基金预算财政拨款支出表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_Toc_2_2_0000000007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10</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"_Toc_2_2_0000000008"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部门预算国有资本经营预算财政拨款支出表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_Toc_2_2_0000000008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11</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"_Toc_2_2_0000000009"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部门预算财政拨款“三公”经费支出表</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_Toc_2_2_0000000009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12</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rPr>
          <w:rFonts w:cs="Times New Roman"/>
        </w:rPr>
      </w:pPr>
      <w:r>
        <w:rPr>
          <w:rFonts w:cs="Times New Roman"/>
        </w:rPr>
        <w:fldChar w:fldCharType="end"/>
      </w:r>
    </w:p>
    <w:p>
      <w:pPr>
        <w:spacing w:before="0" w:after="0" w:line="240" w:lineRule="auto"/>
        <w:ind w:firstLine="0"/>
        <w:jc w:val="left"/>
        <w:outlineLvl w:val="9"/>
        <w:rPr>
          <w:rFonts w:cs="Times New Roman"/>
        </w:rPr>
      </w:pPr>
      <w:r>
        <w:rPr>
          <w:rFonts w:ascii="方正楷体_GBK" w:hAnsi="方正楷体_GBK" w:eastAsia="方正楷体_GBK" w:cs="方正楷体_GBK"/>
          <w:b/>
          <w:color w:val="000000"/>
          <w:sz w:val="28"/>
        </w:rPr>
        <w:t>部门预算信息公开情况说明</w:t>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TOC \o "3-3" \h \z \u</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"_Toc_3_3_0000000010"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一、部门职责及机构设置情况</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_Toc_3_3_0000000010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"_Toc_3_3_0000000011"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二、部门预算安排的总体情况</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_Toc_3_3_0000000011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"_Toc_3_3_0000000012"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三、机关运行经费安排情况</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_Toc_3_3_0000000012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"_Toc_3_3_0000000013"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四、财政拨款“三公”经费预算情况及增减变化原因</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_Toc_3_3_0000000013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"_Toc_3_3_0000000014"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五、部门整体绩效目标</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_Toc_3_3_0000000014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"_Toc_3_3_0000000015"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六、部门主管专项资金预算安排情况及绩效目标</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_Toc_3_3_0000000015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15</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"_Toc_3_3_0000000016"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七、部门项目预算安排情况及绩效目标</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_Toc_3_3_0000000016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16</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"_Toc_3_3_0000000017"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八、政府采购预算情况</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_Toc_3_3_0000000017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29</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"_Toc_3_3_0000000018"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九、国有资产信息</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_Toc_3_3_0000000018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30</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"_Toc_3_3_0000000019"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十、名词解释</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_Toc_3_3_0000000019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31</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line="240" w:lineRule="auto"/>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"_Toc_3_3_0000000020"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十一、其他需要说明的事项</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_Toc_3_3_0000000020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32</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sectPr>
          <w:pgSz w:w="16840" w:h="11900" w:orient="landscape"/>
          <w:pgMar w:top="1587" w:right="1134" w:bottom="1361" w:left="1134" w:header="720" w:footer="720" w:gutter="0"/>
          <w:pgNumType w:start="1"/>
          <w:cols w:space="720" w:num="1"/>
        </w:sectPr>
      </w:pPr>
      <w:r>
        <w:rPr>
          <w:rFonts w:cs="Times New Roman"/>
        </w:rPr>
        <w:fldChar w:fldCharType="end"/>
      </w:r>
    </w:p>
    <w:p>
      <w:pPr>
        <w:spacing w:before="0" w:after="0" w:line="240" w:lineRule="auto"/>
        <w:ind w:firstLine="0"/>
        <w:jc w:val="center"/>
        <w:outlineLvl w:val="1"/>
        <w:rPr>
          <w:rFonts w:cs="Times New Roman"/>
        </w:rPr>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2126" w:type="dxa"/>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6661" w:type="dxa"/>
            <w:gridSpan w:val="2"/>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6661"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收入</w:t>
            </w:r>
          </w:p>
        </w:tc>
        <w:tc>
          <w:tcPr>
            <w:tcW w:w="6661"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  目</w:t>
            </w:r>
          </w:p>
        </w:tc>
        <w:tc>
          <w:tcPr>
            <w:tcW w:w="212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  目</w:t>
            </w:r>
          </w:p>
        </w:tc>
        <w:tc>
          <w:tcPr>
            <w:tcW w:w="212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212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212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一、一般公共预算拨款收入</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highlight w:val="none"/>
                <w:lang w:val="en-US" w:eastAsia="uk-UA" w:bidi="ar-SA"/>
              </w:rPr>
              <w:t>1388.00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一、一般公共服务支出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二、政府性基金预算拨款收入</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二、外交支出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三、国有资本经营预算拨款收入</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三、国防支出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四、财政专户管理资金收入</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四、公共安全支出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五、单位资金</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五、教育支出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六、科学技术支出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七、文化旅游体育与传媒支出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八、社会保障和就业支出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九、社会保险基金支出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十、卫生健康支出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十一、节能环保支出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十二、城乡社区支出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十三、农林水支出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十四、交通运输支出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十五、资源勘探工业信息等支出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十六、商业服务业等支出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十七、金融支出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十八、援助其他地区支出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十九、自然资源海洋气象等支出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二十、住房保障支出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二十一、粮油物资储备支出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二十二、国有资本经营预算支出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二十三、灾害防治及应急管理支出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二十四、预备费</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二十五、其他支出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26</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二十六、转移性支出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二十七、债务还本支出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二十八、债务付息支出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二十九、债务发行费用支出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三十、抗疫特别国债安排的支出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三十一、与上级财政地方债往来性支出</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32</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本年收入合计</w:t>
            </w:r>
          </w:p>
        </w:tc>
        <w:tc>
          <w:tcPr>
            <w:tcW w:w="2126"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1388.00</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本年支出合计</w:t>
            </w:r>
          </w:p>
        </w:tc>
        <w:tc>
          <w:tcPr>
            <w:tcW w:w="2126"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上年结转结余</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75.63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年终结转结余</w:t>
            </w:r>
          </w:p>
        </w:tc>
        <w:tc>
          <w:tcPr>
            <w:tcW w:w="2126"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34</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收入总计</w:t>
            </w:r>
          </w:p>
        </w:tc>
        <w:tc>
          <w:tcPr>
            <w:tcW w:w="2126"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支出总计</w:t>
            </w:r>
          </w:p>
        </w:tc>
        <w:tc>
          <w:tcPr>
            <w:tcW w:w="2126"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rPr>
          <w:rFonts w:cs="Times New Roman"/>
        </w:rPr>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3402" w:type="dxa"/>
            <w:gridSpan w:val="3"/>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5669" w:type="dxa"/>
            <w:gridSpan w:val="5"/>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2551"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功能分类科目</w:t>
            </w:r>
          </w:p>
        </w:tc>
        <w:tc>
          <w:tcPr>
            <w:tcW w:w="1134"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9071" w:type="dxa"/>
            <w:gridSpan w:val="8"/>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本年收入</w:t>
            </w:r>
          </w:p>
        </w:tc>
        <w:tc>
          <w:tcPr>
            <w:tcW w:w="1134"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cs="Times New Roman"/>
              </w:rPr>
            </w:pPr>
          </w:p>
        </w:tc>
        <w:tc>
          <w:tcPr>
            <w:tcW w:w="99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    编码</w:t>
            </w:r>
          </w:p>
        </w:tc>
        <w:tc>
          <w:tcPr>
            <w:tcW w:w="1559"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科目名称</w:t>
            </w:r>
          </w:p>
        </w:tc>
        <w:tc>
          <w:tcPr>
            <w:tcW w:w="1134" w:type="dxa"/>
            <w:vMerge w:val="continue"/>
          </w:tcPr>
          <w:p>
            <w:pPr>
              <w:rPr>
                <w:rFonts w:cs="Times New Roman"/>
              </w:rPr>
            </w:pP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小计</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财政拨款 收入</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财政专户 收入</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事业收入</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经营收入</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上级补助收入</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附属单位上缴收入</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其他收入</w:t>
            </w:r>
          </w:p>
        </w:tc>
        <w:tc>
          <w:tcPr>
            <w:tcW w:w="1134"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99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1559"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7</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8</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9</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11</w:t>
            </w:r>
          </w:p>
        </w:tc>
        <w:tc>
          <w:tcPr>
            <w:tcW w:w="113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992"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1559"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1388.00</w:t>
            </w: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1388.00</w:t>
            </w: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75.63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公共安全支出</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2040401</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行政运行</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557.00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557.00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557.00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2040402</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一般行政管理事务</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103.00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103.00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103.00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2040410</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检察监督</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286.61</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216.00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216.00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2040499</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其他检察支出</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204.02</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199.00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199.00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w:t>
            </w:r>
          </w:p>
        </w:tc>
        <w:tc>
          <w:tcPr>
            <w:tcW w:w="992" w:type="dxa"/>
            <w:vAlign w:val="center"/>
          </w:tcPr>
          <w:p>
            <w:pPr>
              <w:spacing w:before="0" w:after="0"/>
              <w:ind w:firstLine="0"/>
              <w:jc w:val="left"/>
              <w:outlineLvl w:val="9"/>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 xml:space="preserve">     </w:t>
            </w:r>
          </w:p>
        </w:tc>
        <w:tc>
          <w:tcPr>
            <w:tcW w:w="1559" w:type="dxa"/>
            <w:vAlign w:val="center"/>
          </w:tcPr>
          <w:p>
            <w:pPr>
              <w:spacing w:before="0" w:after="0"/>
              <w:ind w:firstLine="0"/>
              <w:jc w:val="left"/>
              <w:outlineLvl w:val="9"/>
              <w:rPr>
                <w:rFonts w:hint="default" w:ascii="方正书宋_GBK" w:hAnsi="方正书宋_GBK" w:eastAsia="方正书宋_GBK" w:cs="方正书宋_GBK"/>
                <w:sz w:val="21"/>
                <w:szCs w:val="24"/>
                <w:highlight w:val="none"/>
                <w:lang w:val="en-US" w:eastAsia="uk-UA" w:bidi="ar-SA"/>
              </w:rPr>
            </w:pPr>
          </w:p>
        </w:tc>
        <w:tc>
          <w:tcPr>
            <w:tcW w:w="1134" w:type="dxa"/>
            <w:vAlign w:val="center"/>
          </w:tcPr>
          <w:p>
            <w:pPr>
              <w:spacing w:before="0" w:after="0"/>
              <w:ind w:firstLine="0"/>
              <w:jc w:val="right"/>
              <w:outlineLvl w:val="9"/>
              <w:rPr>
                <w:rFonts w:hint="default" w:ascii="方正书宋_GBK" w:hAnsi="方正书宋_GBK" w:eastAsia="方正书宋_GBK" w:cs="方正书宋_GBK"/>
                <w:sz w:val="21"/>
                <w:szCs w:val="24"/>
                <w:highlight w:val="none"/>
                <w:lang w:val="en-US" w:eastAsia="uk-UA" w:bidi="ar-SA"/>
              </w:rPr>
            </w:pPr>
          </w:p>
        </w:tc>
        <w:tc>
          <w:tcPr>
            <w:tcW w:w="1134" w:type="dxa"/>
            <w:vAlign w:val="center"/>
          </w:tcPr>
          <w:p>
            <w:pPr>
              <w:spacing w:before="0" w:after="0"/>
              <w:ind w:firstLine="0"/>
              <w:jc w:val="right"/>
              <w:outlineLvl w:val="9"/>
              <w:rPr>
                <w:rFonts w:hint="default" w:ascii="方正书宋_GBK" w:hAnsi="方正书宋_GBK" w:eastAsia="方正书宋_GBK" w:cs="方正书宋_GBK"/>
                <w:sz w:val="21"/>
                <w:szCs w:val="24"/>
                <w:highlight w:val="none"/>
                <w:lang w:val="en-US" w:eastAsia="uk-UA" w:bidi="ar-SA"/>
              </w:rPr>
            </w:pPr>
          </w:p>
        </w:tc>
        <w:tc>
          <w:tcPr>
            <w:tcW w:w="1134" w:type="dxa"/>
            <w:vAlign w:val="center"/>
          </w:tcPr>
          <w:p>
            <w:pPr>
              <w:spacing w:before="0" w:after="0"/>
              <w:ind w:firstLine="0"/>
              <w:jc w:val="right"/>
              <w:outlineLvl w:val="9"/>
              <w:rPr>
                <w:rFonts w:hint="default" w:ascii="方正书宋_GBK" w:hAnsi="方正书宋_GBK" w:eastAsia="方正书宋_GBK" w:cs="方正书宋_GBK"/>
                <w:sz w:val="21"/>
                <w:szCs w:val="24"/>
                <w:highlight w:val="none"/>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20805</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行政事业单位养老支出</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211.00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211.00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211.00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2080501</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行政单位离退休</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162.00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162.00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162.00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2080505</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机关事业单位基本养老保险缴费支出</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33.00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33.00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33.00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2080506</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机关事业单位职业年金缴费支出</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16.00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16.00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16.00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20808</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抚恤</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2080801</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死亡抚恤</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75.00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221</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住房保障支出</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22102</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住房改革支出</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2210201</w:t>
            </w:r>
          </w:p>
        </w:tc>
        <w:tc>
          <w:tcPr>
            <w:tcW w:w="1559" w:type="dxa"/>
            <w:vAlign w:val="center"/>
          </w:tcPr>
          <w:p>
            <w:pPr>
              <w:spacing w:before="0" w:after="0"/>
              <w:ind w:firstLine="0"/>
              <w:jc w:val="lef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住房公积金</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highlight w:val="none"/>
                <w:lang w:val="en-US" w:eastAsia="uk-UA" w:bidi="ar-SA"/>
              </w:rPr>
            </w:pPr>
            <w:r>
              <w:rPr>
                <w:rFonts w:ascii="方正书宋_GBK" w:hAnsi="方正书宋_GBK" w:eastAsia="方正书宋_GBK" w:cs="方正书宋_GBK"/>
                <w:sz w:val="21"/>
                <w:szCs w:val="24"/>
                <w:highlight w:val="none"/>
                <w:lang w:val="en-US" w:eastAsia="uk-UA" w:bidi="ar-SA"/>
              </w:rPr>
              <w:t>27.00</w:t>
            </w: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13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cs="Times New Roman"/>
        </w:rPr>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2721" w:type="dxa"/>
            <w:gridSpan w:val="2"/>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5443" w:type="dxa"/>
            <w:gridSpan w:val="4"/>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5528"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功能分类科目</w:t>
            </w:r>
          </w:p>
        </w:tc>
        <w:tc>
          <w:tcPr>
            <w:tcW w:w="136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136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基本支出</w:t>
            </w:r>
          </w:p>
        </w:tc>
        <w:tc>
          <w:tcPr>
            <w:tcW w:w="136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项目支出</w:t>
            </w:r>
          </w:p>
        </w:tc>
        <w:tc>
          <w:tcPr>
            <w:tcW w:w="136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经营支出</w:t>
            </w:r>
          </w:p>
        </w:tc>
        <w:tc>
          <w:tcPr>
            <w:tcW w:w="136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上解上级     支出</w:t>
            </w:r>
          </w:p>
        </w:tc>
        <w:tc>
          <w:tcPr>
            <w:tcW w:w="136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99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    编码</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科目名称</w:t>
            </w: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99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136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136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136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c>
          <w:tcPr>
            <w:tcW w:w="136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w:t>
            </w:r>
          </w:p>
        </w:tc>
        <w:tc>
          <w:tcPr>
            <w:tcW w:w="136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7</w:t>
            </w:r>
          </w:p>
        </w:tc>
        <w:tc>
          <w:tcPr>
            <w:tcW w:w="136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992"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136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136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870.00</w:t>
            </w:r>
          </w:p>
        </w:tc>
        <w:tc>
          <w:tcPr>
            <w:tcW w:w="136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593.63</w:t>
            </w:r>
          </w:p>
        </w:tc>
        <w:tc>
          <w:tcPr>
            <w:tcW w:w="136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公共安全支出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593.63</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593.63</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行政运行</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一般行政管理事务</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103.00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103.00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2040410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检察监督</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286.61</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286.61</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2040499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其他检察支出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204.02</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204.02</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社会保障和就业支出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行政事业单位养老支出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211.00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211.00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行政单位离退休</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2080505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机关事业单位基本养老保险缴费支出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2080506</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机关事业单位职业年金缴费支出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抚恤</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2080801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死亡抚恤</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住房保障支出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22102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住房改革支出</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w:t>
            </w:r>
          </w:p>
        </w:tc>
        <w:tc>
          <w:tcPr>
            <w:tcW w:w="99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2210201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住房公积金</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6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cs="Times New Roman"/>
        </w:rPr>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3402" w:type="dxa"/>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5896" w:type="dxa"/>
            <w:gridSpan w:val="4"/>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4876"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收入</w:t>
            </w:r>
          </w:p>
        </w:tc>
        <w:tc>
          <w:tcPr>
            <w:tcW w:w="9298" w:type="dxa"/>
            <w:gridSpan w:val="5"/>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  目</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金额</w:t>
            </w: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  目</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一般公共预算财政拨款</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政府性基金预算财政    拨款</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w:t>
            </w:r>
          </w:p>
        </w:tc>
        <w:tc>
          <w:tcPr>
            <w:tcW w:w="147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一、一般公共预算拨款</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1388.00</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一、一般公共服务支出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二、政府性基金预算拨款</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二、外交支出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三、国有资本经营预算拨款</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三、国防支出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四、公共安全支出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五、教育支出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六、科学技术支出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七、文化旅游体育与传媒支出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八、社会保障和就业支出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286.00</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286.00</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九、社会保险基金支出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十、卫生健康支出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十一、节能环保支出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十二、城乡社区支出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十三、农林水支出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十四、交通运输支出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十五、资源勘探工业信息等支出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十六、商业服务业等支出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十七、金融支出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十八、援助其他地区支出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19</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十九、自然资源海洋气象等支出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二十、住房保障支出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二十一、粮油物资储备支出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二十二、国有资本经营预算支出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23</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二十三、灾害防治及应急管理支出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二十四、预备费</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二十五、其他支出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26</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二十六、转移性支出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二十七、债务还本支出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二十八、债务付息支出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29</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二十九、债务发行费用支出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三十、抗疫特别国债安排的支出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31</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三十一、与上级财政地方债往来性支出</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32</w:t>
            </w: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本年收入合计</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1388.00</w:t>
            </w: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本年支出合计</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年初财政拨款结转和结余</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75.63</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年末财政拨款结转和结余</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34</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一、一般公共预算拨款</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75.63</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二、政府性基金预算拨款</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w:t>
            </w: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三、国有资本经营预算拨款</w:t>
            </w: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402"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37</w:t>
            </w: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收入总计</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3402"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支出总计</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47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cs="Times New Roman"/>
        </w:rPr>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2551" w:type="dxa"/>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5102" w:type="dxa"/>
            <w:gridSpan w:val="2"/>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5726"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功能分类科目</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基本支出</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科目编码</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科目名称</w:t>
            </w:r>
          </w:p>
        </w:tc>
        <w:tc>
          <w:tcPr>
            <w:tcW w:w="2551" w:type="dxa"/>
            <w:vMerge w:val="continue"/>
          </w:tcPr>
          <w:p>
            <w:pPr>
              <w:rPr>
                <w:rFonts w:cs="Times New Roman"/>
              </w:rPr>
            </w:pPr>
          </w:p>
        </w:tc>
        <w:tc>
          <w:tcPr>
            <w:tcW w:w="2551" w:type="dxa"/>
            <w:vMerge w:val="continue"/>
          </w:tcPr>
          <w:p>
            <w:pPr>
              <w:rPr>
                <w:rFonts w:cs="Times New Roman"/>
              </w:rPr>
            </w:pPr>
          </w:p>
        </w:tc>
        <w:tc>
          <w:tcPr>
            <w:tcW w:w="255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1191"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55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1463.63</w:t>
            </w:r>
          </w:p>
        </w:tc>
        <w:tc>
          <w:tcPr>
            <w:tcW w:w="255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870.00</w:t>
            </w:r>
          </w:p>
        </w:tc>
        <w:tc>
          <w:tcPr>
            <w:tcW w:w="255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公共安全支出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1150.63</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行政运行</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一般行政管理事务</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103.00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2040410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检察监督</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286.61</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2040499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其他检察支出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204.02</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社会保障和就业支出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行政事业单位养老支出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行政单位离退休</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2080505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机关事业单位基本养老保险缴费支出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2080506</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机关事业单位职业年金缴费支出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抚恤</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2080801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死亡抚恤</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住房保障支出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22102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住房改革支出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2210201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住房公积金</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cs="Times New Roman"/>
        </w:rPr>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2551" w:type="dxa"/>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5102" w:type="dxa"/>
            <w:gridSpan w:val="2"/>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5726"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支出部门经济分类科目</w:t>
            </w:r>
          </w:p>
        </w:tc>
        <w:tc>
          <w:tcPr>
            <w:tcW w:w="7654" w:type="dxa"/>
            <w:gridSpan w:val="3"/>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科目编码</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科目名称</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人员经费</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1191"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55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870.00</w:t>
            </w:r>
          </w:p>
        </w:tc>
        <w:tc>
          <w:tcPr>
            <w:tcW w:w="255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745.00</w:t>
            </w:r>
          </w:p>
        </w:tc>
        <w:tc>
          <w:tcPr>
            <w:tcW w:w="255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工资福利支出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508.00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508.00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基本工资</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津贴补贴</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30103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奖金</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30107</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绩效工资</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30108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机关事业单位基本养老保险缴费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30109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职业年金缴费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30110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职工基本医疗保险缴费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16.50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16.50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30112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其他社会保障缴费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30113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住房公积金</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30199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其他工资福利支出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商品和服务支出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114.00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30201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办公费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印刷费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30205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水费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30206</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30207</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邮电费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19</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30208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取暖费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30211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差旅费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30213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维修(护)费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30215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会议费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23</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30216</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30217</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公务接待费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30228</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工会经费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26</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30229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福利费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30231</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公务用车运行维护费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28</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30239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其他交通费用</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29</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30299</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其他商品和服务支出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303</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对个人和家庭的补助</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237.00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237.00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31</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30302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退休费</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32</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30304</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抚恤金</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75.00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33</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30305</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生活补助</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34</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310</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资本性支出</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w:t>
            </w: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31002</w:t>
            </w: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办公设备购置</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11.00</w:t>
            </w: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cs="Times New Roman"/>
        </w:rPr>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2551" w:type="dxa"/>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5102" w:type="dxa"/>
            <w:gridSpan w:val="2"/>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5726"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功能分类科目</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基本支出</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科目编码</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科目名称</w:t>
            </w:r>
          </w:p>
        </w:tc>
        <w:tc>
          <w:tcPr>
            <w:tcW w:w="2551" w:type="dxa"/>
            <w:vMerge w:val="continue"/>
          </w:tcPr>
          <w:p>
            <w:pPr>
              <w:rPr>
                <w:rFonts w:cs="Times New Roman"/>
              </w:rPr>
            </w:pPr>
          </w:p>
        </w:tc>
        <w:tc>
          <w:tcPr>
            <w:tcW w:w="2551" w:type="dxa"/>
            <w:vMerge w:val="continue"/>
          </w:tcPr>
          <w:p>
            <w:pPr>
              <w:rPr>
                <w:rFonts w:cs="Times New Roman"/>
              </w:rPr>
            </w:pPr>
          </w:p>
        </w:tc>
        <w:tc>
          <w:tcPr>
            <w:tcW w:w="255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rPr>
          <w:rFonts w:cs="Times New Roman"/>
        </w:rPr>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2551" w:type="dxa"/>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5102" w:type="dxa"/>
            <w:gridSpan w:val="2"/>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5726"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功能分类科目</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基本支出</w:t>
            </w:r>
          </w:p>
        </w:tc>
        <w:tc>
          <w:tcPr>
            <w:tcW w:w="2551"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科目编码</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科目名称</w:t>
            </w:r>
          </w:p>
        </w:tc>
        <w:tc>
          <w:tcPr>
            <w:tcW w:w="2551" w:type="dxa"/>
            <w:vMerge w:val="continue"/>
          </w:tcPr>
          <w:p>
            <w:pPr>
              <w:rPr>
                <w:rFonts w:cs="Times New Roman"/>
              </w:rPr>
            </w:pPr>
          </w:p>
        </w:tc>
        <w:tc>
          <w:tcPr>
            <w:tcW w:w="2551" w:type="dxa"/>
            <w:vMerge w:val="continue"/>
          </w:tcPr>
          <w:p>
            <w:pPr>
              <w:rPr>
                <w:rFonts w:cs="Times New Roman"/>
              </w:rPr>
            </w:pPr>
          </w:p>
        </w:tc>
        <w:tc>
          <w:tcPr>
            <w:tcW w:w="255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119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45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p>
        </w:tc>
        <w:tc>
          <w:tcPr>
            <w:tcW w:w="119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45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55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rPr>
          <w:rFonts w:cs="Times New Roman"/>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2381" w:type="dxa"/>
            <w:tcBorders>
              <w:top w:val="single" w:color="FFFFFF" w:sz="6" w:space="0"/>
              <w:left w:val="single" w:color="FFFFFF" w:sz="6" w:space="0"/>
              <w:right w:val="single" w:color="FFFFFF" w:sz="6" w:space="0"/>
            </w:tcBorders>
            <w:vAlign w:val="center"/>
          </w:tcPr>
          <w:p>
            <w:pPr>
              <w:spacing w:before="0" w:after="0"/>
              <w:ind w:firstLine="0"/>
              <w:jc w:val="center"/>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预算年度：2024</w:t>
            </w:r>
          </w:p>
        </w:tc>
        <w:tc>
          <w:tcPr>
            <w:tcW w:w="4762" w:type="dxa"/>
            <w:gridSpan w:val="2"/>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序号</w:t>
            </w:r>
          </w:p>
        </w:tc>
        <w:tc>
          <w:tcPr>
            <w:tcW w:w="3798"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  目</w:t>
            </w:r>
          </w:p>
        </w:tc>
        <w:tc>
          <w:tcPr>
            <w:tcW w:w="9524" w:type="dxa"/>
            <w:gridSpan w:val="4"/>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cs="Times New Roman"/>
              </w:rPr>
            </w:pPr>
          </w:p>
        </w:tc>
        <w:tc>
          <w:tcPr>
            <w:tcW w:w="3798" w:type="dxa"/>
            <w:vMerge w:val="continue"/>
          </w:tcPr>
          <w:p>
            <w:pPr>
              <w:rPr>
                <w:rFonts w:cs="Times New Roman"/>
              </w:rPr>
            </w:pP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一般公共预算              财政拨款</w:t>
            </w: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政府性基金                  预算拨款</w:t>
            </w: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栏次</w:t>
            </w:r>
          </w:p>
        </w:tc>
        <w:tc>
          <w:tcPr>
            <w:tcW w:w="379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w:t>
            </w: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w:t>
            </w: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w:t>
            </w: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w:t>
            </w:r>
          </w:p>
        </w:tc>
        <w:tc>
          <w:tcPr>
            <w:tcW w:w="238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379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238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23.00</w:t>
            </w:r>
          </w:p>
        </w:tc>
        <w:tc>
          <w:tcPr>
            <w:tcW w:w="238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23.00</w:t>
            </w:r>
          </w:p>
        </w:tc>
        <w:tc>
          <w:tcPr>
            <w:tcW w:w="238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“三公”经费小计</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23.00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23.00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一、因公出国（境）费</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其中：教学科研人员因公出国（境）费</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其他因公出国（境）费</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二、公务用车购置及运维费</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其中：公务用车购置费</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公务用车运行维护费</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w:t>
            </w:r>
          </w:p>
        </w:tc>
        <w:tc>
          <w:tcPr>
            <w:tcW w:w="379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三、公务接待费</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381"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容城县人民检察院2024年部门预算信息公开情况说明</w:t>
      </w:r>
    </w:p>
    <w:p>
      <w:pPr>
        <w:spacing w:before="0" w:after="0" w:line="240" w:lineRule="auto"/>
        <w:ind w:firstLine="0"/>
        <w:jc w:val="center"/>
        <w:outlineLvl w:val="9"/>
        <w:rPr>
          <w:rFonts w:cs="Times New Roman"/>
        </w:rPr>
      </w:pPr>
      <w:r>
        <w:rPr>
          <w:rFonts w:ascii="方正小标宋_GBK" w:hAnsi="方正小标宋_GBK" w:eastAsia="方正小标宋_GBK" w:cs="方正小标宋_GBK"/>
          <w:color w:val="000000"/>
          <w:sz w:val="44"/>
        </w:rPr>
        <w:t>容城县人民检察院2024年部门预算信息公开情况说明</w:t>
      </w:r>
    </w:p>
    <w:p>
      <w:pPr>
        <w:spacing w:before="0" w:after="0" w:line="500" w:lineRule="exact"/>
        <w:ind w:firstLine="560"/>
        <w:jc w:val="left"/>
        <w:outlineLvl w:val="9"/>
        <w:rPr>
          <w:rFonts w:cs="Times New Roman"/>
        </w:rPr>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按照《中华人民共和国预算法》、《地方预决算公开操作规程》和《关于进一步推进预算公开工作的实施意见》规定，现将容城县人民检察院2024年部门预算公开如下：</w:t>
      </w:r>
    </w:p>
    <w:p>
      <w:pPr>
        <w:spacing w:before="10" w:after="10" w:line="360" w:lineRule="auto"/>
        <w:ind w:firstLine="640"/>
        <w:jc w:val="left"/>
        <w:outlineLvl w:val="2"/>
        <w:rPr>
          <w:rFonts w:cs="Times New Roman"/>
        </w:rPr>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cs="Times New Roman"/>
        </w:rPr>
      </w:pPr>
      <w:r>
        <w:rPr>
          <w:rFonts w:ascii="方正楷体_GBK" w:hAnsi="方正楷体_GBK" w:eastAsia="方正楷体_GBK" w:cs="方正楷体_GBK"/>
          <w:b/>
          <w:color w:val="000000"/>
          <w:sz w:val="32"/>
        </w:rPr>
        <w:t>部门职责：</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（一）深入贯彻习近平新时代中国特色社会主义思想，深入贯彻党的路线方针和决策部署，坚持党对检查工作的绝对领导，坚决维护习近平总书记的核心地位，坚决维护党中央权威和集中统一领导。</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（二）依法向县人民代表大会及其常务委员会提出议案。</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（三）贯彻落实检察工作方针、总体规划，研究制定检察工作计划并组织实施。</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（四）依照法律规定对直接受理的刑事案件行使侦查权。</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（五）负责对管辖的各类刑事案件依法审查批准逮捕、决定逮捕、提起公诉。</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（六）负责应由本案承办的刑事、民事、行政诉讼活动及刑事、民事、行政判决和裁定等法律文书执行的法律监督工作。</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（七）负责应由本院承办的提起公益诉讼工作。</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（八）依法受理核准追诉案件，审查是否上报。</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（九）负责应由本院承办的对看守所、社区矫正等执法活动的法律监督工作。</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（十）受理本院的控告申诉。</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（十一）组织检察工作中法律政策具体应用问题的研究；组织开展检察理论研究工作。</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（十二）负责检察人员思想政治教育和业务培训工作；按照权限管理检察官和其他工作人员。</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（十三）负责本院检务督察工作。</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（十四）负责本院检务保障以及检察技术、信息化建设工作。</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（十五）完成其他应当由本院负责的工作。</w:t>
      </w:r>
    </w:p>
    <w:p>
      <w:pPr>
        <w:spacing w:before="0" w:after="0" w:line="500" w:lineRule="exact"/>
        <w:ind w:firstLine="560"/>
        <w:jc w:val="left"/>
        <w:outlineLvl w:val="9"/>
        <w:rPr>
          <w:rFonts w:ascii="Times New Roman" w:hAnsi="Times New Roman" w:eastAsia="方正仿宋_GBK" w:cs="Times New Roman"/>
          <w:color w:val="000000"/>
          <w:sz w:val="28"/>
          <w:szCs w:val="24"/>
          <w:lang w:val="en-US" w:eastAsia="uk-UA" w:bidi="ar-SA"/>
        </w:rPr>
      </w:pPr>
    </w:p>
    <w:p>
      <w:pPr>
        <w:spacing w:before="0" w:after="0" w:line="240" w:lineRule="auto"/>
        <w:ind w:firstLine="640"/>
        <w:jc w:val="left"/>
        <w:outlineLvl w:val="9"/>
        <w:rPr>
          <w:rFonts w:cs="Times New Roman"/>
        </w:rPr>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rPr>
          <w:rFonts w:cs="Times New Roman"/>
        </w:rPr>
      </w:pPr>
      <w:r>
        <w:rPr>
          <w:rFonts w:ascii="方正小标宋_GBK" w:hAnsi="方正小标宋_GBK" w:eastAsia="方正小标宋_GBK" w:cs="方正小标宋_GBK"/>
          <w:color w:val="000000"/>
          <w:sz w:val="32"/>
        </w:rPr>
        <w:t>部门机构设置情况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单位名称</w:t>
            </w:r>
          </w:p>
        </w:tc>
        <w:tc>
          <w:tcPr>
            <w:tcW w:w="1843"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单位性质</w:t>
            </w:r>
          </w:p>
        </w:tc>
        <w:tc>
          <w:tcPr>
            <w:tcW w:w="212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单位规格</w:t>
            </w:r>
          </w:p>
        </w:tc>
        <w:tc>
          <w:tcPr>
            <w:tcW w:w="3827"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容城县人民检察院</w:t>
            </w:r>
          </w:p>
        </w:tc>
        <w:tc>
          <w:tcPr>
            <w:tcW w:w="1843"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行政</w:t>
            </w:r>
          </w:p>
        </w:tc>
        <w:tc>
          <w:tcPr>
            <w:tcW w:w="212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正科级</w:t>
            </w:r>
          </w:p>
        </w:tc>
        <w:tc>
          <w:tcPr>
            <w:tcW w:w="3827"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财政拨款</w:t>
            </w:r>
          </w:p>
        </w:tc>
      </w:tr>
    </w:tbl>
    <w:p>
      <w:pPr>
        <w:spacing w:before="10" w:after="10" w:line="360" w:lineRule="auto"/>
        <w:ind w:firstLine="640"/>
        <w:jc w:val="left"/>
        <w:outlineLvl w:val="2"/>
        <w:rPr>
          <w:rFonts w:cs="Times New Roman"/>
        </w:rPr>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按照预算管理有关规定，目前我省部门预算的编制实行综合预算管理，即全部收入和支出都反映在预算中。容城县人民检察院机关及所属事业单位的收支包含在部门预算中。</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收入说明</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w:t>
      </w:r>
      <w:r>
        <w:rPr>
          <w:rFonts w:hint="eastAsia" w:ascii="Times New Roman" w:hAnsi="Times New Roman" w:eastAsia="方正仿宋_GBK" w:cs="Times New Roman"/>
          <w:color w:val="000000"/>
          <w:sz w:val="28"/>
          <w:szCs w:val="24"/>
          <w:lang w:val="en-US" w:eastAsia="zh-CN" w:bidi="ar-SA"/>
        </w:rPr>
        <w:t>容城县人民检察院</w:t>
      </w:r>
      <w:r>
        <w:rPr>
          <w:rFonts w:hint="eastAsia"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年预算收入</w:t>
      </w:r>
      <w:r>
        <w:rPr>
          <w:rFonts w:hint="eastAsia" w:ascii="Times New Roman" w:hAnsi="Times New Roman" w:eastAsia="方正仿宋_GBK" w:cs="Times New Roman"/>
          <w:color w:val="000000"/>
          <w:sz w:val="28"/>
          <w:szCs w:val="24"/>
          <w:lang w:val="en-US" w:eastAsia="zh-CN" w:bidi="ar-SA"/>
        </w:rPr>
        <w:t>1463.63</w:t>
      </w:r>
      <w:r>
        <w:rPr>
          <w:rFonts w:hint="eastAsia" w:ascii="Times New Roman" w:hAnsi="Times New Roman" w:eastAsia="方正仿宋_GBK" w:cs="Times New Roman"/>
          <w:color w:val="000000"/>
          <w:sz w:val="28"/>
          <w:szCs w:val="24"/>
          <w:lang w:val="en-US" w:eastAsia="uk-UA" w:bidi="ar-SA"/>
        </w:rPr>
        <w:t>万元，其中：一般公共预算收入</w:t>
      </w:r>
      <w:r>
        <w:rPr>
          <w:rFonts w:hint="eastAsia" w:ascii="Times New Roman" w:hAnsi="Times New Roman" w:eastAsia="方正仿宋_GBK" w:cs="Times New Roman"/>
          <w:color w:val="000000"/>
          <w:sz w:val="28"/>
          <w:szCs w:val="24"/>
          <w:lang w:val="en-US" w:eastAsia="zh-CN" w:bidi="ar-SA"/>
        </w:rPr>
        <w:t>1388</w:t>
      </w:r>
      <w:r>
        <w:rPr>
          <w:rFonts w:hint="eastAsia"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上年结转收入75.63万元，</w:t>
      </w:r>
      <w:r>
        <w:rPr>
          <w:rFonts w:hint="eastAsia" w:ascii="Times New Roman" w:hAnsi="Times New Roman" w:eastAsia="方正仿宋_GBK" w:cs="Times New Roman"/>
          <w:color w:val="000000"/>
          <w:sz w:val="28"/>
          <w:szCs w:val="24"/>
          <w:lang w:val="en-US" w:eastAsia="uk-UA" w:bidi="ar-SA"/>
        </w:rPr>
        <w:t>基金预算收入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万元，财政专户核拨收入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万元，其他来源收入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支出说明</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w:t>
      </w:r>
      <w:r>
        <w:rPr>
          <w:rFonts w:hint="eastAsia" w:ascii="Times New Roman" w:hAnsi="Times New Roman" w:eastAsia="方正仿宋_GBK" w:cs="Times New Roman"/>
          <w:color w:val="000000"/>
          <w:sz w:val="28"/>
          <w:szCs w:val="24"/>
          <w:lang w:val="en-US" w:eastAsia="zh-CN" w:bidi="ar-SA"/>
        </w:rPr>
        <w:t>容城县人民检察院</w:t>
      </w:r>
      <w:r>
        <w:rPr>
          <w:rFonts w:hint="eastAsia" w:ascii="Times New Roman" w:hAnsi="Times New Roman" w:eastAsia="方正仿宋_GBK" w:cs="Times New Roman"/>
          <w:color w:val="000000"/>
          <w:sz w:val="28"/>
          <w:szCs w:val="24"/>
          <w:lang w:val="en-US" w:eastAsia="uk-UA" w:bidi="ar-SA"/>
        </w:rPr>
        <w:t>年度部门预算中支出预算的总体情况。202</w:t>
      </w:r>
      <w:r>
        <w:rPr>
          <w:rFonts w:hint="eastAsia" w:ascii="Times New Roman" w:hAnsi="Times New Roman"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年支出预算</w:t>
      </w:r>
      <w:r>
        <w:rPr>
          <w:rFonts w:hint="eastAsia" w:ascii="Times New Roman" w:hAnsi="Times New Roman" w:eastAsia="方正仿宋_GBK" w:cs="Times New Roman"/>
          <w:color w:val="000000"/>
          <w:sz w:val="28"/>
          <w:szCs w:val="24"/>
          <w:lang w:val="en-US" w:eastAsia="zh-CN" w:bidi="ar-SA"/>
        </w:rPr>
        <w:t>1463.63</w:t>
      </w:r>
      <w:r>
        <w:rPr>
          <w:rFonts w:hint="eastAsia"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870</w:t>
      </w:r>
      <w:r>
        <w:rPr>
          <w:rFonts w:hint="eastAsia"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745</w:t>
      </w:r>
      <w:r>
        <w:rPr>
          <w:rFonts w:hint="eastAsia"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125</w:t>
      </w:r>
      <w:r>
        <w:rPr>
          <w:rFonts w:hint="eastAsia"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593.63</w:t>
      </w:r>
      <w:r>
        <w:rPr>
          <w:rFonts w:hint="eastAsia" w:ascii="Times New Roman" w:hAnsi="Times New Roman" w:eastAsia="方正仿宋_GBK" w:cs="Times New Roman"/>
          <w:color w:val="000000"/>
          <w:sz w:val="28"/>
          <w:szCs w:val="24"/>
          <w:lang w:val="en-US" w:eastAsia="uk-UA" w:bidi="ar-SA"/>
        </w:rPr>
        <w:t>万元，主要为</w:t>
      </w:r>
      <w:r>
        <w:rPr>
          <w:rFonts w:hint="eastAsia" w:ascii="Times New Roman" w:hAnsi="Times New Roman" w:eastAsia="方正仿宋_GBK" w:cs="Times New Roman"/>
          <w:color w:val="000000"/>
          <w:sz w:val="28"/>
          <w:szCs w:val="24"/>
          <w:lang w:val="en-US" w:eastAsia="zh-CN" w:bidi="ar-SA"/>
        </w:rPr>
        <w:t>机关运转经费项目、司法救助项目、劳务派遣人员经费项目、机要通信车辆购置项目、公益诉讼指挥中心（数字化办案区）建设项目、中央政法纪检监察转移支付资金项目、省级基层公检法司转移支付资金项目以及上年结转项目</w:t>
      </w:r>
      <w:r>
        <w:rPr>
          <w:rFonts w:hint="eastAsia" w:ascii="Times New Roman" w:hAnsi="Times New Roman" w:eastAsia="方正仿宋_GBK" w:cs="Times New Roman"/>
          <w:color w:val="000000"/>
          <w:sz w:val="28"/>
          <w:szCs w:val="24"/>
          <w:lang w:val="en-US" w:eastAsia="uk-UA" w:bidi="ar-SA"/>
        </w:rPr>
        <w:t>等；其他支出</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2024</w:t>
      </w:r>
      <w:r>
        <w:rPr>
          <w:rFonts w:hint="eastAsia" w:ascii="Times New Roman" w:hAnsi="Times New Roman" w:eastAsia="方正仿宋_GBK" w:cs="Times New Roman"/>
          <w:color w:val="000000"/>
          <w:sz w:val="28"/>
          <w:szCs w:val="24"/>
          <w:lang w:val="en-US" w:eastAsia="uk-UA" w:bidi="ar-SA"/>
        </w:rPr>
        <w:t>年预算收支安排</w:t>
      </w:r>
      <w:r>
        <w:rPr>
          <w:rFonts w:hint="eastAsia" w:ascii="Times New Roman" w:hAnsi="Times New Roman" w:eastAsia="方正仿宋_GBK" w:cs="Times New Roman"/>
          <w:color w:val="000000"/>
          <w:sz w:val="28"/>
          <w:szCs w:val="24"/>
          <w:lang w:val="en-US" w:eastAsia="zh-CN" w:bidi="ar-SA"/>
        </w:rPr>
        <w:t>1463.63</w:t>
      </w:r>
      <w:r>
        <w:rPr>
          <w:rFonts w:hint="eastAsia" w:ascii="Times New Roman" w:hAnsi="Times New Roman" w:eastAsia="方正仿宋_GBK" w:cs="Times New Roman"/>
          <w:color w:val="000000"/>
          <w:sz w:val="28"/>
          <w:szCs w:val="24"/>
          <w:lang w:val="en-US" w:eastAsia="uk-UA" w:bidi="ar-SA"/>
        </w:rPr>
        <w:t>万元，较202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年预算</w:t>
      </w:r>
      <w:r>
        <w:rPr>
          <w:rFonts w:hint="eastAsia" w:ascii="Times New Roman" w:hAnsi="Times New Roman" w:eastAsia="方正仿宋_GBK" w:cs="Times New Roman"/>
          <w:color w:val="000000"/>
          <w:sz w:val="28"/>
          <w:szCs w:val="24"/>
          <w:lang w:val="en-US" w:eastAsia="zh-CN" w:bidi="ar-SA"/>
        </w:rPr>
        <w:t>减少56.37</w:t>
      </w:r>
      <w:r>
        <w:rPr>
          <w:rFonts w:hint="eastAsia"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减少175</w:t>
      </w:r>
      <w:r>
        <w:rPr>
          <w:rFonts w:hint="eastAsia" w:ascii="Times New Roman" w:hAnsi="Times New Roman" w:eastAsia="方正仿宋_GBK" w:cs="Times New Roman"/>
          <w:color w:val="000000"/>
          <w:sz w:val="28"/>
          <w:szCs w:val="24"/>
          <w:lang w:val="en-US" w:eastAsia="uk-UA" w:bidi="ar-SA"/>
        </w:rPr>
        <w:t>万元，主要为</w:t>
      </w:r>
      <w:r>
        <w:rPr>
          <w:rFonts w:hint="eastAsia" w:ascii="Times New Roman" w:hAnsi="Times New Roman" w:eastAsia="方正仿宋_GBK" w:cs="Times New Roman"/>
          <w:color w:val="000000"/>
          <w:sz w:val="28"/>
          <w:szCs w:val="24"/>
          <w:lang w:val="en-US" w:eastAsia="zh-CN" w:bidi="ar-SA"/>
        </w:rPr>
        <w:t>人员工资减少</w:t>
      </w:r>
      <w:r>
        <w:rPr>
          <w:rFonts w:hint="eastAsia" w:ascii="Times New Roman" w:hAnsi="Times New Roman" w:eastAsia="方正仿宋_GBK" w:cs="Times New Roman"/>
          <w:color w:val="000000"/>
          <w:sz w:val="28"/>
          <w:szCs w:val="24"/>
          <w:lang w:val="en-US" w:eastAsia="uk-UA" w:bidi="ar-SA"/>
        </w:rPr>
        <w:t>；项目支出增加</w:t>
      </w:r>
      <w:r>
        <w:rPr>
          <w:rFonts w:hint="eastAsia" w:ascii="Times New Roman" w:hAnsi="Times New Roman" w:eastAsia="方正仿宋_GBK" w:cs="Times New Roman"/>
          <w:color w:val="000000"/>
          <w:sz w:val="28"/>
          <w:szCs w:val="24"/>
          <w:lang w:val="en-US" w:eastAsia="zh-CN" w:bidi="ar-SA"/>
        </w:rPr>
        <w:t>118.63</w:t>
      </w:r>
      <w:r>
        <w:rPr>
          <w:rFonts w:hint="eastAsia" w:ascii="Times New Roman" w:hAnsi="Times New Roman" w:eastAsia="方正仿宋_GBK" w:cs="Times New Roman"/>
          <w:color w:val="000000"/>
          <w:sz w:val="28"/>
          <w:szCs w:val="24"/>
          <w:lang w:val="en-US" w:eastAsia="uk-UA" w:bidi="ar-SA"/>
        </w:rPr>
        <w:t>万元，主要为</w:t>
      </w:r>
      <w:r>
        <w:rPr>
          <w:rFonts w:hint="eastAsia" w:ascii="Times New Roman" w:hAnsi="Times New Roman" w:eastAsia="方正仿宋_GBK" w:cs="Times New Roman"/>
          <w:color w:val="000000"/>
          <w:sz w:val="28"/>
          <w:szCs w:val="24"/>
          <w:lang w:val="en-US" w:eastAsia="zh-CN" w:bidi="ar-SA"/>
        </w:rPr>
        <w:t>中央政法纪检监察转移支付资金增加</w:t>
      </w:r>
      <w:r>
        <w:rPr>
          <w:rFonts w:hint="eastAsia" w:ascii="Times New Roman" w:hAnsi="Times New Roman" w:eastAsia="方正仿宋_GBK" w:cs="Times New Roman"/>
          <w:color w:val="000000"/>
          <w:sz w:val="28"/>
          <w:szCs w:val="24"/>
          <w:lang w:val="en-US" w:eastAsia="uk-UA" w:bidi="ar-SA"/>
        </w:rPr>
        <w:t>；其他支出</w:t>
      </w:r>
      <w:r>
        <w:rPr>
          <w:rFonts w:hint="eastAsia" w:ascii="Times New Roman" w:hAnsi="Times New Roman" w:eastAsia="方正仿宋_GBK" w:cs="Times New Roman"/>
          <w:color w:val="000000"/>
          <w:sz w:val="28"/>
          <w:szCs w:val="24"/>
          <w:lang w:val="en-US" w:eastAsia="zh-CN" w:bidi="ar-SA"/>
        </w:rPr>
        <w:t>无变化。</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p>
    <w:p>
      <w:pPr>
        <w:spacing w:before="10" w:after="10" w:line="360" w:lineRule="auto"/>
        <w:ind w:firstLine="640"/>
        <w:jc w:val="left"/>
        <w:outlineLvl w:val="2"/>
        <w:rPr>
          <w:rFonts w:cs="Times New Roman"/>
        </w:rPr>
      </w:pPr>
      <w:bookmarkStart w:id="11" w:name="_Toc_3_3_0000000012"/>
      <w:r>
        <w:rPr>
          <w:rFonts w:ascii="黑体" w:hAnsi="黑体" w:eastAsia="黑体" w:cs="黑体"/>
          <w:color w:val="000000"/>
          <w:sz w:val="32"/>
        </w:rPr>
        <w:t>三、机关运行经费安排情况</w:t>
      </w:r>
      <w:bookmarkEnd w:id="11"/>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我院公用经费按照2.8万元/人标准（编制30人）执行，机关运行经费安排如下：办公费11万元，印刷费8万，水费2万元，电费22万元，邮电费7万元，取暖费3万，差旅费2万元，维修（护）费6万元，培训费3万，会议费1万，办公设备购置费11万元，公务用车运行维护费4万元，其他交通费用12万元，其他商品和服务支出18万元，公务接待费1万元，工会经费6万元，福利费8万元，合计125万元。</w:t>
      </w:r>
    </w:p>
    <w:p>
      <w:pPr>
        <w:spacing w:before="10" w:after="10" w:line="360" w:lineRule="auto"/>
        <w:ind w:firstLine="640"/>
        <w:jc w:val="left"/>
        <w:outlineLvl w:val="2"/>
        <w:rPr>
          <w:rFonts w:cs="Times New Roman"/>
        </w:rPr>
      </w:pPr>
      <w:bookmarkStart w:id="12" w:name="_Toc_3_3_0000000013"/>
      <w:r>
        <w:rPr>
          <w:rFonts w:ascii="黑体" w:hAnsi="黑体" w:eastAsia="黑体" w:cs="黑体"/>
          <w:color w:val="000000"/>
          <w:sz w:val="32"/>
        </w:rPr>
        <w:t>四、财政拨款“三公”经费预算情况及增减变化原因</w:t>
      </w:r>
      <w:bookmarkEnd w:id="12"/>
    </w:p>
    <w:p>
      <w:pPr>
        <w:spacing w:before="0" w:after="0" w:line="500" w:lineRule="exact"/>
        <w:ind w:firstLine="560"/>
        <w:jc w:val="left"/>
        <w:outlineLvl w:val="9"/>
        <w:rPr>
          <w:rFonts w:hint="default"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财政拨款“三公”经费预算</w:t>
      </w:r>
      <w:r>
        <w:rPr>
          <w:rFonts w:hint="default" w:ascii="Times New Roman" w:hAnsi="Times New Roman" w:eastAsia="方正仿宋_GBK" w:cs="Times New Roman"/>
          <w:color w:val="000000"/>
          <w:sz w:val="28"/>
          <w:szCs w:val="24"/>
          <w:lang w:val="en-US" w:eastAsia="zh-CN" w:bidi="ar-SA"/>
        </w:rPr>
        <w:t>23</w:t>
      </w:r>
      <w:r>
        <w:rPr>
          <w:rFonts w:hint="eastAsia" w:ascii="Times New Roman" w:hAnsi="Times New Roman" w:eastAsia="方正仿宋_GBK" w:cs="Times New Roman"/>
          <w:color w:val="000000"/>
          <w:sz w:val="28"/>
          <w:szCs w:val="24"/>
          <w:lang w:val="en-US" w:eastAsia="zh-CN" w:bidi="ar-SA"/>
        </w:rPr>
        <w:t>万，安排如下：1.公务接待费1万元;2.公务用车购置18万元</w:t>
      </w:r>
      <w:r>
        <w:rPr>
          <w:rFonts w:hint="default"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zh-CN" w:bidi="ar-SA"/>
        </w:rPr>
        <w:t>公务用车运行维护费4万元</w:t>
      </w:r>
      <w:r>
        <w:rPr>
          <w:rFonts w:hint="default" w:ascii="Times New Roman" w:hAnsi="Times New Roman" w:eastAsia="方正仿宋_GBK" w:cs="Times New Roman"/>
          <w:color w:val="000000"/>
          <w:sz w:val="28"/>
          <w:szCs w:val="24"/>
          <w:lang w:val="en-US" w:eastAsia="zh-CN" w:bidi="ar-SA"/>
        </w:rPr>
        <w:t>。</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2024年拟购置新车一辆，较上年增加车辆购置预算。</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p>
    <w:p>
      <w:pPr>
        <w:spacing w:before="10" w:after="10" w:line="360" w:lineRule="auto"/>
        <w:ind w:firstLine="640"/>
        <w:jc w:val="left"/>
        <w:outlineLvl w:val="2"/>
        <w:rPr>
          <w:rFonts w:cs="Times New Roman"/>
        </w:rPr>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rPr>
          <w:rFonts w:cs="Times New Roman"/>
        </w:rPr>
      </w:pPr>
      <w:r>
        <w:rPr>
          <w:rFonts w:ascii="Times New Roman" w:hAnsi="Times New Roman" w:eastAsia="方正仿宋_GBK" w:cs="Times New Roman"/>
          <w:color w:val="000000"/>
          <w:sz w:val="28"/>
        </w:rPr>
        <w:t>（一）总体绩效目标</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2024年，我们将坚持以习近平新时代中国特色社会主义思想和党的二十大精神为指导，坚持党对检察工作的绝对领导，坚持以人民为中心的发展思想，认真落实“讲政治、顾大局、谋发展、重自强”的新时代检察工作新要求，聚焦法律监督责任，忠诚履职，开拓进取，推动检察事业全面发展。</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1）旗帜鲜明讲政治，确保检察工作正确方向。深刻分析把握新形势新任务，始终坚持党的绝对领导，不断增强“四个意识”、坚定“四个自信”，做到“两个维护”，政治上、思想上、行动上与党中央保持高度一致。研究制定年度工作方案、工作计划，不断强化政治理论武装，认真学习贯彻《中国共产党政法工作条例》，坚持以党的建设推进检察工作开展，在执法思想、执法实践、执法作风方面真正体现中国特色社会主义的正确方向。</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履职尽责促发展，在服务大局上做出新贡献。严厉打击危害国家安全、公共安全、网络安全犯罪，健全扫黑除恶常态化工作机制，坚持和发展新时代“枫桥经验”，深化群众信访件件回复工作，针对社会管理提出检察建议，促进治理体系和治理能力现代化。扎实做好征迁、回迁安置和服务重点项目建设，努力使检察工作与经济社会发展大局相适应、相协调、相促进。</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3）聚焦主业强监督，切实维护社会公平正义。健全行政执法和刑事司法衔接机制，坚决克服有案不移、以罚代刑现象。做优刑事检察，深化认罪认罚从宽制度，加大速裁、简易程序适用率。做强民事检察，深入实施民法典，持续深入开展虚假诉讼监督。做实行政检察，常态化做好行政争议实质性化解工作。做好公益诉讼检察，探索扩大公益诉讼案件范围，维护社会公共利益。</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4）从严治检不停步，全面强化检察队伍建设。强化政治机关意识，落实全面从严治党要求，把政治建设放在首位，确保检察人员绝对忠诚、绝对纯洁、绝对可靠。巩固检察队伍教育整顿成果，深入推动解决顽瘴痼疾。围绕专业化建设目标，全面提升检察人员专业知识、专业能力、专业作风、专业精神。认真落实中央八项规定和县委关于纪律作风建设的各项要求，严格监督执纪问责，常态化开展检务督察，努力打造一支检察铁军。</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p>
    <w:p>
      <w:pPr>
        <w:spacing w:before="0" w:after="0" w:line="500" w:lineRule="exact"/>
        <w:ind w:firstLine="560"/>
        <w:jc w:val="left"/>
        <w:outlineLvl w:val="9"/>
        <w:rPr>
          <w:rFonts w:cs="Times New Roman"/>
        </w:rPr>
      </w:pPr>
      <w:r>
        <w:rPr>
          <w:rFonts w:ascii="Times New Roman" w:hAnsi="Times New Roman" w:eastAsia="方正仿宋_GBK" w:cs="Times New Roman"/>
          <w:color w:val="000000"/>
          <w:sz w:val="28"/>
        </w:rPr>
        <w:t>（二）分项绩效目标</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1）检察监督工作：通过行使检察权、惩罚犯罪活动、保护国家安全、保护法律打击犯罪、保障人权、维护司法公正。全面审查案件真实，核实证据，依法提出审查意见，保障刑罚执行和刑事执行活动的有序进行，提高执法水平和办案质量，提升检察机关法律监督能力。</w:t>
      </w:r>
    </w:p>
    <w:p>
      <w:pPr>
        <w:spacing w:before="0" w:after="0" w:line="500" w:lineRule="exact"/>
        <w:ind w:firstLine="560"/>
        <w:jc w:val="left"/>
        <w:outlineLvl w:val="9"/>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控告和刑事申诉检察:受理来信来访、举报、国家赔偿、司法救助工作，受理民事监督案件，办理县院管辖的信访、举报案件、国家赔偿、司法救助案件以及上级机关交办、转办、督办案件。保护公民、法人和其他单位的合法权益，促进司法公正，维护社会稳定。</w:t>
      </w:r>
    </w:p>
    <w:p>
      <w:pPr>
        <w:spacing w:before="0" w:after="0" w:line="500" w:lineRule="exact"/>
        <w:ind w:firstLine="560"/>
        <w:jc w:val="left"/>
        <w:outlineLvl w:val="9"/>
        <w:rPr>
          <w:rFonts w:hint="eastAsia" w:ascii="宋体" w:hAnsi="宋体" w:eastAsia="宋体" w:cs="宋体"/>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（3）检察事务管理工作:承担系统内综合事务管理工作，确保全面各项检察工作圆满完成。</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p>
    <w:p>
      <w:pPr>
        <w:spacing w:before="0" w:after="0" w:line="500" w:lineRule="exact"/>
        <w:ind w:firstLine="560"/>
        <w:jc w:val="left"/>
        <w:outlineLvl w:val="9"/>
        <w:rPr>
          <w:rFonts w:cs="Times New Roman"/>
        </w:rPr>
      </w:pPr>
      <w:r>
        <w:rPr>
          <w:rFonts w:ascii="Times New Roman" w:hAnsi="Times New Roman" w:eastAsia="方正仿宋_GBK" w:cs="Times New Roman"/>
          <w:color w:val="000000"/>
          <w:sz w:val="28"/>
        </w:rPr>
        <w:t>（三）工作保障措施</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p>
    <w:p>
      <w:pPr>
        <w:spacing w:line="500" w:lineRule="exact"/>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1）认真做好控告申诉工作，化解社会矛盾，服务经济建设。①畅通信访渠道，妥善解决群众诉求。认真做好群众的来信来访工作，对群众反映的问题认真对待并加以解决。②进一度针对“12309检察服务”的功能和作用加大宣传力度，扩大影响范围。认真做好法律宣传工作，提高宣传实效，起到鼓励群众举报、咨询、解决诉求的效果。</w:t>
      </w:r>
    </w:p>
    <w:p>
      <w:pPr>
        <w:spacing w:line="500" w:lineRule="exact"/>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提高检察建议质量和效果，把检察建议作为促进社会管理创新的重要抓手。立足检察职能，结合查办案件、提起公诉、批准逮捕、民事行政检察和预防未成年人犯罪等工作，有针对性的提出检察建议，强化管理，消除隐患。</w:t>
      </w:r>
    </w:p>
    <w:p>
      <w:pPr>
        <w:spacing w:line="500" w:lineRule="exact"/>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3）促进公正廉洁执法，维护司法公正。①切实加强侦查活动的监督。重点监督对不该立案而立案的问题，及时发现和纠正违法动用刑事手段，加强立案监督的跟踪督办，防止立而不侦，侦而不结，加强对治安处罚案件的监督，防止以罚代刑。②加强对民事行政审判活动的监督，确保司法公正。突出强化对民事经济审判、行政诉讼的检察工作，已经发生法律效力但却有错误的判决和裁定，坚决依法提起抗诉。</w:t>
      </w:r>
    </w:p>
    <w:p>
      <w:pPr>
        <w:spacing w:line="500" w:lineRule="exact"/>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（4）进一步加强党风廉政建设。深入贯彻习近平新时代中国特色社会主义思想，坚持党对检察工作的绝对领导，围绕“强化法律监督，维护公平正义”的主题，严肃执法，公正办案，维护人民群众的利益。</w:t>
      </w:r>
    </w:p>
    <w:p>
      <w:pPr>
        <w:rPr>
          <w:rFonts w:hint="eastAsia" w:ascii="Times New Roman" w:hAnsi="Times New Roman" w:eastAsia="方正仿宋_GBK" w:cs="Times New Roman"/>
          <w:color w:val="000000"/>
          <w:sz w:val="28"/>
          <w:szCs w:val="24"/>
          <w:lang w:val="en-US" w:eastAsia="zh-CN" w:bidi="ar-SA"/>
        </w:rPr>
        <w:sectPr>
          <w:pgSz w:w="16840" w:h="11900" w:orient="landscape"/>
          <w:pgMar w:top="1361" w:right="1020" w:bottom="1361" w:left="1020" w:header="720" w:footer="720" w:gutter="0"/>
          <w:cols w:space="720" w:num="1"/>
        </w:sectPr>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keepNext w:val="0"/>
        <w:keepLines w:val="0"/>
        <w:pageBreakBefore w:val="0"/>
        <w:widowControl/>
        <w:numPr>
          <w:ilvl w:val="0"/>
          <w:numId w:val="0"/>
        </w:numPr>
        <w:kinsoku/>
        <w:wordWrap/>
        <w:overflowPunct/>
        <w:topLinePunct w:val="0"/>
        <w:autoSpaceDE/>
        <w:autoSpaceDN/>
        <w:bidi w:val="0"/>
        <w:adjustRightInd/>
        <w:snapToGrid/>
        <w:spacing w:before="10" w:after="10" w:line="360" w:lineRule="auto"/>
        <w:ind w:firstLine="560" w:firstLineChars="200"/>
        <w:jc w:val="left"/>
        <w:textAlignment w:val="auto"/>
        <w:outlineLvl w:val="2"/>
        <w:rPr>
          <w:rFonts w:hint="default" w:ascii="黑体" w:hAnsi="黑体" w:eastAsia="黑体" w:cs="黑体"/>
          <w:color w:val="000000"/>
          <w:sz w:val="32"/>
        </w:rPr>
        <w:sectPr>
          <w:pgSz w:w="16840" w:h="11900" w:orient="landscape"/>
          <w:pgMar w:top="1361" w:right="1020" w:bottom="1134" w:left="1020" w:header="720" w:footer="720" w:gutter="0"/>
          <w:cols w:space="720" w:num="1"/>
        </w:sectPr>
      </w:pPr>
      <w:r>
        <w:rPr>
          <w:rFonts w:hint="default" w:ascii="Times New Roman" w:hAnsi="Times New Roman" w:eastAsia="方正仿宋_GBK" w:cs="Times New Roman"/>
          <w:color w:val="000000"/>
          <w:sz w:val="28"/>
          <w:szCs w:val="24"/>
          <w:lang w:eastAsia="zh-CN" w:bidi="ar-SA"/>
        </w:rPr>
        <w:t>无，我单位无专项资金。</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rPr>
          <w:rFonts w:cs="Times New Roman"/>
        </w:rPr>
      </w:pPr>
      <w:r>
        <w:rPr>
          <w:rFonts w:ascii="方正仿宋_GBK" w:hAnsi="方正仿宋_GBK" w:eastAsia="方正仿宋_GBK" w:cs="方正仿宋_GBK"/>
          <w:color w:val="000000"/>
          <w:sz w:val="28"/>
        </w:rPr>
        <w:t>1、公益诉讼指挥中心（数字化办案区）建设项目绩效目标表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13660024P00003110006M</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公益诉讼指挥中心（数字化办案区）建设项目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用于公益诉讼指挥中心中的数字化办案区的功能提升改造工作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1.保障公益诉讼检察业务工作的需求，提高工作质量。</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2.加大公益诉讼检察大数据应用力度，提升公益诉讼办案智能化水平。</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办案数量</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支持办结案数量</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≥5件</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办案工作质量</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办案过程中的完成情况</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办案过程中的完成情况</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资金支付进度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资金支付及时率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严格控制成本，执行预算</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不超出预算金额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提升规范化办案水平</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全面履行公益诉讼检察职能及其他检察业务的开展，提高办案工作质效，实现办案工作信息化、数字化</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规范化办案效率</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为办案工作持续提供高效服务</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持续增强做好公益诉讼检察工作的责任感和使命感</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保障检察工作有序开展</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干警满意度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干警满意度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年度工作报告</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2、机关运转经费项目绩效目标表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13660024P004780100051</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机关运转经费项目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85.00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85.00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17.00</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43.00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70.00</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1.通过购买安保、食堂、物业等人员劳务服务，提供安全、卫生的工作环境，实现机关有序稳定运转。</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年度工作目标完成率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年度工作目标完成率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≥98%</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年度工作目标完成情况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保障目标圆满落实</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保障目标圆满落实</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资金支付及时性</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资金支付及时性</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预算控制数</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严格执行预算，控制各项成本</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不超过预算限额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通过提高办案质效，提高司法公信力</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全面履行检察职能，提高办案质效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提升检察形象</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提升检察形象</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助力新区发展，提升检察形象</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服务对象满意度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服务对象满意度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服务干警满意度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3、机要通信车辆购置绩效目标表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13660024P000031100052</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机要通信车辆购置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用于机要通信车辆购置。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1.保障机要文件及时安全的送达。</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2.充分履行检察职能，着力提高办案质效。</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购置机要通信车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新能源汽车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1辆</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《容城县公务用车制度改革领导小组办公室关于容城县检察院用车编制的情况说明》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保障公务出行</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保障机要通信应急及公务出行</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出车次数</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车辆使用率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按时派车，保障日常工作</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及时出车</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采购成本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按购置标准进行采购</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价格不超过18万</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《河北省党政机关公务用车管理实施办法》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每年定期对车辆进行检测、保养，保障驾驶人安全出行</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车辆检测、保养单</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根据公务用车管理规定要求执行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生态效益</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低碳环保出行</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低碳环保出行</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干警满意度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干警满意度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≥98%</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干警满意度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4、劳务派遣人员经费项目绩效目标表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13660024P00003110004E</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劳务派遣人员经费项目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87.00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87.00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用于发放劳务派遣人员工资及社保缴纳。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21.75</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43.50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72.50</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1.及时准确发放工资，足额缴纳保险，确保劳务派遣人员待遇。</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2.规范人员管理和考核，实现人员工作价值，有效推进检察工作开展。</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足额保障</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足额发放工资，缴纳保险</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足额发放工资，缴纳保险</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符合政策规定</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工资构成及保险缴纳比例符合政策规定</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工资构成及保险缴纳比例符合政策规定</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当地社保、公积金部门固定缴纳比例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及时发放</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及时保障待遇发放，不拖不欠，按月按时</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及时发放工资、缴纳保险</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在社保、公积金部门规定的时间内完成缴纳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差错成本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因差错导致工资错误或保险缴纳错误</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≤5差错率（%）</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提高干警工作积极性，提高工作质效</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全面履行检察职责，提高办案质效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保障检察工作顺利开展</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保障检察工作顺利开展</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充实检察人员力量，保障检察工作有序开展</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服务对象待遇保障满意度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服务对象待遇保障满意度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服务对象待遇保障满意度</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年终考核</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5、司法救助资金项目绩效目标表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13660024P00003010005C</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司法救助资金项目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援助申请人解决生活困境，通过司法救助，实现社会公平正义。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9.00</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1.及时、足额、准确的发放救助金，帮助申请人解决生活困境。</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2.通过司法救助，让人民群众感受到司法公平正义，传递司法温度。</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受理司法救助案件数量</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受理司法救助案件数量</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≥10件</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以往年度受理案件数量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司法救助金发放合规性</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司法救助金发放范围、发放标准、发放程序符合相关法规制度的规定</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《诉讼法》、《建立完善国家司法救助制度的意见（试行）》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及时发放率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对符合标准的申请人，应当及时发放救助金</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≥98%</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救助资金及时发放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司法救助标准</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司法救助标准</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维持当地基本生活水平</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《建立完善国家司法救助制度的意见（试行）》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司法救助水平提高</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司法救助工作从提交审核到完成救助金发放，工作流程更加顺畅，工作水平不断提高</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理顺工作程序，提高工作水平</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《建立完善国家司法救助制度的意见（试行）》、年度工作报告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政策知晓率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政策知晓率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《建立完善国家司法救助制度的意见（试行）》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受助群众满意度</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申请人对检察机关受理申请、发放救助金、救助申请人工作的满意度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≥95分</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河北省检察机关满意度评估报告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6、提前下达2023年省级基层公检法司转移支付资金绩效目标表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13660023P00473510008M</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提前下达2023年省级基层公检法司转移支付资金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5.02</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5.02</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通过业务经费开支，充分履行检察职能，着力提高办案质效，推动四大检察工作全面协调充分发展，实现检察工作更上新台阶。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5.02</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1.通过业务经费开支，充分履行检察职能，着力提高办案质效，推动四大检察工作全面协调充分发展，实现检察工作更上新台阶。</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检察业务覆盖领域</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检察业务工作开展能覆盖种类数量</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4协同推进四大检察</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≥85案件符合评查标准率应大于85%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案件及时办结率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及时办结案件占收案数量比例</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≥85案件及时办结率应大于85%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严格执行预算，控制各项成本</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不超过预算限额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通过提高办案质效提高司法公信力</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全面履行检察职责，提高办案质效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提高装备保障力度</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社会公众对检察工作的满意度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≥85社会调查满意度大于85分</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河北省群众安全感和政法队伍满意调查结果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7、提前下达2023年中央政法纪检监察转移支付资金（容城检察院）绩效目标表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13660023P004734100080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提前下达2023年中央政法纪检监察转移支付资金（容城检察院）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1.01</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1.01</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通过业务经费开支，充分履行检察职能，着力提高办案质效，推动四大检察工作全面协调充分发展，实现检察工作更上新台阶。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1.01</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1.通过业务经费开支，充分履行检察职能，着力提高办案质效，推动四大检察工作全面协调充分发展，实现检察工作更上新台阶。</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检察业务覆盖领域</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检察业务工作开展能覆盖种类数量</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4协同推进四大检察</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≥85案件符合评查标准率应大于85%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案件及时办结率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及时办结案件占收案数量比例</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≥85案件及时办结率应大于85%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严格执行预算，控制各项成本</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不超过预算限额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通过提高办案质效提高司法公信力</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全面履行检察职责，提高办案质效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提高装备保障力度</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社会公众对检察工作的满意度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≥85社会调查满意度大于85分</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河北省群众安全感和政法队伍满意调查结果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8、提前下达2023年中央政法纪检监察转移支付资金（新区分院）绩效目标表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13660023P00473410009K</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提前下达2023年中央政法纪检监察转移支付资金（新区分院）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69.40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69.40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通过业务经费开支，充分履行检察职能，着力提高办案质效，推动四大检察工作全面协调充分发展，实现检察工作更上新台阶。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45.00</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69.40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1.通过业务经费开支，充分履行检察职能，着力提高办案质效，推动四大检察工作全面协调充分发展，实现检察工作更上新台阶。</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检察业务覆盖领域</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检察业务工作开展能覆盖种类数量</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4协同推进四大检察</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≥85案件符合评查标准率应大于85%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案件及时办结率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及时办结案件占收案数量比例</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≥85案件及时办结率应大于85%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严格执行预算，控制各项成本</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不超过预算限额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通过提高办案质效提高司法公信力</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全面履行检察职责，提高办案质效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提高装备保障力度</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社会公众对检察工作的满意度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≥85社会调查满意度大于85分</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河北省群众安全感和政法队伍满意调查结果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9、提前下达2024年省级基层公检法司转移支付资金绩效目标表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13660024P00503410015U</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54.00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54.00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用于办案业务和装备购置。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13.50</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27.00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45.00</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1.通过业务经费开支，充分履行检察职能，着力提高办案质效，推动四大检察工作全面协调充分发展，实现检察工作更上新台阶。</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检察业务覆盖领域</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检察业务工作开展能覆盖种类数量</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4协同推进四大检察</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≥85案件符合评查标准率应大于85%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案件及时办结率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及时办结案件占收案数量比例</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≥85案件及时办结率应大于85%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严格执行预算，控制各项成本</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不超过预算限额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通过提高办案质效提高司法公信力</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全面履行检察职责，提高办案质效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提高装备保障力度</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社会公众对检察工作的满意度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≥85社会调查满意度大于85分</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河北省群众安全感和政法队伍满意调查结果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10、提前下达2024年中央政法纪检检察转移支付资金（容城检察院）绩效目标表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13660024P005034100148</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提前下达2024年中央政法纪检检察转移支付资金（容城检察院）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用于办案经费和装备购置。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40.50</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81.00</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135.00</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1.通过业务经费开支，充分履行检察职能，着力提高办案质效，推动四大检察工作全面协调充分发展，实现检察工作更上新台阶。</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检察业务覆盖领域</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检察业务工作开展能覆盖种类数量</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4协同推进四大检察</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案件合格率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≥85案件符合评查标准率应大于85%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案件及时办结率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及时办结案件占收案数量比例</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≥85案件及时办结率应大于85%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严格执行预算，控制各项成本</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不超过预算限额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通过提高办案质效提高司法公信力</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全面履行检察职责，提高办案质效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提高装备保障力度</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社会公众对检察工作的满意度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≥85社会调查满意度大于85分</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河北省群众安全感和政法队伍满意调查结果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cs="Times New Roman"/>
        </w:rPr>
      </w:pPr>
      <w:r>
        <w:rPr>
          <w:rFonts w:ascii="方正仿宋_GBK" w:hAnsi="方正仿宋_GBK" w:eastAsia="方正仿宋_GBK" w:cs="方正仿宋_GBK"/>
          <w:color w:val="000000"/>
          <w:sz w:val="28"/>
        </w:rPr>
        <w:t>11、下达2023年中央政法纪检监察转移支付资金绩效目标表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5102" w:type="dxa"/>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13660023P004878100039</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6094" w:type="dxa"/>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下达2023年中央政法纪检监察转移支付资金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0.19</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255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0.19</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用于装备设备采购，提高办案质效。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5102"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255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3543"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cs="Times New Roman"/>
              </w:rPr>
            </w:pPr>
          </w:p>
        </w:tc>
        <w:tc>
          <w:tcPr>
            <w:tcW w:w="5102"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0.19</w:t>
            </w:r>
          </w:p>
        </w:tc>
        <w:tc>
          <w:tcPr>
            <w:tcW w:w="2835"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2551"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c>
          <w:tcPr>
            <w:tcW w:w="3543" w:type="dxa"/>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14031" w:type="dxa"/>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1.充分履行检察职能，着力提高办案质效，推动四大检察工作全面协调充分发展，实现检察工作更上新台阶。</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2.推动“燕赵山海·公益检察”护航美丽河北建设专项监督活动开展</w:t>
            </w:r>
          </w:p>
        </w:tc>
      </w:tr>
    </w:tbl>
    <w:p>
      <w:pPr>
        <w:spacing w:before="0" w:after="0" w:line="2" w:lineRule="exact"/>
        <w:ind w:firstLine="0"/>
        <w:jc w:val="center"/>
        <w:outlineLvl w:val="9"/>
        <w:rPr>
          <w:rFonts w:cs="Times New Roman"/>
        </w:rP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2835"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538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2268"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1276"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检察业务覆盖领域</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检察业务工作开展能覆盖种类数量</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4协同推进四大检察</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《中华人民共和国刑法》、《中华人民共和国民事诉讼法》、年度工作总结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购置装备验收合格率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购置装备验收合格率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≥99%</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资金支付时效</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资金支付及时率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严格执行预算，控制各项成本</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不超过预算限额</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业务装备经费保障力度持续加强</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提高装备保障力度</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rFonts w:cs="Times New Roman"/>
              </w:rPr>
            </w:pP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通过提高办案质效提高司法公信力</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全面履行检察职责，提高办案质效</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办案质效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2835"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社会公众满意度（%）</w:t>
            </w:r>
          </w:p>
        </w:tc>
        <w:tc>
          <w:tcPr>
            <w:tcW w:w="538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社会公众满意度（%）</w:t>
            </w:r>
          </w:p>
        </w:tc>
        <w:tc>
          <w:tcPr>
            <w:tcW w:w="2268"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≥85%</w:t>
            </w:r>
          </w:p>
        </w:tc>
        <w:tc>
          <w:tcPr>
            <w:tcW w:w="1276"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河北省群众安全感和政法队伍满意调查结果</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cs="Times New Roman"/>
        </w:rPr>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rPr>
          <w:rFonts w:cs="Times New Roman"/>
        </w:rPr>
      </w:pPr>
      <w:r>
        <w:rPr>
          <w:rFonts w:ascii="方正小标宋_GBK" w:hAnsi="方正小标宋_GBK" w:eastAsia="方正小标宋_GBK" w:cs="方正小标宋_GBK"/>
          <w:color w:val="000000"/>
          <w:sz w:val="36"/>
        </w:rPr>
        <w:t>部门政府采购预算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7710" w:type="dxa"/>
            <w:gridSpan w:val="8"/>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4"/>
                <w:szCs w:val="24"/>
                <w:lang w:val="en-US" w:eastAsia="uk-UA" w:bidi="ar-SA"/>
              </w:rPr>
            </w:pPr>
            <w:r>
              <w:rPr>
                <w:rFonts w:ascii="方正书宋_GBK" w:hAnsi="方正书宋_GBK" w:eastAsia="方正书宋_GBK" w:cs="方正书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政府采购项目来源</w:t>
            </w:r>
          </w:p>
        </w:tc>
        <w:tc>
          <w:tcPr>
            <w:tcW w:w="1134"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采购物品名称</w:t>
            </w:r>
          </w:p>
        </w:tc>
        <w:tc>
          <w:tcPr>
            <w:tcW w:w="1134"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政府采购目录序号</w:t>
            </w:r>
          </w:p>
        </w:tc>
        <w:tc>
          <w:tcPr>
            <w:tcW w:w="709"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计量  单位</w:t>
            </w:r>
          </w:p>
        </w:tc>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数量</w:t>
            </w:r>
          </w:p>
        </w:tc>
        <w:tc>
          <w:tcPr>
            <w:tcW w:w="850"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单价</w:t>
            </w:r>
          </w:p>
        </w:tc>
        <w:tc>
          <w:tcPr>
            <w:tcW w:w="6746" w:type="dxa"/>
            <w:gridSpan w:val="7"/>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政府采购金额（当年部门预算安排资金）</w:t>
            </w:r>
          </w:p>
        </w:tc>
        <w:tc>
          <w:tcPr>
            <w:tcW w:w="964" w:type="dxa"/>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    资金</w:t>
            </w:r>
          </w:p>
        </w:tc>
        <w:tc>
          <w:tcPr>
            <w:tcW w:w="1134" w:type="dxa"/>
            <w:vMerge w:val="continue"/>
          </w:tcPr>
          <w:p>
            <w:pPr>
              <w:rPr>
                <w:rFonts w:cs="Times New Roman"/>
              </w:rPr>
            </w:pPr>
          </w:p>
        </w:tc>
        <w:tc>
          <w:tcPr>
            <w:tcW w:w="1134" w:type="dxa"/>
            <w:vMerge w:val="continue"/>
          </w:tcPr>
          <w:p>
            <w:pPr>
              <w:rPr>
                <w:rFonts w:cs="Times New Roman"/>
              </w:rPr>
            </w:pPr>
          </w:p>
        </w:tc>
        <w:tc>
          <w:tcPr>
            <w:tcW w:w="709" w:type="dxa"/>
            <w:vMerge w:val="continue"/>
          </w:tcPr>
          <w:p>
            <w:pPr>
              <w:rPr>
                <w:rFonts w:cs="Times New Roman"/>
              </w:rPr>
            </w:pPr>
          </w:p>
        </w:tc>
        <w:tc>
          <w:tcPr>
            <w:tcW w:w="850" w:type="dxa"/>
            <w:vMerge w:val="continue"/>
          </w:tcPr>
          <w:p>
            <w:pPr>
              <w:rPr>
                <w:rFonts w:cs="Times New Roman"/>
              </w:rPr>
            </w:pPr>
          </w:p>
        </w:tc>
        <w:tc>
          <w:tcPr>
            <w:tcW w:w="850" w:type="dxa"/>
            <w:vMerge w:val="continue"/>
          </w:tcPr>
          <w:p>
            <w:pPr>
              <w:rPr>
                <w:rFonts w:cs="Times New Roman"/>
              </w:rPr>
            </w:pP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一般公共预算拨款</w:t>
            </w: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基金预算拨款</w:t>
            </w: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国有资本经营预算拨款</w:t>
            </w: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财政专户核拨</w:t>
            </w: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单位    资金</w:t>
            </w:r>
          </w:p>
        </w:tc>
        <w:tc>
          <w:tcPr>
            <w:tcW w:w="964"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上年结转结余</w:t>
            </w:r>
          </w:p>
        </w:tc>
        <w:tc>
          <w:tcPr>
            <w:tcW w:w="964"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  计</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709"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p>
        </w:tc>
        <w:tc>
          <w:tcPr>
            <w:tcW w:w="850"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850"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181.70</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136.70</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45.00</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170.70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容城县人民检察院小计</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1134" w:type="dxa"/>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709"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p>
        </w:tc>
        <w:tc>
          <w:tcPr>
            <w:tcW w:w="850"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850"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181.70</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136.70</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45.00</w:t>
            </w:r>
          </w:p>
        </w:tc>
        <w:tc>
          <w:tcPr>
            <w:tcW w:w="964" w:type="dxa"/>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170.70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提前下达2023年中央政法纪检监察转移支付资金（新区分院）</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69.40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其他办公设备</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A02029900</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个</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2.25</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办公桌</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A05010201</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张</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0.06</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0.22</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0.22</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会议桌</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A05010202</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张</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22</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0.10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2.09</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2.09</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会议桌</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A05010202</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张</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0.20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0.20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0.20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会议桌</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A05010202</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张</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0.08</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0.56</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0.56</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会议桌</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A05010202</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张</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0.07</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0.78</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0.78</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其他台、桌类</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A05010299</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张</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0.76</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0.76</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0.76</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办公椅</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A05010301</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把</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0.04</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0.40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0.40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会议椅</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A05010303</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把</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0.04</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2.45</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2.45</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三人沙发</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A05010401</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个</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0.12</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0.24</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0.24</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文件柜</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A05010502</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个</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0.09</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1.02</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1.02</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保密柜</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A05010504</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个</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0.15</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0.30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0.30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其他柜类</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A05010599</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个</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0.30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0.30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0.30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2024年公用经费</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125.00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其他家具</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A05019900</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个</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0.12</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1.68</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1.68</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公益诉讼指挥中心（数字化办案区）建设项目</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其他建筑物、构筑物修缮</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B08990000</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88.00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88.00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88.00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提前下达2024年中央政法纪检检察转移支付资金（容城检察院）</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台式计算机</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A02010105</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台</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0.85</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提前下达2024年中央政法纪检检察转移支付资金（容城检察院）</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162.00</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其他车辆</w:t>
            </w:r>
          </w:p>
        </w:tc>
        <w:tc>
          <w:tcPr>
            <w:tcW w:w="1134" w:type="dxa"/>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A02039900</w:t>
            </w:r>
          </w:p>
        </w:tc>
        <w:tc>
          <w:tcPr>
            <w:tcW w:w="709" w:type="dxa"/>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辆</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850"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964" w:type="dxa"/>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r>
    </w:tbl>
    <w:p>
      <w:pPr>
        <w:spacing w:before="0" w:after="0" w:line="500" w:lineRule="exact"/>
        <w:ind w:firstLine="420"/>
        <w:jc w:val="left"/>
        <w:outlineLvl w:val="9"/>
        <w:rPr>
          <w:rFonts w:cs="Times New Roma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cs="Times New Roman"/>
        </w:rPr>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cs="Times New Roman"/>
        </w:rPr>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容城县人民检察院（含所属单位）上年末固定资产金额为</w:t>
      </w:r>
      <w:r>
        <w:rPr>
          <w:rFonts w:hint="eastAsia" w:eastAsia="方正仿宋_GBK" w:cs="Times New Roman"/>
          <w:b w:val="0"/>
          <w:color w:val="000000"/>
          <w:sz w:val="28"/>
          <w:lang w:val="en-US" w:eastAsia="zh-CN"/>
        </w:rPr>
        <w:t>2595.31</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181.7</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rPr>
          <w:rFonts w:cs="Times New Roman"/>
        </w:rPr>
      </w:pPr>
      <w:r>
        <w:rPr>
          <w:rFonts w:ascii="方正小标宋_GBK" w:hAnsi="方正小标宋_GBK" w:eastAsia="方正小标宋_GBK" w:cs="方正小标宋_GBK"/>
          <w:color w:val="000000"/>
          <w:sz w:val="36"/>
        </w:rPr>
        <w:t>部门固定资产占用情况表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701容城县人民检察院</w:t>
            </w:r>
          </w:p>
        </w:tc>
        <w:tc>
          <w:tcPr>
            <w:tcW w:w="9866" w:type="dxa"/>
            <w:gridSpan w:val="2"/>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   目</w:t>
            </w:r>
          </w:p>
        </w:tc>
        <w:tc>
          <w:tcPr>
            <w:tcW w:w="4933"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数量</w:t>
            </w:r>
          </w:p>
        </w:tc>
        <w:tc>
          <w:tcPr>
            <w:tcW w:w="4933" w:type="dxa"/>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before="0" w:after="0"/>
              <w:ind w:firstLine="0"/>
              <w:jc w:val="left"/>
              <w:outlineLvl w:val="9"/>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合计</w:t>
            </w:r>
          </w:p>
        </w:tc>
        <w:tc>
          <w:tcPr>
            <w:tcW w:w="4933" w:type="dxa"/>
            <w:vAlign w:val="center"/>
          </w:tcPr>
          <w:p>
            <w:pPr>
              <w:spacing w:before="0" w:after="0"/>
              <w:ind w:firstLine="0"/>
              <w:jc w:val="center"/>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1323</w:t>
            </w:r>
          </w:p>
        </w:tc>
        <w:tc>
          <w:tcPr>
            <w:tcW w:w="4933" w:type="dxa"/>
            <w:vAlign w:val="center"/>
          </w:tcPr>
          <w:p>
            <w:pPr>
              <w:spacing w:before="0" w:after="0"/>
              <w:ind w:firstLine="0"/>
              <w:jc w:val="righ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2595.314624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before="0" w:after="0"/>
              <w:ind w:firstLine="0"/>
              <w:jc w:val="lef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土地、房屋及构筑物</w:t>
            </w:r>
          </w:p>
        </w:tc>
        <w:tc>
          <w:tcPr>
            <w:tcW w:w="4933" w:type="dxa"/>
            <w:vAlign w:val="center"/>
          </w:tcPr>
          <w:p>
            <w:pPr>
              <w:spacing w:before="0" w:after="0"/>
              <w:ind w:firstLine="0"/>
              <w:jc w:val="center"/>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33</w:t>
            </w:r>
          </w:p>
        </w:tc>
        <w:tc>
          <w:tcPr>
            <w:tcW w:w="4933" w:type="dxa"/>
            <w:vAlign w:val="center"/>
          </w:tcPr>
          <w:p>
            <w:pPr>
              <w:spacing w:before="0" w:after="0"/>
              <w:ind w:firstLine="0"/>
              <w:jc w:val="righ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1356.554648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before="0" w:after="0"/>
              <w:ind w:firstLine="0"/>
              <w:jc w:val="left"/>
              <w:outlineLvl w:val="9"/>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设备</w:t>
            </w:r>
          </w:p>
        </w:tc>
        <w:tc>
          <w:tcPr>
            <w:tcW w:w="4933" w:type="dxa"/>
            <w:vAlign w:val="center"/>
          </w:tcPr>
          <w:p>
            <w:pPr>
              <w:spacing w:before="0" w:after="0"/>
              <w:ind w:firstLine="0"/>
              <w:jc w:val="center"/>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483</w:t>
            </w:r>
          </w:p>
        </w:tc>
        <w:tc>
          <w:tcPr>
            <w:tcW w:w="4933" w:type="dxa"/>
            <w:vAlign w:val="center"/>
          </w:tcPr>
          <w:p>
            <w:pPr>
              <w:spacing w:before="0" w:after="0"/>
              <w:ind w:firstLine="0"/>
              <w:jc w:val="righ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1134.471005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before="0" w:after="0"/>
              <w:ind w:firstLine="0"/>
              <w:jc w:val="lef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家具、用具、装具及动植物</w:t>
            </w:r>
          </w:p>
        </w:tc>
        <w:tc>
          <w:tcPr>
            <w:tcW w:w="4933" w:type="dxa"/>
            <w:vAlign w:val="center"/>
          </w:tcPr>
          <w:p>
            <w:pPr>
              <w:spacing w:before="0" w:after="0"/>
              <w:ind w:firstLine="0"/>
              <w:jc w:val="center"/>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806</w:t>
            </w:r>
          </w:p>
        </w:tc>
        <w:tc>
          <w:tcPr>
            <w:tcW w:w="4933" w:type="dxa"/>
            <w:vAlign w:val="center"/>
          </w:tcPr>
          <w:p>
            <w:pPr>
              <w:spacing w:before="0" w:after="0"/>
              <w:ind w:firstLine="0"/>
              <w:jc w:val="righ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94.288971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before="0" w:after="0"/>
              <w:ind w:firstLine="0"/>
              <w:jc w:val="lef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无形资产</w:t>
            </w:r>
          </w:p>
        </w:tc>
        <w:tc>
          <w:tcPr>
            <w:tcW w:w="4933" w:type="dxa"/>
            <w:vAlign w:val="center"/>
          </w:tcPr>
          <w:p>
            <w:pPr>
              <w:spacing w:before="0" w:after="0"/>
              <w:ind w:firstLine="0"/>
              <w:jc w:val="center"/>
              <w:outlineLvl w:val="9"/>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4933" w:type="dxa"/>
            <w:vAlign w:val="center"/>
          </w:tcPr>
          <w:p>
            <w:pPr>
              <w:spacing w:before="0" w:after="0"/>
              <w:ind w:firstLine="0"/>
              <w:jc w:val="right"/>
              <w:outlineLvl w:val="9"/>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w:t>
            </w:r>
          </w:p>
        </w:tc>
      </w:tr>
    </w:tbl>
    <w:p>
      <w:pPr>
        <w:spacing w:before="0" w:after="0" w:line="240" w:lineRule="auto"/>
        <w:ind w:firstLine="420"/>
        <w:jc w:val="left"/>
        <w:outlineLvl w:val="9"/>
        <w:rPr>
          <w:rFonts w:cs="Times New Roman"/>
        </w:rPr>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rPr>
          <w:rFonts w:cs="Times New Roman"/>
        </w:rPr>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cs="Times New Roman"/>
        </w:rPr>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rPr>
          <w:rFonts w:cs="Times New Roman"/>
        </w:rPr>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rPr>
          <w:rFonts w:cs="Times New Roman"/>
        </w:rPr>
      </w:pPr>
      <w:r>
        <w:rPr>
          <w:rFonts w:ascii="Times New Roman" w:hAnsi="Times New Roman" w:eastAsia="方正仿宋_GBK" w:cs="Times New Roman"/>
          <w:b w:val="0"/>
          <w:color w:val="000000"/>
          <w:sz w:val="28"/>
        </w:rPr>
        <w:t>我部门无其他需要说明的事项。</w:t>
      </w:r>
    </w:p>
    <w:p>
      <w:bookmarkStart w:id="20" w:name="_GoBack"/>
      <w:bookmarkEnd w:id="20"/>
    </w:p>
    <w:sectPr>
      <w:footerReference r:id="rId5" w:type="default"/>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C88E48-9450-484B-8C30-19D565B320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DAE34C1-B994-4326-BF60-7050FA07169B}"/>
  </w:font>
  <w:font w:name="方正仿宋_GBK">
    <w:panose1 w:val="02000000000000000000"/>
    <w:charset w:val="86"/>
    <w:family w:val="auto"/>
    <w:pitch w:val="default"/>
    <w:sig w:usb0="A00002BF" w:usb1="38CF7CFA" w:usb2="00082016" w:usb3="00000000" w:csb0="00040001" w:csb1="00000000"/>
    <w:embedRegular r:id="rId3" w:fontKey="{2567F673-3CFC-47BE-AE63-ED419D895A87}"/>
  </w:font>
  <w:font w:name="方正小标宋_GBK">
    <w:panose1 w:val="02000000000000000000"/>
    <w:charset w:val="86"/>
    <w:family w:val="auto"/>
    <w:pitch w:val="default"/>
    <w:sig w:usb0="A00002BF" w:usb1="38CF7CFA" w:usb2="00082016" w:usb3="00000000" w:csb0="00040001" w:csb1="00000000"/>
    <w:embedRegular r:id="rId4" w:fontKey="{7FF4FD41-2701-4EA6-93E2-CF605C59CD19}"/>
  </w:font>
  <w:font w:name="方正书宋_GBK">
    <w:altName w:val="微软雅黑"/>
    <w:panose1 w:val="00000000000000000000"/>
    <w:charset w:val="00"/>
    <w:family w:val="auto"/>
    <w:pitch w:val="default"/>
    <w:sig w:usb0="00000000" w:usb1="00000000" w:usb2="00000000" w:usb3="00000000" w:csb0="00000000" w:csb1="00000000"/>
    <w:embedRegular r:id="rId5" w:fontKey="{CFD1BEBC-33E7-4DCF-9179-D4AFEA197C64}"/>
  </w:font>
  <w:font w:name="方正楷体_GBK">
    <w:altName w:val="微软雅黑"/>
    <w:panose1 w:val="00000000000000000000"/>
    <w:charset w:val="00"/>
    <w:family w:val="auto"/>
    <w:pitch w:val="default"/>
    <w:sig w:usb0="00000000" w:usb1="00000000" w:usb2="00000000" w:usb3="00000000" w:csb0="00000000" w:csb1="00000000"/>
    <w:embedRegular r:id="rId6" w:fontKey="{B06BEE15-6FAE-4EC0-AF00-D3346854E1C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cs="Times New Roman"/>
      </w:rPr>
    </w:pPr>
    <w:r>
      <w:rPr>
        <w:rFonts w:cs="Times New Roman"/>
      </w:rPr>
      <w:fldChar w:fldCharType="begin"/>
    </w:r>
    <w:r>
      <w:rPr>
        <w:rFonts w:cs="Times New Roman"/>
      </w:rPr>
      <w:instrText xml:space="preserve">PAGE "page number"</w:instrText>
    </w:r>
    <w:r>
      <w:rPr>
        <w:rFonts w:cs="Times New Roman"/>
      </w:rPr>
      <w:fldChar w:fldCharType="separate"/>
    </w:r>
    <w:r>
      <w:rPr>
        <w:rFonts w:cs="Times New Roman"/>
      </w:rPr>
      <w:t>page number</w:t>
    </w:r>
    <w:r>
      <w:rPr>
        <w:rFonts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cs="Times New Roman"/>
      </w:rPr>
    </w:pPr>
    <w:r>
      <w:rPr>
        <w:rFonts w:cs="Times New Roman"/>
      </w:rPr>
      <w:fldChar w:fldCharType="begin"/>
    </w:r>
    <w:r>
      <w:rPr>
        <w:rFonts w:cs="Times New Roman"/>
      </w:rPr>
      <w:instrText xml:space="preserve">PAGE "page number"</w:instrText>
    </w:r>
    <w:r>
      <w:rPr>
        <w:rFonts w:cs="Times New Roman"/>
      </w:rPr>
      <w:fldChar w:fldCharType="separate"/>
    </w:r>
    <w:r>
      <w:rPr>
        <w:rFonts w:cs="Times New Roman"/>
      </w:rPr>
      <w:t>page number</w:t>
    </w:r>
    <w:r>
      <w:rPr>
        <w:rFonts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45190"/>
    <w:multiLevelType w:val="singleLevel"/>
    <w:tmpl w:val="0F04519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48913B3A"/>
    <w:rsid w:val="48913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2024-02-18T07:27:00Z</dcterms:created>
  <dc:creator>你恐怖就比较古怪n</dc:creator>
  <cp:lastModifiedBy>你恐怖就比较古怪n</cp:lastModifiedBy>
  <dcterms:modified xsi:type="dcterms:W3CDTF">2024-02-18T07:28:18Z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65E0CBAFE79C4D6880A62F94621BAC20_11</vt:lpwstr>
  </property>
</Properties>
</file>