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115"/>
        <w:jc w:val="center"/>
        <w:textAlignment w:val="auto"/>
        <w:outlineLvl w:val="0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spacing w:val="-20"/>
          <w:kern w:val="2"/>
          <w:sz w:val="44"/>
          <w:szCs w:val="44"/>
          <w:lang w:val="en-US" w:eastAsia="zh-CN" w:bidi="ar-SA"/>
        </w:rPr>
        <w:t>新区有关部门“双随机、一公开”监管工作月报表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单位名称（盖章）：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填表时间：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月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422"/>
        <w:gridCol w:w="5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一、“双随机、一公开”监管工作安排部署情况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本月召开会议部署随机抽查工作情况</w:t>
            </w:r>
          </w:p>
        </w:tc>
        <w:tc>
          <w:tcPr>
            <w:tcW w:w="5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（注明召开会议的名称及时间）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本月印发双随机工作文件情况</w:t>
            </w:r>
          </w:p>
        </w:tc>
        <w:tc>
          <w:tcPr>
            <w:tcW w:w="5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（注明文件名称及文号）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本月组织随机抽查业务培训情况</w:t>
            </w:r>
          </w:p>
        </w:tc>
        <w:tc>
          <w:tcPr>
            <w:tcW w:w="5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（培训班名称、培训人员数量、及内容）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二、“双随机、一公开”监管工作开展情况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本月按年度随机抽查工作计划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新区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本级开展随机抽查情况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本月组织随机抽查的文件</w:t>
            </w:r>
          </w:p>
        </w:tc>
        <w:tc>
          <w:tcPr>
            <w:tcW w:w="5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随机抽查抽查对象范围、数量、抽查比例</w:t>
            </w:r>
          </w:p>
        </w:tc>
        <w:tc>
          <w:tcPr>
            <w:tcW w:w="5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随机抽查的检查事项</w:t>
            </w:r>
          </w:p>
        </w:tc>
        <w:tc>
          <w:tcPr>
            <w:tcW w:w="5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（多少大项、多少小项）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随机抽查结果公示情况</w:t>
            </w:r>
          </w:p>
        </w:tc>
        <w:tc>
          <w:tcPr>
            <w:tcW w:w="5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注明抽查结果公示的网站及公示数量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本系统开展随机抽查情况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（开展的单位及抽查检查主体数量及抽查结果公示数量等情况）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tbl>
      <w:tblPr>
        <w:tblStyle w:val="5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38"/>
        <w:gridCol w:w="5455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通过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河北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双随机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执法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监管平台开展抽查情况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本年度累计数据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开展随机抽查次数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及发现问题户数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（包含部门内部和部门联合）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市场监管系统开展随机抽查次数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及发现问题户数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（包含部门内部和部门联合，分别标注）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开展部门内部随机抽查次数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及发现问题户数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开展部门联合随机抽查次数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及发现问题户数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涉及企业的随机抽查的次数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及发现问题户数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（抽查对象为企业）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利用企业信用风险分级分类开展随机抽查的次数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及发现问题户数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通过其他平台开展抽查情况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本年度累计数据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开展抽查次数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及发现问题户数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涉及企业的随机抽查次数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及发现问题户数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（抽查对象为企业）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利用企业信用风险分级分类开展随机抽查的次数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及发现问题户数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r>
        <w:rPr>
          <w:rFonts w:hint="eastAsia" w:ascii="宋体" w:hAnsi="宋体" w:eastAsia="宋体" w:cs="宋体"/>
          <w:color w:val="00000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联系电话：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手机：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563347F6"/>
    <w:rsid w:val="5633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115"/>
      <w:outlineLvl w:val="0"/>
    </w:pPr>
    <w:rPr>
      <w:rFonts w:ascii="宋体" w:eastAsia="宋体" w:cs="宋体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2024-02-08T09:15:00Z</dcterms:created>
  <dc:creator>你恐怖就比较古怪n</dc:creator>
  <cp:lastModifiedBy>你恐怖就比较古怪n</cp:lastModifiedBy>
  <dcterms:modified xsi:type="dcterms:W3CDTF">2024-02-08T09:15:47Z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6240042873834588BAC82C89CCD08352_11</vt:lpwstr>
  </property>
</Properties>
</file>