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附件9 智能网联汽车道路测试延期申请表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PingFang SC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PingFang SC" w:cs="Times New Roman"/>
          <w:color w:val="333333"/>
          <w:szCs w:val="21"/>
          <w:shd w:val="clear" w:color="auto" w:fill="FFFFFF"/>
        </w:rPr>
        <w:drawing>
          <wp:inline distT="0" distB="0" distL="114300" distR="114300">
            <wp:extent cx="5457825" cy="5857875"/>
            <wp:effectExtent l="0" t="0" r="9525" b="9525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10D0673C"/>
    <w:rsid w:val="267A6A29"/>
    <w:rsid w:val="28AD3087"/>
    <w:rsid w:val="2E020ED5"/>
    <w:rsid w:val="4B842010"/>
    <w:rsid w:val="52391E2A"/>
    <w:rsid w:val="61EC662C"/>
    <w:rsid w:val="6EC7075D"/>
    <w:rsid w:val="719974E5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3E8123B6E52B49AF828B226A28B3087C_13</vt:lpwstr>
  </property>
</Properties>
</file>