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仿宋" w:hAnsi="仿宋" w:eastAsia="仿宋" w:cs="仿宋"/>
          <w:sz w:val="28"/>
          <w:szCs w:val="28"/>
        </w:rPr>
      </w:pPr>
      <w:r>
        <w:rPr>
          <w:rFonts w:hint="eastAsia" w:ascii="仿宋" w:hAnsi="仿宋" w:eastAsia="仿宋" w:cs="仿宋"/>
          <w:sz w:val="28"/>
          <w:szCs w:val="28"/>
        </w:rPr>
        <w:t>附件：</w:t>
      </w:r>
    </w:p>
    <w:p>
      <w:pPr>
        <w:widowControl/>
        <w:spacing w:line="560" w:lineRule="exact"/>
        <w:jc w:val="center"/>
        <w:rPr>
          <w:rFonts w:hint="eastAsia" w:ascii="仿宋" w:hAnsi="仿宋" w:eastAsia="仿宋" w:cs="仿宋"/>
          <w:sz w:val="28"/>
          <w:szCs w:val="28"/>
        </w:rPr>
      </w:pPr>
      <w:r>
        <w:rPr>
          <w:rFonts w:hint="eastAsia" w:ascii="仿宋" w:hAnsi="仿宋" w:eastAsia="仿宋" w:cs="仿宋"/>
          <w:sz w:val="28"/>
          <w:szCs w:val="28"/>
        </w:rPr>
        <w:t>河北省消防安全重点单位界定标准</w:t>
      </w:r>
    </w:p>
    <w:p>
      <w:pPr>
        <w:spacing w:line="579" w:lineRule="exact"/>
        <w:ind w:firstLine="560" w:firstLineChars="200"/>
        <w:rPr>
          <w:rFonts w:hint="eastAsia" w:ascii="仿宋" w:hAnsi="仿宋" w:eastAsia="仿宋" w:cs="仿宋"/>
          <w:sz w:val="28"/>
          <w:szCs w:val="28"/>
        </w:rPr>
      </w:pPr>
      <w:bookmarkStart w:id="0" w:name="_GoBack"/>
      <w:bookmarkEnd w:id="0"/>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一、商场（市场）、宾馆（饭店）、体育场（馆）、会堂、公共娱乐场所等公众聚集场所</w:t>
      </w:r>
    </w:p>
    <w:p>
      <w:pPr>
        <w:pStyle w:val="2"/>
        <w:widowControl/>
        <w:shd w:val="clear" w:color="auto" w:fill="FFFFFF"/>
        <w:spacing w:before="0" w:beforeAutospacing="0" w:after="0" w:afterAutospacing="0" w:line="579" w:lineRule="exact"/>
        <w:ind w:firstLine="560" w:firstLineChars="200"/>
        <w:jc w:val="both"/>
        <w:rPr>
          <w:rFonts w:hint="eastAsia" w:ascii="仿宋" w:hAnsi="仿宋" w:eastAsia="仿宋" w:cs="仿宋"/>
          <w:b w:val="0"/>
          <w:color w:val="000000"/>
          <w:kern w:val="2"/>
          <w:sz w:val="28"/>
          <w:szCs w:val="28"/>
        </w:rPr>
      </w:pPr>
      <w:r>
        <w:rPr>
          <w:rFonts w:hint="eastAsia" w:ascii="仿宋" w:hAnsi="仿宋" w:eastAsia="仿宋" w:cs="仿宋"/>
          <w:b w:val="0"/>
          <w:color w:val="000000"/>
          <w:kern w:val="2"/>
          <w:sz w:val="28"/>
          <w:szCs w:val="28"/>
        </w:rPr>
        <w:t>（一）商场</w:t>
      </w:r>
      <w:r>
        <w:rPr>
          <w:rFonts w:ascii="仿宋" w:hAnsi="仿宋" w:eastAsia="仿宋" w:cs="仿宋"/>
          <w:b w:val="0"/>
          <w:color w:val="000000"/>
          <w:kern w:val="2"/>
          <w:sz w:val="28"/>
          <w:szCs w:val="28"/>
        </w:rPr>
        <w:t>、</w:t>
      </w:r>
      <w:r>
        <w:rPr>
          <w:rFonts w:hint="eastAsia" w:ascii="仿宋" w:hAnsi="仿宋" w:eastAsia="仿宋" w:cs="仿宋"/>
          <w:b w:val="0"/>
          <w:color w:val="000000"/>
          <w:kern w:val="2"/>
          <w:sz w:val="28"/>
          <w:szCs w:val="28"/>
        </w:rPr>
        <w:t>市场、商店</w:t>
      </w:r>
      <w:r>
        <w:rPr>
          <w:rFonts w:ascii="仿宋" w:hAnsi="仿宋" w:eastAsia="仿宋" w:cs="仿宋"/>
          <w:b w:val="0"/>
          <w:color w:val="000000"/>
          <w:kern w:val="2"/>
          <w:sz w:val="28"/>
          <w:szCs w:val="28"/>
        </w:rPr>
        <w:t>类场所：</w:t>
      </w:r>
    </w:p>
    <w:p>
      <w:pPr>
        <w:pStyle w:val="2"/>
        <w:widowControl/>
        <w:shd w:val="clear" w:color="auto" w:fill="FFFFFF"/>
        <w:spacing w:before="0" w:beforeAutospacing="0" w:after="0" w:afterAutospacing="0" w:line="579" w:lineRule="exact"/>
        <w:ind w:firstLine="560" w:firstLineChars="200"/>
        <w:jc w:val="both"/>
        <w:rPr>
          <w:rFonts w:hint="eastAsia" w:ascii="仿宋" w:hAnsi="仿宋" w:eastAsia="仿宋" w:cs="仿宋"/>
          <w:b w:val="0"/>
          <w:kern w:val="2"/>
          <w:sz w:val="28"/>
          <w:szCs w:val="28"/>
        </w:rPr>
      </w:pPr>
      <w:r>
        <w:rPr>
          <w:rFonts w:ascii="仿宋" w:hAnsi="仿宋" w:eastAsia="仿宋" w:cs="仿宋"/>
          <w:b w:val="0"/>
          <w:kern w:val="2"/>
          <w:sz w:val="28"/>
          <w:szCs w:val="28"/>
        </w:rPr>
        <w:t>1.设在一、二类高层公共建筑及其地下、半地下；</w:t>
      </w:r>
    </w:p>
    <w:p>
      <w:pPr>
        <w:pStyle w:val="2"/>
        <w:widowControl/>
        <w:shd w:val="clear" w:color="auto" w:fill="FFFFFF"/>
        <w:spacing w:before="0" w:beforeAutospacing="0" w:after="0" w:afterAutospacing="0" w:line="579" w:lineRule="exact"/>
        <w:ind w:firstLine="560" w:firstLineChars="200"/>
        <w:jc w:val="both"/>
        <w:rPr>
          <w:rFonts w:hint="eastAsia" w:ascii="仿宋" w:hAnsi="仿宋" w:eastAsia="仿宋" w:cs="仿宋"/>
          <w:b w:val="0"/>
          <w:kern w:val="2"/>
          <w:sz w:val="28"/>
          <w:szCs w:val="28"/>
        </w:rPr>
      </w:pPr>
      <w:r>
        <w:rPr>
          <w:rFonts w:ascii="仿宋" w:hAnsi="仿宋" w:eastAsia="仿宋" w:cs="仿宋"/>
          <w:b w:val="0"/>
          <w:kern w:val="2"/>
          <w:sz w:val="28"/>
          <w:szCs w:val="28"/>
        </w:rPr>
        <w:t>2.设在单、多层建筑且</w:t>
      </w:r>
      <w:r>
        <w:rPr>
          <w:rFonts w:hint="eastAsia" w:ascii="仿宋" w:hAnsi="仿宋" w:eastAsia="仿宋" w:cs="仿宋"/>
          <w:b w:val="0"/>
          <w:kern w:val="2"/>
          <w:sz w:val="28"/>
          <w:szCs w:val="28"/>
        </w:rPr>
        <w:t>任一层建筑面积大于1500㎡</w:t>
      </w:r>
      <w:r>
        <w:rPr>
          <w:rFonts w:ascii="仿宋" w:hAnsi="仿宋" w:eastAsia="仿宋" w:cs="仿宋"/>
          <w:b w:val="0"/>
          <w:kern w:val="2"/>
          <w:sz w:val="28"/>
          <w:szCs w:val="28"/>
        </w:rPr>
        <w:t>或</w:t>
      </w:r>
      <w:r>
        <w:rPr>
          <w:rFonts w:hint="eastAsia" w:ascii="仿宋" w:hAnsi="仿宋" w:eastAsia="仿宋" w:cs="仿宋"/>
          <w:b w:val="0"/>
          <w:kern w:val="2"/>
          <w:sz w:val="28"/>
          <w:szCs w:val="28"/>
        </w:rPr>
        <w:t>总建筑面积大于3000㎡</w:t>
      </w:r>
      <w:r>
        <w:rPr>
          <w:rFonts w:ascii="仿宋" w:hAnsi="仿宋" w:eastAsia="仿宋" w:cs="仿宋"/>
          <w:b w:val="0"/>
          <w:kern w:val="2"/>
          <w:sz w:val="28"/>
          <w:szCs w:val="28"/>
        </w:rPr>
        <w:t>；</w:t>
      </w:r>
    </w:p>
    <w:p>
      <w:pPr>
        <w:pStyle w:val="2"/>
        <w:widowControl/>
        <w:shd w:val="clear" w:color="auto" w:fill="FFFFFF"/>
        <w:spacing w:before="0" w:beforeAutospacing="0" w:after="0" w:afterAutospacing="0" w:line="579" w:lineRule="exact"/>
        <w:ind w:firstLine="560" w:firstLineChars="200"/>
        <w:jc w:val="both"/>
        <w:rPr>
          <w:rFonts w:hint="eastAsia" w:ascii="仿宋" w:hAnsi="仿宋" w:eastAsia="仿宋" w:cs="仿宋"/>
          <w:b w:val="0"/>
          <w:color w:val="000000"/>
          <w:kern w:val="2"/>
          <w:sz w:val="28"/>
          <w:szCs w:val="28"/>
        </w:rPr>
      </w:pPr>
      <w:r>
        <w:rPr>
          <w:rFonts w:ascii="仿宋" w:hAnsi="仿宋" w:eastAsia="仿宋" w:cs="仿宋"/>
          <w:b w:val="0"/>
          <w:kern w:val="2"/>
          <w:sz w:val="28"/>
          <w:szCs w:val="28"/>
        </w:rPr>
        <w:t>3.设在</w:t>
      </w:r>
      <w:r>
        <w:rPr>
          <w:rFonts w:hint="eastAsia" w:ascii="仿宋" w:hAnsi="仿宋" w:eastAsia="仿宋" w:cs="仿宋"/>
          <w:b w:val="0"/>
          <w:color w:val="000000"/>
          <w:kern w:val="2"/>
          <w:sz w:val="28"/>
          <w:szCs w:val="28"/>
        </w:rPr>
        <w:t>地下</w:t>
      </w:r>
      <w:r>
        <w:rPr>
          <w:rFonts w:ascii="仿宋" w:hAnsi="仿宋" w:eastAsia="仿宋" w:cs="仿宋"/>
          <w:b w:val="0"/>
          <w:color w:val="000000"/>
          <w:kern w:val="2"/>
          <w:sz w:val="28"/>
          <w:szCs w:val="28"/>
        </w:rPr>
        <w:t>、</w:t>
      </w:r>
      <w:r>
        <w:rPr>
          <w:rFonts w:hint="eastAsia" w:ascii="仿宋" w:hAnsi="仿宋" w:eastAsia="仿宋" w:cs="仿宋"/>
          <w:b w:val="0"/>
          <w:color w:val="000000"/>
          <w:kern w:val="2"/>
          <w:sz w:val="28"/>
          <w:szCs w:val="28"/>
        </w:rPr>
        <w:t>半地</w:t>
      </w:r>
      <w:r>
        <w:rPr>
          <w:rFonts w:ascii="仿宋" w:hAnsi="仿宋" w:eastAsia="仿宋" w:cs="仿宋"/>
          <w:b w:val="0"/>
          <w:color w:val="000000"/>
          <w:kern w:val="2"/>
          <w:sz w:val="28"/>
          <w:szCs w:val="28"/>
        </w:rPr>
        <w:t>下建筑且</w:t>
      </w:r>
      <w:r>
        <w:rPr>
          <w:rFonts w:hint="eastAsia" w:ascii="仿宋" w:hAnsi="仿宋" w:eastAsia="仿宋" w:cs="仿宋"/>
          <w:b w:val="0"/>
          <w:color w:val="000000"/>
          <w:kern w:val="2"/>
          <w:sz w:val="28"/>
          <w:szCs w:val="28"/>
        </w:rPr>
        <w:t>总建筑面积大于500㎡</w:t>
      </w:r>
      <w:r>
        <w:rPr>
          <w:rFonts w:ascii="仿宋" w:hAnsi="仿宋" w:eastAsia="仿宋" w:cs="仿宋"/>
          <w:b w:val="0"/>
          <w:color w:val="000000"/>
          <w:kern w:val="2"/>
          <w:sz w:val="28"/>
          <w:szCs w:val="28"/>
        </w:rPr>
        <w:t>。</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（二）宾馆、旅馆、酒店、饭店类住宿餐饮场所：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1.设在一、二类高层公共建筑及其地下、半地下；</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2.设在单、多层建筑且任一层建筑面积大于1500㎡或总建筑面积大于3000㎡；</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3.设</w:t>
      </w:r>
      <w:r>
        <w:rPr>
          <w:rFonts w:hint="eastAsia" w:ascii="仿宋" w:hAnsi="仿宋" w:eastAsia="仿宋" w:cs="仿宋"/>
          <w:color w:val="000000"/>
          <w:sz w:val="28"/>
          <w:szCs w:val="28"/>
        </w:rPr>
        <w:t>在地下、半地下建筑且总建筑面积大于</w:t>
      </w:r>
      <w:r>
        <w:rPr>
          <w:rFonts w:hint="eastAsia" w:ascii="仿宋" w:hAnsi="仿宋" w:eastAsia="仿宋" w:cs="仿宋"/>
          <w:sz w:val="28"/>
          <w:szCs w:val="28"/>
        </w:rPr>
        <w:t>500㎡</w:t>
      </w:r>
      <w:r>
        <w:rPr>
          <w:rFonts w:hint="eastAsia" w:ascii="仿宋" w:hAnsi="仿宋" w:eastAsia="仿宋" w:cs="仿宋"/>
          <w:color w:val="000000"/>
          <w:sz w:val="28"/>
          <w:szCs w:val="28"/>
        </w:rPr>
        <w:t>。</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（三）座位数大于</w:t>
      </w:r>
      <w:r>
        <w:rPr>
          <w:rFonts w:hint="eastAsia" w:ascii="仿宋" w:hAnsi="仿宋" w:eastAsia="仿宋" w:cs="仿宋"/>
          <w:sz w:val="28"/>
          <w:szCs w:val="28"/>
        </w:rPr>
        <w:t>3000</w:t>
      </w:r>
      <w:r>
        <w:rPr>
          <w:rFonts w:hint="eastAsia" w:ascii="仿宋" w:hAnsi="仿宋" w:eastAsia="仿宋" w:cs="仿宋"/>
          <w:color w:val="000000"/>
          <w:sz w:val="28"/>
          <w:szCs w:val="28"/>
        </w:rPr>
        <w:t>个的公共体育馆，座位数大于</w:t>
      </w:r>
      <w:r>
        <w:rPr>
          <w:rFonts w:hint="eastAsia" w:ascii="仿宋" w:hAnsi="仿宋" w:eastAsia="仿宋" w:cs="仿宋"/>
          <w:sz w:val="28"/>
          <w:szCs w:val="28"/>
        </w:rPr>
        <w:t>5000</w:t>
      </w:r>
      <w:r>
        <w:rPr>
          <w:rFonts w:hint="eastAsia" w:ascii="仿宋" w:hAnsi="仿宋" w:eastAsia="仿宋" w:cs="仿宋"/>
          <w:color w:val="000000"/>
          <w:sz w:val="28"/>
          <w:szCs w:val="28"/>
        </w:rPr>
        <w:t>个的公共体育场，座位数大于</w:t>
      </w:r>
      <w:r>
        <w:rPr>
          <w:rFonts w:hint="eastAsia" w:ascii="仿宋" w:hAnsi="仿宋" w:eastAsia="仿宋" w:cs="仿宋"/>
          <w:sz w:val="28"/>
          <w:szCs w:val="28"/>
        </w:rPr>
        <w:t>2000</w:t>
      </w:r>
      <w:r>
        <w:rPr>
          <w:rFonts w:hint="eastAsia" w:ascii="仿宋" w:hAnsi="仿宋" w:eastAsia="仿宋" w:cs="仿宋"/>
          <w:color w:val="000000"/>
          <w:sz w:val="28"/>
          <w:szCs w:val="28"/>
        </w:rPr>
        <w:t>个的会堂；</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（四）总建筑面积大于</w:t>
      </w:r>
      <w:r>
        <w:rPr>
          <w:rFonts w:hint="eastAsia" w:ascii="仿宋" w:hAnsi="仿宋" w:eastAsia="仿宋" w:cs="仿宋"/>
          <w:sz w:val="28"/>
          <w:szCs w:val="28"/>
        </w:rPr>
        <w:t>2500㎡</w:t>
      </w:r>
      <w:r>
        <w:rPr>
          <w:rFonts w:hint="eastAsia" w:ascii="仿宋" w:hAnsi="仿宋" w:eastAsia="仿宋" w:cs="仿宋"/>
          <w:color w:val="000000"/>
          <w:sz w:val="28"/>
          <w:szCs w:val="28"/>
        </w:rPr>
        <w:t>或设在地下、半地下且座位数大于</w:t>
      </w:r>
      <w:r>
        <w:rPr>
          <w:rFonts w:hint="eastAsia" w:ascii="仿宋" w:hAnsi="仿宋" w:eastAsia="仿宋" w:cs="仿宋"/>
          <w:sz w:val="28"/>
          <w:szCs w:val="28"/>
        </w:rPr>
        <w:t>800个的影剧院、礼堂等放映演出场所；</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（五</w:t>
      </w:r>
      <w:r>
        <w:rPr>
          <w:rFonts w:hint="eastAsia" w:ascii="仿宋" w:hAnsi="仿宋" w:eastAsia="仿宋" w:cs="仿宋"/>
          <w:color w:val="000000"/>
          <w:sz w:val="28"/>
          <w:szCs w:val="28"/>
        </w:rPr>
        <w:t>）设在地下或半地下、多层建筑的地上第四层及以上楼层、高层民用建筑内，设在多层建筑第一层至第三层且楼层建筑面积大于</w:t>
      </w:r>
      <w:r>
        <w:rPr>
          <w:rFonts w:hint="eastAsia" w:ascii="仿宋" w:hAnsi="仿宋" w:eastAsia="仿宋" w:cs="仿宋"/>
          <w:sz w:val="28"/>
          <w:szCs w:val="28"/>
        </w:rPr>
        <w:t>300㎡或总建筑面积大于500㎡的</w:t>
      </w:r>
      <w:r>
        <w:rPr>
          <w:rFonts w:hint="eastAsia" w:ascii="仿宋" w:hAnsi="仿宋" w:eastAsia="仿宋" w:cs="仿宋"/>
          <w:color w:val="000000"/>
          <w:sz w:val="28"/>
          <w:szCs w:val="28"/>
        </w:rPr>
        <w:t>公共娱乐场所：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1.歌舞厅、KTV、卡拉OK厅等歌舞娱乐场所；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2.具有娱乐功能的夜总会、音乐茶座（酒吧、咖啡厅）和餐饮场所；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3.游艺游乐场所、剧本娱乐经营场所；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4.保龄球馆、溜（旱）冰场、桑拿浴室等营业性健身、休闲场所；</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5.互联</w:t>
      </w:r>
      <w:r>
        <w:rPr>
          <w:rFonts w:hint="eastAsia" w:ascii="仿宋" w:hAnsi="仿宋" w:eastAsia="仿宋" w:cs="仿宋"/>
          <w:color w:val="000000"/>
          <w:sz w:val="28"/>
          <w:szCs w:val="28"/>
        </w:rPr>
        <w:t>网上网服务营业场所。</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二、医院、养老院和寄宿制的学校、托儿所、幼儿园</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（一）医疗类场所：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1.二级、三级医院；</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2.病房楼总建筑面积大于1000㎡或门诊楼总建筑面积大于2500㎡；</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3.病房楼、门诊楼设在高层民用建</w:t>
      </w:r>
      <w:r>
        <w:rPr>
          <w:rFonts w:hint="eastAsia" w:ascii="仿宋" w:hAnsi="仿宋" w:eastAsia="仿宋" w:cs="仿宋"/>
          <w:color w:val="000000"/>
          <w:sz w:val="28"/>
          <w:szCs w:val="28"/>
        </w:rPr>
        <w:t>筑内。</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（二）总建筑面积大于</w:t>
      </w:r>
      <w:r>
        <w:rPr>
          <w:rFonts w:hint="eastAsia" w:ascii="仿宋" w:hAnsi="仿宋" w:eastAsia="仿宋" w:cs="仿宋"/>
          <w:sz w:val="28"/>
          <w:szCs w:val="28"/>
        </w:rPr>
        <w:t>1000㎡的</w:t>
      </w:r>
      <w:r>
        <w:rPr>
          <w:rFonts w:hint="eastAsia" w:ascii="仿宋" w:hAnsi="仿宋" w:eastAsia="仿宋" w:cs="仿宋"/>
          <w:color w:val="000000"/>
          <w:sz w:val="28"/>
          <w:szCs w:val="28"/>
        </w:rPr>
        <w:t>养老机构、社会福利机构、母婴照护服务机构（月子中心）；</w:t>
      </w:r>
    </w:p>
    <w:p>
      <w:pPr>
        <w:pStyle w:val="10"/>
        <w:spacing w:line="579" w:lineRule="exact"/>
        <w:ind w:firstLine="640"/>
        <w:rPr>
          <w:rFonts w:hint="eastAsia" w:ascii="仿宋" w:hAnsi="仿宋" w:eastAsia="仿宋" w:cs="仿宋"/>
          <w:color w:val="000000"/>
          <w:sz w:val="28"/>
          <w:szCs w:val="28"/>
        </w:rPr>
      </w:pPr>
      <w:r>
        <w:rPr>
          <w:rFonts w:hint="eastAsia" w:ascii="仿宋" w:hAnsi="仿宋" w:eastAsia="仿宋" w:cs="仿宋"/>
          <w:color w:val="000000"/>
          <w:sz w:val="28"/>
          <w:szCs w:val="28"/>
        </w:rPr>
        <w:t>（三）集体宿舍总建筑面积大</w:t>
      </w:r>
      <w:r>
        <w:rPr>
          <w:rFonts w:hint="eastAsia" w:ascii="仿宋" w:hAnsi="仿宋" w:eastAsia="仿宋" w:cs="仿宋"/>
          <w:sz w:val="28"/>
          <w:szCs w:val="28"/>
        </w:rPr>
        <w:t>于1000㎡的寄宿制学校、校外培训机构，总建筑面积大于10000㎡的学</w:t>
      </w:r>
      <w:r>
        <w:rPr>
          <w:rFonts w:hint="eastAsia" w:ascii="仿宋" w:hAnsi="仿宋" w:eastAsia="仿宋" w:cs="仿宋"/>
          <w:color w:val="000000"/>
          <w:sz w:val="28"/>
          <w:szCs w:val="28"/>
        </w:rPr>
        <w:t>校；</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（四）中型、大型托儿所、幼儿园，儿童用房总建筑面积大于</w:t>
      </w:r>
      <w:r>
        <w:rPr>
          <w:rFonts w:hint="eastAsia" w:ascii="仿宋" w:hAnsi="仿宋" w:eastAsia="仿宋" w:cs="仿宋"/>
          <w:sz w:val="28"/>
          <w:szCs w:val="28"/>
        </w:rPr>
        <w:t>1000㎡的托儿</w:t>
      </w:r>
      <w:r>
        <w:rPr>
          <w:rFonts w:hint="eastAsia" w:ascii="仿宋" w:hAnsi="仿宋" w:eastAsia="仿宋" w:cs="仿宋"/>
          <w:color w:val="000000"/>
          <w:sz w:val="28"/>
          <w:szCs w:val="28"/>
        </w:rPr>
        <w:t>所、幼儿园、儿童校外培训机构。</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三、国家机关</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（一）县级以上党委、人大、政府、政协、纪委监委、人民法院、人民检察院；</w:t>
      </w:r>
    </w:p>
    <w:p>
      <w:pPr>
        <w:pStyle w:val="4"/>
        <w:spacing w:line="579" w:lineRule="exact"/>
        <w:ind w:firstLine="560" w:firstLineChars="200"/>
        <w:jc w:val="left"/>
        <w:rPr>
          <w:rFonts w:hint="eastAsia" w:ascii="仿宋" w:hAnsi="仿宋" w:eastAsia="仿宋" w:cs="仿宋"/>
          <w:color w:val="000000"/>
          <w:kern w:val="0"/>
          <w:sz w:val="28"/>
          <w:szCs w:val="28"/>
          <w:shd w:val="clear" w:color="auto" w:fill="FFFFFF"/>
          <w:lang w:bidi="ar"/>
        </w:rPr>
      </w:pPr>
      <w:r>
        <w:rPr>
          <w:rFonts w:hint="eastAsia" w:ascii="仿宋" w:hAnsi="仿宋" w:eastAsia="仿宋" w:cs="仿宋"/>
          <w:color w:val="000000"/>
          <w:sz w:val="28"/>
          <w:szCs w:val="28"/>
        </w:rPr>
        <w:t>（二）设在高层公共建筑内的其他国家机关。</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四、广播电台、电视台和邮政、通信枢纽 </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（一）建筑设有自动消防设施的县级以上广播电台、电视台；</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（二）设有自动消防设施的县级以上邮政、通信枢纽、防灾指挥调度单位。</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五、客运车站、码头、民用机场</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（一）候车（船）厅总建筑面积大于</w:t>
      </w:r>
      <w:r>
        <w:rPr>
          <w:rFonts w:hint="eastAsia" w:ascii="仿宋" w:hAnsi="仿宋" w:eastAsia="仿宋" w:cs="仿宋"/>
          <w:sz w:val="28"/>
          <w:szCs w:val="28"/>
        </w:rPr>
        <w:t>1000㎡的公</w:t>
      </w:r>
      <w:r>
        <w:rPr>
          <w:rFonts w:hint="eastAsia" w:ascii="仿宋" w:hAnsi="仿宋" w:eastAsia="仿宋" w:cs="仿宋"/>
          <w:color w:val="000000"/>
          <w:sz w:val="28"/>
          <w:szCs w:val="28"/>
        </w:rPr>
        <w:t>路客运车站、船舶码头；</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（二）城市地下客运轨道交通；</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（三）民用运输机场。</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六、公共图书馆、展览馆、博物馆、档案馆以及具有火灾危险性的文物保护单位</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（一）公共图书馆、展览馆、博物馆类场所：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1.设在一、二类高层公共建筑及其地下、半地下；</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2.设</w:t>
      </w:r>
      <w:r>
        <w:rPr>
          <w:rFonts w:hint="eastAsia" w:ascii="仿宋" w:hAnsi="仿宋" w:eastAsia="仿宋" w:cs="仿宋"/>
          <w:color w:val="000000"/>
          <w:sz w:val="28"/>
          <w:szCs w:val="28"/>
        </w:rPr>
        <w:t>在单、多层</w:t>
      </w:r>
      <w:r>
        <w:rPr>
          <w:rFonts w:hint="eastAsia" w:ascii="仿宋" w:hAnsi="仿宋" w:eastAsia="仿宋" w:cs="仿宋"/>
          <w:sz w:val="28"/>
          <w:szCs w:val="28"/>
        </w:rPr>
        <w:t>建筑且任一层建筑面积大于1500㎡或总建筑面积大于3000㎡。</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（二）县级以上档案馆；</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（三）具有火灾危险性的省级以上文物保护单位、世界文化遗产。</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七、发电厂（站）和电网经营企业</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（一）总装机容量不</w:t>
      </w:r>
      <w:r>
        <w:rPr>
          <w:rFonts w:hint="eastAsia" w:ascii="仿宋" w:hAnsi="仿宋" w:eastAsia="仿宋" w:cs="仿宋"/>
          <w:sz w:val="28"/>
          <w:szCs w:val="28"/>
        </w:rPr>
        <w:t>小于300MW的火力、水力发电厂（站）；</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（二）总装机容量不小于200MW的光伏发电站、风力发电站，装机容量不小于50MW的光热发电站，装机容量不小于10MW的储能电站；</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（三）电压不小于</w:t>
      </w:r>
      <w:r>
        <w:rPr>
          <w:rFonts w:hint="eastAsia" w:ascii="仿宋" w:hAnsi="仿宋" w:eastAsia="仿宋" w:cs="仿宋"/>
          <w:sz w:val="28"/>
          <w:szCs w:val="28"/>
        </w:rPr>
        <w:t>220KV的枢纽变电站、区域变电站、地区变电站；</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（四）县级以上电力调度中心、电网经营企业。</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八、易燃易爆化学物品的生产、充装、储存、供应、销售单位</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（一）固定资产大于</w:t>
      </w:r>
      <w:r>
        <w:rPr>
          <w:rFonts w:hint="eastAsia" w:ascii="仿宋" w:hAnsi="仿宋" w:eastAsia="仿宋" w:cs="仿宋"/>
          <w:sz w:val="28"/>
          <w:szCs w:val="28"/>
        </w:rPr>
        <w:t>5000万元（不含土地价值）的易燃易爆危险化学物品的生产企业；</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（二）设计总容量不小于500m³的易燃易爆气体和液体的充装站、供应站、调压站；</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（三）储存易燃易爆危险物品的专用仓库（石油库、化工原料库、堆场）； </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（四）一级营业性汽车加油站、加气站、加油加气合建站、加氢合建站。</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九、服装、制鞋等劳动密集型生产、加工企业</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服装、鞋帽、玩具、木制品、电子、塑料、食品加工等类似劳动密集型企业：</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1.厂房地上占地面积大</w:t>
      </w:r>
      <w:r>
        <w:rPr>
          <w:rFonts w:hint="eastAsia" w:ascii="仿宋" w:hAnsi="仿宋" w:eastAsia="仿宋" w:cs="仿宋"/>
          <w:sz w:val="28"/>
          <w:szCs w:val="28"/>
        </w:rPr>
        <w:t>于1500㎡或总建筑面积大于3000㎡；</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2.生产车间员工总数大于1000人或同一工作时间段生产车间员工人数大于200人；</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3.设有总建筑面积大于1000㎡的</w:t>
      </w:r>
      <w:r>
        <w:rPr>
          <w:rFonts w:hint="eastAsia" w:ascii="仿宋" w:hAnsi="仿宋" w:eastAsia="仿宋" w:cs="仿宋"/>
          <w:color w:val="000000"/>
          <w:sz w:val="28"/>
          <w:szCs w:val="28"/>
        </w:rPr>
        <w:t>员工集体宿舍。</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十、重要的科研单位</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（一）省级以上科研单位；</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（二）设备价值大于</w:t>
      </w:r>
      <w:r>
        <w:rPr>
          <w:rFonts w:hint="eastAsia" w:ascii="仿宋" w:hAnsi="仿宋" w:eastAsia="仿宋" w:cs="仿宋"/>
          <w:sz w:val="28"/>
          <w:szCs w:val="28"/>
        </w:rPr>
        <w:t>5000万元、</w:t>
      </w:r>
      <w:r>
        <w:rPr>
          <w:rFonts w:hint="eastAsia" w:ascii="仿宋" w:hAnsi="仿宋" w:eastAsia="仿宋" w:cs="仿宋"/>
          <w:color w:val="000000"/>
          <w:sz w:val="28"/>
          <w:szCs w:val="28"/>
        </w:rPr>
        <w:t>科研实验中具有火灾危险性的科研单位。</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十一、其他发生火灾可能性较大以及一旦发生火灾可能造成人身重大伤亡或者财产重大损失的单位</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（一）高层</w:t>
      </w:r>
      <w:r>
        <w:rPr>
          <w:rFonts w:hint="eastAsia" w:ascii="仿宋" w:hAnsi="仿宋" w:eastAsia="仿宋" w:cs="仿宋"/>
          <w:sz w:val="28"/>
          <w:szCs w:val="28"/>
        </w:rPr>
        <w:t>商住楼、单体建筑面积大于40000㎡或者建筑高度超过50m的办公楼（写字楼）、公寓楼等高层公共建筑；</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（二）城市重要交通隧道、城市地下观光隧道、城市地下综合管廊；</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（三）国家储备粮库</w:t>
      </w:r>
      <w:r>
        <w:rPr>
          <w:rFonts w:hint="eastAsia" w:ascii="仿宋" w:hAnsi="仿宋" w:eastAsia="仿宋" w:cs="仿宋"/>
          <w:sz w:val="28"/>
          <w:szCs w:val="28"/>
        </w:rPr>
        <w:t>，设计总储量不小于10000吨的其他粮库；</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（四）设计总储</w:t>
      </w:r>
      <w:r>
        <w:rPr>
          <w:rFonts w:hint="eastAsia" w:ascii="仿宋" w:hAnsi="仿宋" w:eastAsia="仿宋" w:cs="仿宋"/>
          <w:sz w:val="28"/>
          <w:szCs w:val="28"/>
        </w:rPr>
        <w:t>量不小于500吨的棉库或不小于10000m³的木材堆场；</w:t>
      </w:r>
    </w:p>
    <w:p>
      <w:pPr>
        <w:pStyle w:val="5"/>
        <w:spacing w:line="579" w:lineRule="exact"/>
        <w:ind w:left="0" w:firstLine="560" w:firstLineChars="200"/>
        <w:rPr>
          <w:rFonts w:hint="eastAsia" w:ascii="仿宋" w:hAnsi="仿宋" w:eastAsia="仿宋" w:cs="仿宋"/>
          <w:sz w:val="28"/>
          <w:szCs w:val="28"/>
        </w:rPr>
      </w:pPr>
      <w:r>
        <w:rPr>
          <w:rFonts w:hint="eastAsia" w:ascii="仿宋" w:hAnsi="仿宋" w:eastAsia="仿宋" w:cs="仿宋"/>
          <w:color w:val="000000"/>
          <w:sz w:val="28"/>
          <w:szCs w:val="28"/>
        </w:rPr>
        <w:t>（五）总储存面积大</w:t>
      </w:r>
      <w:r>
        <w:rPr>
          <w:rFonts w:hint="eastAsia" w:ascii="仿宋" w:hAnsi="仿宋" w:eastAsia="仿宋" w:cs="仿宋"/>
          <w:sz w:val="28"/>
          <w:szCs w:val="28"/>
        </w:rPr>
        <w:t>于5000㎡的可燃物品仓储物流企业；</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（六）设有自动消防设施的汽车库、修车库和停车场（住宅小区内不对外开放的汽车库、修车库和停车场除外）；</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（七）下列金融机构：</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1.支行（一级）以上的银行，办公场所为高层建筑的金融机构；</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2.营业厅面积大于1000㎡的证券交易所；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3.银行业、保险业、证券业务数据处理中心。</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（八）下列对公众开放、具有火灾危险性的旅游景区、宗教活动场所：</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1.AAAA级以上的旅游景区；</w:t>
      </w:r>
    </w:p>
    <w:p>
      <w:pPr>
        <w:spacing w:line="579"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2.总建筑面积大于2500㎡的宗教活动场所。</w:t>
      </w:r>
    </w:p>
    <w:p>
      <w:pPr>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（九</w:t>
      </w:r>
      <w:r>
        <w:rPr>
          <w:rFonts w:hint="eastAsia" w:ascii="仿宋" w:hAnsi="仿宋" w:eastAsia="仿宋" w:cs="仿宋"/>
          <w:color w:val="000000"/>
          <w:sz w:val="28"/>
          <w:szCs w:val="28"/>
        </w:rPr>
        <w:t>）固定资产（建筑、设备、原材料等，不含土地价值）价值大于</w:t>
      </w:r>
      <w:r>
        <w:rPr>
          <w:rFonts w:hint="eastAsia" w:ascii="仿宋" w:hAnsi="仿宋" w:eastAsia="仿宋" w:cs="仿宋"/>
          <w:sz w:val="28"/>
          <w:szCs w:val="28"/>
        </w:rPr>
        <w:t>5000万元的</w:t>
      </w:r>
      <w:r>
        <w:rPr>
          <w:rFonts w:hint="eastAsia" w:ascii="仿宋" w:hAnsi="仿宋" w:eastAsia="仿宋" w:cs="仿宋"/>
          <w:color w:val="000000"/>
          <w:sz w:val="28"/>
          <w:szCs w:val="28"/>
        </w:rPr>
        <w:t>汽车、造船、电器、医药、烟草、纺织、制革、造纸等具有火灾危险的工业企业。</w:t>
      </w:r>
    </w:p>
    <w:p>
      <w:pPr>
        <w:pStyle w:val="4"/>
        <w:spacing w:line="579"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本标准自</w:t>
      </w:r>
      <w:r>
        <w:rPr>
          <w:rFonts w:hint="eastAsia" w:ascii="仿宋" w:hAnsi="仿宋" w:eastAsia="仿宋" w:cs="仿宋"/>
          <w:sz w:val="28"/>
          <w:szCs w:val="28"/>
        </w:rPr>
        <w:t>2024年1月1日起施行，2010年3月18日</w:t>
      </w:r>
      <w:r>
        <w:rPr>
          <w:rFonts w:hint="eastAsia" w:ascii="仿宋" w:hAnsi="仿宋" w:eastAsia="仿宋" w:cs="仿宋"/>
          <w:color w:val="000000"/>
          <w:sz w:val="28"/>
          <w:szCs w:val="28"/>
        </w:rPr>
        <w:t>河北省公安厅印发的《河北省消防安全重点单位界定标准》不再执行。</w:t>
      </w:r>
    </w:p>
    <w:p>
      <w:pPr>
        <w:widowControl/>
        <w:jc w:val="left"/>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02A3D"/>
    <w:rsid w:val="44502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eastAsia="仿宋"/>
    </w:rPr>
  </w:style>
  <w:style w:type="paragraph" w:styleId="4">
    <w:name w:val="Body Text"/>
    <w:basedOn w:val="1"/>
    <w:next w:val="5"/>
    <w:qFormat/>
    <w:uiPriority w:val="0"/>
    <w:rPr>
      <w:rFonts w:ascii="Times New Roman" w:hAnsi="Times New Roman" w:eastAsia="宋体" w:cs="Times New Roman"/>
    </w:rPr>
  </w:style>
  <w:style w:type="paragraph" w:styleId="5">
    <w:name w:val="toc 5"/>
    <w:basedOn w:val="1"/>
    <w:next w:val="1"/>
    <w:qFormat/>
    <w:uiPriority w:val="0"/>
    <w:pPr>
      <w:ind w:left="1680"/>
    </w:pPr>
    <w:rPr>
      <w:rFonts w:ascii="Times New Roman" w:hAnsi="Times New Roman" w:eastAsia="宋体" w:cs="Times New Roman"/>
    </w:rPr>
  </w:style>
  <w:style w:type="paragraph" w:styleId="6">
    <w:name w:val="Body Text Indent"/>
    <w:basedOn w:val="1"/>
    <w:next w:val="3"/>
    <w:unhideWhenUsed/>
    <w:qFormat/>
    <w:uiPriority w:val="99"/>
    <w:pPr>
      <w:spacing w:after="120"/>
      <w:ind w:left="420" w:leftChars="200"/>
    </w:pPr>
  </w:style>
  <w:style w:type="paragraph" w:styleId="7">
    <w:name w:val="Body Text First Indent 2"/>
    <w:basedOn w:val="6"/>
    <w:next w:val="1"/>
    <w:unhideWhenUsed/>
    <w:qFormat/>
    <w:uiPriority w:val="0"/>
    <w:pPr>
      <w:ind w:firstLine="420" w:firstLineChars="200"/>
    </w:pPr>
    <w:rPr>
      <w:kern w:val="0"/>
      <w:sz w:val="20"/>
    </w:rPr>
  </w:style>
  <w:style w:type="paragraph" w:customStyle="1" w:styleId="10">
    <w:name w:val="列表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2023-12-07T06:41:00Z</dcterms:created>
  <dc:creator>一斤鸭梨</dc:creator>
  <cp:lastModifiedBy>一斤鸭梨</cp:lastModifiedBy>
  <dcterms:modified xsi:type="dcterms:W3CDTF">2023-12-07T06:42:21Z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AFE10CCBECF64E118BB3634ADA6E5648</vt:lpwstr>
  </property>
</Properties>
</file>