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580" w:lineRule="exact"/>
        <w:ind w:left="480" w:leftChars="200" w:right="1025" w:firstLine="422" w:firstLineChars="175"/>
        <w:rPr>
          <w:rFonts w:ascii="Times New Roman" w:hAnsi="Times New Roman"/>
          <w:b/>
          <w:szCs w:val="24"/>
        </w:rPr>
      </w:pPr>
      <w:r>
        <w:rPr>
          <w:rFonts w:ascii="Times New Roman" w:hAnsi="Times New Roman"/>
          <w:b/>
          <w:szCs w:val="24"/>
        </w:rPr>
        <mc:AlternateContent>
          <mc:Choice Requires="wps">
            <w:drawing>
              <wp:anchor distT="0" distB="0" distL="114300" distR="114300" simplePos="0" relativeHeight="251669504" behindDoc="0" locked="0" layoutInCell="1" allowOverlap="1">
                <wp:simplePos x="0" y="0"/>
                <wp:positionH relativeFrom="column">
                  <wp:posOffset>3187700</wp:posOffset>
                </wp:positionH>
                <wp:positionV relativeFrom="paragraph">
                  <wp:posOffset>15875</wp:posOffset>
                </wp:positionV>
                <wp:extent cx="2957830" cy="693420"/>
                <wp:effectExtent l="0" t="0" r="0" b="0"/>
                <wp:wrapNone/>
                <wp:docPr id="4" name="矩形 4"/>
                <wp:cNvGraphicFramePr/>
                <a:graphic xmlns:a="http://schemas.openxmlformats.org/drawingml/2006/main">
                  <a:graphicData uri="http://schemas.microsoft.com/office/word/2010/wordprocessingShape">
                    <wps:wsp>
                      <wps:cNvSpPr/>
                      <wps:spPr>
                        <a:xfrm>
                          <a:off x="4060825" y="334010"/>
                          <a:ext cx="2957830" cy="693420"/>
                        </a:xfrm>
                        <a:prstGeom prst="rect">
                          <a:avLst/>
                        </a:prstGeom>
                        <a:noFill/>
                        <a:ln w="9525">
                          <a:noFill/>
                        </a:ln>
                      </wps:spPr>
                      <wps:txbx>
                        <w:txbxContent>
                          <w:p>
                            <w:pPr>
                              <w:widowControl/>
                              <w:shd w:val="solid" w:color="FFFFFF" w:fill="FFFFFF"/>
                              <w:autoSpaceDE w:val="0"/>
                              <w:autoSpaceDN w:val="0"/>
                              <w:spacing w:line="0" w:lineRule="atLeast"/>
                              <w:jc w:val="right"/>
                              <w:rPr>
                                <w:rFonts w:ascii="Times New Roman" w:hAnsi="Times New Roman"/>
                                <w:b/>
                                <w:sz w:val="96"/>
                                <w:szCs w:val="96"/>
                              </w:rPr>
                            </w:pPr>
                            <w:r>
                              <w:rPr>
                                <w:rFonts w:ascii="宋体" w:hAnsi="宋体" w:cs="宋体"/>
                                <w:kern w:val="0"/>
                                <w:sz w:val="21"/>
                              </w:rPr>
                              <w:drawing>
                                <wp:inline distT="0" distB="0" distL="114300" distR="114300">
                                  <wp:extent cx="788670" cy="396240"/>
                                  <wp:effectExtent l="0" t="0" r="1143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788670" cy="396240"/>
                                          </a:xfrm>
                                          <a:prstGeom prst="rect">
                                            <a:avLst/>
                                          </a:prstGeom>
                                          <a:noFill/>
                                          <a:ln>
                                            <a:noFill/>
                                          </a:ln>
                                        </pic:spPr>
                                      </pic:pic>
                                    </a:graphicData>
                                  </a:graphic>
                                </wp:inline>
                              </w:drawing>
                            </w:r>
                            <w:r>
                              <w:rPr>
                                <w:rFonts w:hint="eastAsia" w:ascii="Times New Roman" w:hAnsi="Times New Roman"/>
                                <w:b/>
                                <w:w w:val="130"/>
                                <w:kern w:val="0"/>
                                <w:sz w:val="96"/>
                                <w:szCs w:val="96"/>
                              </w:rPr>
                              <w:t>1331</w:t>
                            </w:r>
                          </w:p>
                        </w:txbxContent>
                      </wps:txbx>
                      <wps:bodyPr lIns="0" tIns="45720" rIns="0" bIns="0" upright="1"/>
                    </wps:wsp>
                  </a:graphicData>
                </a:graphic>
              </wp:anchor>
            </w:drawing>
          </mc:Choice>
          <mc:Fallback>
            <w:pict>
              <v:rect id="_x0000_s1026" o:spid="_x0000_s1026" o:spt="1" style="position:absolute;left:0pt;margin-left:251pt;margin-top:1.25pt;height:54.6pt;width:232.9pt;z-index:251669504;mso-width-relative:page;mso-height-relative:page;" filled="f" stroked="f" coordsize="21600,21600" o:gfxdata="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JI+f2QAAAAkBAAAPAAAAAAAAAAEAIAAAACIAAABkcnMv&#10;ZG93bnJldi54bWxQSwECFAAUAAAACACHTuJAbZf9dskBAAB9AwAADgAAAAAAAAABACAAAAAoAQAA&#10;ZHJzL2Uyb0RvYy54bWxQSwUGAAAAAAYABgBZAQAAYwUAAAAA&#10;">
                <v:fill on="f" focussize="0,0"/>
                <v:stroke on="f"/>
                <v:imagedata o:title=""/>
                <o:lock v:ext="edit" aspectratio="f"/>
                <v:textbox inset="0mm,1.27mm,0mm,0mm">
                  <w:txbxContent>
                    <w:p>
                      <w:pPr>
                        <w:widowControl/>
                        <w:shd w:val="solid" w:color="FFFFFF" w:fill="FFFFFF"/>
                        <w:autoSpaceDE w:val="0"/>
                        <w:autoSpaceDN w:val="0"/>
                        <w:spacing w:line="0" w:lineRule="atLeast"/>
                        <w:jc w:val="right"/>
                        <w:rPr>
                          <w:rFonts w:ascii="Times New Roman" w:hAnsi="Times New Roman"/>
                          <w:b/>
                          <w:sz w:val="96"/>
                          <w:szCs w:val="96"/>
                        </w:rPr>
                      </w:pPr>
                      <w:r>
                        <w:rPr>
                          <w:rFonts w:ascii="宋体" w:hAnsi="宋体" w:cs="宋体"/>
                          <w:kern w:val="0"/>
                          <w:sz w:val="21"/>
                        </w:rPr>
                        <w:drawing>
                          <wp:inline distT="0" distB="0" distL="114300" distR="114300">
                            <wp:extent cx="788670" cy="396240"/>
                            <wp:effectExtent l="0" t="0" r="1143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788670" cy="396240"/>
                                    </a:xfrm>
                                    <a:prstGeom prst="rect">
                                      <a:avLst/>
                                    </a:prstGeom>
                                    <a:noFill/>
                                    <a:ln>
                                      <a:noFill/>
                                    </a:ln>
                                  </pic:spPr>
                                </pic:pic>
                              </a:graphicData>
                            </a:graphic>
                          </wp:inline>
                        </w:drawing>
                      </w:r>
                      <w:r>
                        <w:rPr>
                          <w:rFonts w:hint="eastAsia" w:ascii="Times New Roman" w:hAnsi="Times New Roman"/>
                          <w:b/>
                          <w:w w:val="130"/>
                          <w:kern w:val="0"/>
                          <w:sz w:val="96"/>
                          <w:szCs w:val="96"/>
                        </w:rPr>
                        <w:t>1331</w:t>
                      </w:r>
                    </w:p>
                  </w:txbxContent>
                </v:textbox>
              </v:rect>
            </w:pict>
          </mc:Fallback>
        </mc:AlternateContent>
      </w:r>
      <w:r>
        <w:rPr>
          <w:rFonts w:ascii="Times New Roman" w:hAnsi="Times New Roman"/>
          <w:b/>
          <w:szCs w:val="24"/>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-13970</wp:posOffset>
                </wp:positionV>
                <wp:extent cx="1714500" cy="592455"/>
                <wp:effectExtent l="0" t="0" r="0" b="0"/>
                <wp:wrapNone/>
                <wp:docPr id="36" name="矩形 36"/>
                <wp:cNvGraphicFramePr/>
                <a:graphic xmlns:a="http://schemas.openxmlformats.org/drawingml/2006/main">
                  <a:graphicData uri="http://schemas.microsoft.com/office/word/2010/wordprocessingShape">
                    <wps:wsp>
                      <wps:cNvSpPr/>
                      <wps:spPr>
                        <a:xfrm>
                          <a:off x="0" y="0"/>
                          <a:ext cx="1714500" cy="592455"/>
                        </a:xfrm>
                        <a:prstGeom prst="rect">
                          <a:avLst/>
                        </a:prstGeom>
                        <a:noFill/>
                        <a:ln w="9525">
                          <a:noFill/>
                        </a:ln>
                      </wps:spPr>
                      <wps:txbx>
                        <w:txbxContent>
                          <w:p>
                            <w:pPr>
                              <w:adjustRightInd w:val="0"/>
                              <w:snapToGrid w:val="0"/>
                              <w:spacing w:line="160" w:lineRule="atLeast"/>
                              <w:rPr>
                                <w:rFonts w:ascii="Times New Roman" w:hAnsi="Times New Roman" w:eastAsia="黑体"/>
                                <w:sz w:val="22"/>
                              </w:rPr>
                            </w:pPr>
                            <w:r>
                              <w:rPr>
                                <w:rFonts w:ascii="Times New Roman" w:hAnsi="Times New Roman" w:eastAsia="黑体"/>
                                <w:sz w:val="22"/>
                              </w:rPr>
                              <w:t>ICS</w:t>
                            </w:r>
                            <w:r>
                              <w:rPr>
                                <w:rFonts w:hint="eastAsia" w:ascii="Times New Roman" w:hAnsi="Times New Roman" w:eastAsia="黑体"/>
                                <w:sz w:val="22"/>
                              </w:rPr>
                              <w:t xml:space="preserve"> □□□□□</w:t>
                            </w:r>
                          </w:p>
                          <w:p>
                            <w:pPr>
                              <w:adjustRightInd w:val="0"/>
                              <w:snapToGrid w:val="0"/>
                              <w:spacing w:line="160" w:lineRule="atLeast"/>
                              <w:rPr>
                                <w:rFonts w:ascii="Times New Roman" w:hAnsi="Times New Roman" w:eastAsia="黑体"/>
                                <w:sz w:val="22"/>
                              </w:rPr>
                            </w:pPr>
                            <w:r>
                              <w:rPr>
                                <w:rFonts w:ascii="Times New Roman" w:hAnsi="Times New Roman" w:eastAsia="黑体"/>
                                <w:sz w:val="22"/>
                              </w:rPr>
                              <w:t>Z</w:t>
                            </w:r>
                            <w:r>
                              <w:rPr>
                                <w:rFonts w:hint="eastAsia" w:ascii="Times New Roman" w:hAnsi="Times New Roman" w:eastAsia="黑体"/>
                                <w:sz w:val="22"/>
                              </w:rPr>
                              <w:t xml:space="preserve"> □□□□□</w:t>
                            </w:r>
                          </w:p>
                          <w:p>
                            <w:pPr>
                              <w:adjustRightInd w:val="0"/>
                              <w:snapToGrid w:val="0"/>
                              <w:spacing w:line="160" w:lineRule="atLeast"/>
                              <w:rPr>
                                <w:rFonts w:ascii="Times New Roman" w:hAnsi="Times New Roman" w:eastAsia="黑体"/>
                                <w:sz w:val="22"/>
                              </w:rPr>
                            </w:pPr>
                          </w:p>
                        </w:txbxContent>
                      </wps:txbx>
                      <wps:bodyPr lIns="0" tIns="0" rIns="0" bIns="0" upright="1"/>
                    </wps:wsp>
                  </a:graphicData>
                </a:graphic>
              </wp:anchor>
            </w:drawing>
          </mc:Choice>
          <mc:Fallback>
            <w:pict>
              <v:rect id="_x0000_s1026" o:spid="_x0000_s1026" o:spt="1" style="position:absolute;left:0pt;margin-left:-1.25pt;margin-top:-1.1pt;height:46.65pt;width:135pt;z-index:251662336;mso-width-relative:page;mso-height-relative:page;" filled="f" stroked="f" coordsize="21600,21600" o:gfxdata="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evdPNkAAAAIAQAADwAAAAAAAAABACAAAAAiAAAAZHJzL2Rvd25yZXYueG1sUEsB&#10;AhQAFAAAAAgAh07iQIz/pwK7AQAAcAMAAA4AAAAAAAAAAQAgAAAAKAEAAGRycy9lMm9Eb2MueG1s&#10;UEsFBgAAAAAGAAYAWQEAAFUFAAAAAA==&#10;">
                <v:fill on="f" focussize="0,0"/>
                <v:stroke on="f"/>
                <v:imagedata o:title=""/>
                <o:lock v:ext="edit" aspectratio="f"/>
                <v:textbox inset="0mm,0mm,0mm,0mm">
                  <w:txbxContent>
                    <w:p>
                      <w:pPr>
                        <w:adjustRightInd w:val="0"/>
                        <w:snapToGrid w:val="0"/>
                        <w:spacing w:line="160" w:lineRule="atLeast"/>
                        <w:rPr>
                          <w:rFonts w:ascii="Times New Roman" w:hAnsi="Times New Roman" w:eastAsia="黑体"/>
                          <w:sz w:val="22"/>
                        </w:rPr>
                      </w:pPr>
                      <w:r>
                        <w:rPr>
                          <w:rFonts w:ascii="Times New Roman" w:hAnsi="Times New Roman" w:eastAsia="黑体"/>
                          <w:sz w:val="22"/>
                        </w:rPr>
                        <w:t>ICS</w:t>
                      </w:r>
                      <w:r>
                        <w:rPr>
                          <w:rFonts w:hint="eastAsia" w:ascii="Times New Roman" w:hAnsi="Times New Roman" w:eastAsia="黑体"/>
                          <w:sz w:val="22"/>
                        </w:rPr>
                        <w:t xml:space="preserve"> □□□□□</w:t>
                      </w:r>
                    </w:p>
                    <w:p>
                      <w:pPr>
                        <w:adjustRightInd w:val="0"/>
                        <w:snapToGrid w:val="0"/>
                        <w:spacing w:line="160" w:lineRule="atLeast"/>
                        <w:rPr>
                          <w:rFonts w:ascii="Times New Roman" w:hAnsi="Times New Roman" w:eastAsia="黑体"/>
                          <w:sz w:val="22"/>
                        </w:rPr>
                      </w:pPr>
                      <w:r>
                        <w:rPr>
                          <w:rFonts w:ascii="Times New Roman" w:hAnsi="Times New Roman" w:eastAsia="黑体"/>
                          <w:sz w:val="22"/>
                        </w:rPr>
                        <w:t>Z</w:t>
                      </w:r>
                      <w:r>
                        <w:rPr>
                          <w:rFonts w:hint="eastAsia" w:ascii="Times New Roman" w:hAnsi="Times New Roman" w:eastAsia="黑体"/>
                          <w:sz w:val="22"/>
                        </w:rPr>
                        <w:t xml:space="preserve"> □□□□□</w:t>
                      </w:r>
                    </w:p>
                    <w:p>
                      <w:pPr>
                        <w:adjustRightInd w:val="0"/>
                        <w:snapToGrid w:val="0"/>
                        <w:spacing w:line="160" w:lineRule="atLeast"/>
                        <w:rPr>
                          <w:rFonts w:ascii="Times New Roman" w:hAnsi="Times New Roman" w:eastAsia="黑体"/>
                          <w:sz w:val="22"/>
                        </w:rPr>
                      </w:pPr>
                    </w:p>
                  </w:txbxContent>
                </v:textbox>
              </v:rect>
            </w:pict>
          </mc:Fallback>
        </mc:AlternateContent>
      </w:r>
    </w:p>
    <w:p>
      <w:pPr>
        <w:spacing w:line="580" w:lineRule="exact"/>
        <w:ind w:right="1446"/>
        <w:rPr>
          <w:rFonts w:ascii="Times New Roman" w:hAnsi="Times New Roman"/>
          <w:b/>
          <w:szCs w:val="24"/>
        </w:rPr>
      </w:pPr>
      <w:r>
        <w:rPr>
          <w:rFonts w:ascii="Times New Roman" w:hAnsi="Times New Roman"/>
          <w:b/>
          <w:szCs w:val="24"/>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263525</wp:posOffset>
                </wp:positionV>
                <wp:extent cx="6120130" cy="514350"/>
                <wp:effectExtent l="0" t="0" r="0" b="0"/>
                <wp:wrapNone/>
                <wp:docPr id="37" name="矩形 37"/>
                <wp:cNvGraphicFramePr/>
                <a:graphic xmlns:a="http://schemas.openxmlformats.org/drawingml/2006/main">
                  <a:graphicData uri="http://schemas.microsoft.com/office/word/2010/wordprocessingShape">
                    <wps:wsp>
                      <wps:cNvSpPr/>
                      <wps:spPr>
                        <a:xfrm>
                          <a:off x="0" y="0"/>
                          <a:ext cx="6120130" cy="514350"/>
                        </a:xfrm>
                        <a:prstGeom prst="rect">
                          <a:avLst/>
                        </a:prstGeom>
                        <a:noFill/>
                        <a:ln w="9525">
                          <a:noFill/>
                        </a:ln>
                      </wps:spPr>
                      <wps:txbx>
                        <w:txbxContent>
                          <w:p>
                            <w:pPr>
                              <w:jc w:val="distribute"/>
                              <w:rPr>
                                <w:rFonts w:ascii="黑体" w:eastAsia="黑体"/>
                                <w:sz w:val="52"/>
                                <w:szCs w:val="52"/>
                              </w:rPr>
                            </w:pPr>
                            <w:r>
                              <w:rPr>
                                <w:rFonts w:hint="eastAsia" w:ascii="黑体" w:eastAsia="黑体"/>
                                <w:sz w:val="52"/>
                                <w:szCs w:val="52"/>
                              </w:rPr>
                              <w:t>雄安新区地方标准</w:t>
                            </w:r>
                          </w:p>
                        </w:txbxContent>
                      </wps:txbx>
                      <wps:bodyPr lIns="0" tIns="0" rIns="0" bIns="0" upright="1"/>
                    </wps:wsp>
                  </a:graphicData>
                </a:graphic>
              </wp:anchor>
            </w:drawing>
          </mc:Choice>
          <mc:Fallback>
            <w:pict>
              <v:rect id="_x0000_s1026" o:spid="_x0000_s1026" o:spt="1" style="position:absolute;left:0pt;margin-left:0.6pt;margin-top:20.75pt;height:40.5pt;width:481.9pt;z-index:251663360;mso-width-relative:page;mso-height-relative:page;" filled="f" stroked="f" coordsize="21600,21600" o:gfxdata="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dWuytgAAAAIAQAADwAAAAAAAAABACAAAAAiAAAAZHJzL2Rvd25yZXYueG1sUEsBAhQA&#10;FAAAAAgAh07iQNsT+rq5AQAAcAMAAA4AAAAAAAAAAQAgAAAAJwEAAGRycy9lMm9Eb2MueG1sUEsF&#10;BgAAAAAGAAYAWQEAAFIFAAAAAA==&#10;">
                <v:fill on="f" focussize="0,0"/>
                <v:stroke on="f"/>
                <v:imagedata o:title=""/>
                <o:lock v:ext="edit" aspectratio="f"/>
                <v:textbox inset="0mm,0mm,0mm,0mm">
                  <w:txbxContent>
                    <w:p>
                      <w:pPr>
                        <w:jc w:val="distribute"/>
                        <w:rPr>
                          <w:rFonts w:ascii="黑体" w:eastAsia="黑体"/>
                          <w:sz w:val="52"/>
                          <w:szCs w:val="52"/>
                        </w:rPr>
                      </w:pPr>
                      <w:r>
                        <w:rPr>
                          <w:rFonts w:hint="eastAsia" w:ascii="黑体" w:eastAsia="黑体"/>
                          <w:sz w:val="52"/>
                          <w:szCs w:val="52"/>
                        </w:rPr>
                        <w:t>雄安新区地方标准</w:t>
                      </w:r>
                    </w:p>
                  </w:txbxContent>
                </v:textbox>
              </v:rect>
            </w:pict>
          </mc:Fallback>
        </mc:AlternateContent>
      </w:r>
    </w:p>
    <w:p>
      <w:pPr>
        <w:spacing w:line="580" w:lineRule="exact"/>
        <w:ind w:right="482"/>
        <w:rPr>
          <w:rFonts w:ascii="Times New Roman" w:hAnsi="Times New Roman"/>
          <w:b/>
          <w:szCs w:val="24"/>
        </w:rPr>
      </w:pPr>
    </w:p>
    <w:p>
      <w:pPr>
        <w:spacing w:line="580" w:lineRule="exact"/>
        <w:ind w:right="1042"/>
        <w:rPr>
          <w:rFonts w:ascii="Times New Roman" w:hAnsi="Times New Roman"/>
          <w:b/>
          <w:szCs w:val="24"/>
        </w:rPr>
      </w:pPr>
      <w:r>
        <w:rPr>
          <w:rFonts w:ascii="Times New Roman" w:hAnsi="Times New Roman"/>
          <w:b/>
          <w:szCs w:val="24"/>
        </w:rPr>
        <mc:AlternateContent>
          <mc:Choice Requires="wps">
            <w:drawing>
              <wp:anchor distT="0" distB="0" distL="114300" distR="114300" simplePos="0" relativeHeight="251664384" behindDoc="0" locked="0" layoutInCell="1" allowOverlap="1">
                <wp:simplePos x="0" y="0"/>
                <wp:positionH relativeFrom="column">
                  <wp:posOffset>4211955</wp:posOffset>
                </wp:positionH>
                <wp:positionV relativeFrom="paragraph">
                  <wp:posOffset>140335</wp:posOffset>
                </wp:positionV>
                <wp:extent cx="1905000" cy="228600"/>
                <wp:effectExtent l="0" t="0" r="0" b="0"/>
                <wp:wrapNone/>
                <wp:docPr id="38" name="矩形 38"/>
                <wp:cNvGraphicFramePr/>
                <a:graphic xmlns:a="http://schemas.openxmlformats.org/drawingml/2006/main">
                  <a:graphicData uri="http://schemas.microsoft.com/office/word/2010/wordprocessingShape">
                    <wps:wsp>
                      <wps:cNvSpPr/>
                      <wps:spPr>
                        <a:xfrm>
                          <a:off x="0" y="0"/>
                          <a:ext cx="1905000" cy="228600"/>
                        </a:xfrm>
                        <a:prstGeom prst="rect">
                          <a:avLst/>
                        </a:prstGeom>
                        <a:noFill/>
                        <a:ln w="9525">
                          <a:noFill/>
                        </a:ln>
                      </wps:spPr>
                      <wps:txbx>
                        <w:txbxContent>
                          <w:p>
                            <w:pPr>
                              <w:wordWrap w:val="0"/>
                              <w:adjustRightInd w:val="0"/>
                              <w:snapToGrid w:val="0"/>
                              <w:spacing w:line="160" w:lineRule="atLeast"/>
                              <w:jc w:val="right"/>
                              <w:rPr>
                                <w:rFonts w:eastAsia="黑体"/>
                                <w:b/>
                                <w:sz w:val="28"/>
                                <w:szCs w:val="28"/>
                              </w:rPr>
                            </w:pPr>
                            <w:r>
                              <w:rPr>
                                <w:rFonts w:eastAsia="黑体"/>
                                <w:b/>
                                <w:sz w:val="28"/>
                                <w:szCs w:val="28"/>
                              </w:rPr>
                              <w:t>DB</w:t>
                            </w:r>
                            <w:r>
                              <w:rPr>
                                <w:rFonts w:hint="eastAsia" w:eastAsia="黑体"/>
                                <w:b/>
                                <w:sz w:val="28"/>
                                <w:szCs w:val="28"/>
                              </w:rPr>
                              <w:t>1331/T□□□-2023</w:t>
                            </w:r>
                          </w:p>
                          <w:p>
                            <w:pPr>
                              <w:adjustRightInd w:val="0"/>
                              <w:snapToGrid w:val="0"/>
                              <w:spacing w:line="160" w:lineRule="atLeast"/>
                              <w:jc w:val="right"/>
                              <w:rPr>
                                <w:rFonts w:ascii="黑体" w:eastAsia="黑体"/>
                                <w:b/>
                                <w:sz w:val="21"/>
                                <w:szCs w:val="21"/>
                              </w:rPr>
                            </w:pPr>
                          </w:p>
                        </w:txbxContent>
                      </wps:txbx>
                      <wps:bodyPr lIns="0" tIns="0" rIns="0" bIns="0" upright="1"/>
                    </wps:wsp>
                  </a:graphicData>
                </a:graphic>
              </wp:anchor>
            </w:drawing>
          </mc:Choice>
          <mc:Fallback>
            <w:pict>
              <v:rect id="_x0000_s1026" o:spid="_x0000_s1026" o:spt="1" style="position:absolute;left:0pt;margin-left:331.65pt;margin-top:11.05pt;height:18pt;width:150pt;z-index:251664384;mso-width-relative:page;mso-height-relative:page;" filled="f" stroked="f" coordsize="21600,21600" o:gfxdata="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CaAdvZAAAACQEAAA8AAAAAAAAAAQAgAAAAIgAAAGRycy9kb3ducmV2LnhtbFBLAQIU&#10;ABQAAAAIAIdO4kAwmu2GuQEAAHADAAAOAAAAAAAAAAEAIAAAACgBAABkcnMvZTJvRG9jLnhtbFBL&#10;BQYAAAAABgAGAFkBAABTBQAAAAA=&#10;">
                <v:fill on="f" focussize="0,0"/>
                <v:stroke on="f"/>
                <v:imagedata o:title=""/>
                <o:lock v:ext="edit" aspectratio="f"/>
                <v:textbox inset="0mm,0mm,0mm,0mm">
                  <w:txbxContent>
                    <w:p>
                      <w:pPr>
                        <w:wordWrap w:val="0"/>
                        <w:adjustRightInd w:val="0"/>
                        <w:snapToGrid w:val="0"/>
                        <w:spacing w:line="160" w:lineRule="atLeast"/>
                        <w:jc w:val="right"/>
                        <w:rPr>
                          <w:rFonts w:eastAsia="黑体"/>
                          <w:b/>
                          <w:sz w:val="28"/>
                          <w:szCs w:val="28"/>
                        </w:rPr>
                      </w:pPr>
                      <w:r>
                        <w:rPr>
                          <w:rFonts w:eastAsia="黑体"/>
                          <w:b/>
                          <w:sz w:val="28"/>
                          <w:szCs w:val="28"/>
                        </w:rPr>
                        <w:t>DB</w:t>
                      </w:r>
                      <w:r>
                        <w:rPr>
                          <w:rFonts w:hint="eastAsia" w:eastAsia="黑体"/>
                          <w:b/>
                          <w:sz w:val="28"/>
                          <w:szCs w:val="28"/>
                        </w:rPr>
                        <w:t>1331/T□□□-2023</w:t>
                      </w:r>
                    </w:p>
                    <w:p>
                      <w:pPr>
                        <w:adjustRightInd w:val="0"/>
                        <w:snapToGrid w:val="0"/>
                        <w:spacing w:line="160" w:lineRule="atLeast"/>
                        <w:jc w:val="right"/>
                        <w:rPr>
                          <w:rFonts w:ascii="黑体" w:eastAsia="黑体"/>
                          <w:b/>
                          <w:sz w:val="21"/>
                          <w:szCs w:val="21"/>
                        </w:rPr>
                      </w:pPr>
                    </w:p>
                  </w:txbxContent>
                </v:textbox>
              </v:rect>
            </w:pict>
          </mc:Fallback>
        </mc:AlternateContent>
      </w:r>
    </w:p>
    <w:p>
      <w:pPr>
        <w:tabs>
          <w:tab w:val="left" w:pos="9660"/>
        </w:tabs>
        <w:spacing w:line="580" w:lineRule="exact"/>
        <w:ind w:right="1042"/>
        <w:rPr>
          <w:rFonts w:ascii="Times New Roman" w:hAnsi="Times New Roman"/>
          <w:b/>
          <w:szCs w:val="24"/>
        </w:rPr>
      </w:pPr>
      <w:r>
        <w:rPr>
          <w:rFonts w:ascii="Times New Roman" w:hAnsi="Times New Roman"/>
          <w:b/>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240665</wp:posOffset>
                </wp:positionV>
                <wp:extent cx="612013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12013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8.95pt;height:0pt;width:481.9pt;z-index:251661312;mso-width-relative:page;mso-height-relative:page;" filled="f" stroked="t" coordsize="21600,21600" o:gfxdata="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OMeutYAAAAGAQAADwAAAAAAAAABACAAAAAiAAAAZHJzL2Rvd25yZXYueG1sUEsBAhQAFAAAAAgA&#10;h07iQAYWFHXuAQAA2wMAAA4AAAAAAAAAAQAgAAAAJQEAAGRycy9lMm9Eb2MueG1sUEsFBgAAAAAG&#10;AAYAWQEAAIUFAAAAAA==&#10;">
                <v:fill on="f" focussize="0,0"/>
                <v:stroke weight="1.25pt" color="#000000" joinstyle="round"/>
                <v:imagedata o:title=""/>
                <o:lock v:ext="edit" aspectratio="f"/>
              </v:line>
            </w:pict>
          </mc:Fallback>
        </mc:AlternateContent>
      </w:r>
    </w:p>
    <w:p>
      <w:pPr>
        <w:spacing w:line="580" w:lineRule="exact"/>
        <w:ind w:right="1042"/>
        <w:rPr>
          <w:rFonts w:ascii="Times New Roman" w:hAnsi="Times New Roman"/>
          <w:b/>
          <w:szCs w:val="24"/>
        </w:rPr>
      </w:pPr>
    </w:p>
    <w:p>
      <w:pPr>
        <w:spacing w:line="580" w:lineRule="exact"/>
        <w:rPr>
          <w:rFonts w:ascii="Times New Roman" w:hAnsi="Times New Roman"/>
          <w:szCs w:val="24"/>
        </w:rPr>
      </w:pPr>
      <w:bookmarkStart w:id="107" w:name="_GoBack"/>
      <w:bookmarkEnd w:id="107"/>
      <w:r>
        <w:rPr>
          <w:rFonts w:ascii="Times New Roman" w:hAnsi="Times New Roman"/>
          <w:b/>
          <w:szCs w:val="24"/>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267335</wp:posOffset>
                </wp:positionV>
                <wp:extent cx="6120130" cy="1119505"/>
                <wp:effectExtent l="0" t="0" r="0" b="0"/>
                <wp:wrapNone/>
                <wp:docPr id="40" name="矩形 40"/>
                <wp:cNvGraphicFramePr/>
                <a:graphic xmlns:a="http://schemas.openxmlformats.org/drawingml/2006/main">
                  <a:graphicData uri="http://schemas.microsoft.com/office/word/2010/wordprocessingShape">
                    <wps:wsp>
                      <wps:cNvSpPr/>
                      <wps:spPr>
                        <a:xfrm>
                          <a:off x="0" y="0"/>
                          <a:ext cx="6120130" cy="1119505"/>
                        </a:xfrm>
                        <a:prstGeom prst="rect">
                          <a:avLst/>
                        </a:prstGeom>
                        <a:noFill/>
                        <a:ln w="9525">
                          <a:noFill/>
                        </a:ln>
                      </wps:spPr>
                      <wps:txbx>
                        <w:txbxContent>
                          <w:p>
                            <w:pPr>
                              <w:jc w:val="center"/>
                              <w:rPr>
                                <w:rFonts w:ascii="黑体" w:eastAsia="黑体"/>
                                <w:sz w:val="52"/>
                                <w:szCs w:val="52"/>
                              </w:rPr>
                            </w:pPr>
                            <w:r>
                              <w:rPr>
                                <w:rFonts w:hint="eastAsia" w:ascii="黑体" w:eastAsia="黑体"/>
                                <w:sz w:val="52"/>
                                <w:szCs w:val="52"/>
                              </w:rPr>
                              <w:t>雄安新区建设施工工地扬尘监测监控</w:t>
                            </w:r>
                          </w:p>
                          <w:p>
                            <w:pPr>
                              <w:jc w:val="center"/>
                              <w:rPr>
                                <w:rFonts w:ascii="黑体" w:eastAsia="黑体"/>
                                <w:sz w:val="52"/>
                                <w:szCs w:val="52"/>
                              </w:rPr>
                            </w:pPr>
                            <w:r>
                              <w:rPr>
                                <w:rFonts w:hint="eastAsia" w:ascii="黑体" w:eastAsia="黑体"/>
                                <w:sz w:val="52"/>
                                <w:szCs w:val="52"/>
                              </w:rPr>
                              <w:t>技术规范</w:t>
                            </w:r>
                          </w:p>
                        </w:txbxContent>
                      </wps:txbx>
                      <wps:bodyPr lIns="0" tIns="0" rIns="0" bIns="0" upright="1"/>
                    </wps:wsp>
                  </a:graphicData>
                </a:graphic>
              </wp:anchor>
            </w:drawing>
          </mc:Choice>
          <mc:Fallback>
            <w:pict>
              <v:rect id="_x0000_s1026" o:spid="_x0000_s1026" o:spt="1" style="position:absolute;left:0pt;margin-left:-1pt;margin-top:21.05pt;height:88.15pt;width:481.9pt;z-index:251665408;mso-width-relative:page;mso-height-relative:page;" filled="f" stroked="f" coordsize="21600,21600" o:gfxdata="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fZQktoAAAAJAQAADwAAAAAAAAABACAAAAAiAAAAZHJzL2Rvd25yZXYueG1sUEsB&#10;AhQAFAAAAAgAh07iQNaN2v+6AQAAcQMAAA4AAAAAAAAAAQAgAAAAKQEAAGRycy9lMm9Eb2MueG1s&#10;UEsFBgAAAAAGAAYAWQEAAFUFAAAAAA==&#10;">
                <v:fill on="f" focussize="0,0"/>
                <v:stroke on="f"/>
                <v:imagedata o:title=""/>
                <o:lock v:ext="edit" aspectratio="f"/>
                <v:textbox inset="0mm,0mm,0mm,0mm">
                  <w:txbxContent>
                    <w:p>
                      <w:pPr>
                        <w:jc w:val="center"/>
                        <w:rPr>
                          <w:rFonts w:ascii="黑体" w:eastAsia="黑体"/>
                          <w:sz w:val="52"/>
                          <w:szCs w:val="52"/>
                        </w:rPr>
                      </w:pPr>
                      <w:r>
                        <w:rPr>
                          <w:rFonts w:hint="eastAsia" w:ascii="黑体" w:eastAsia="黑体"/>
                          <w:sz w:val="52"/>
                          <w:szCs w:val="52"/>
                        </w:rPr>
                        <w:t>雄安新区建设施工工地扬尘监测监控</w:t>
                      </w:r>
                    </w:p>
                    <w:p>
                      <w:pPr>
                        <w:jc w:val="center"/>
                        <w:rPr>
                          <w:rFonts w:ascii="黑体" w:eastAsia="黑体"/>
                          <w:sz w:val="52"/>
                          <w:szCs w:val="52"/>
                        </w:rPr>
                      </w:pPr>
                      <w:r>
                        <w:rPr>
                          <w:rFonts w:hint="eastAsia" w:ascii="黑体" w:eastAsia="黑体"/>
                          <w:sz w:val="52"/>
                          <w:szCs w:val="52"/>
                        </w:rPr>
                        <w:t>技术规范</w:t>
                      </w:r>
                    </w:p>
                  </w:txbxContent>
                </v:textbox>
              </v:rect>
            </w:pict>
          </mc:Fallback>
        </mc:AlternateContent>
      </w:r>
    </w:p>
    <w:p>
      <w:pPr>
        <w:spacing w:before="312" w:beforeLines="100" w:line="580" w:lineRule="exact"/>
        <w:rPr>
          <w:rFonts w:ascii="Times New Roman" w:hAnsi="Times New Roman"/>
          <w:szCs w:val="24"/>
        </w:rPr>
      </w:pPr>
    </w:p>
    <w:p>
      <w:pPr>
        <w:spacing w:before="312" w:beforeLines="100" w:line="580" w:lineRule="exact"/>
        <w:jc w:val="center"/>
        <w:rPr>
          <w:rFonts w:ascii="黑体" w:hAnsi="黑体" w:eastAsia="黑体" w:cs="黑体"/>
          <w:sz w:val="28"/>
          <w:szCs w:val="28"/>
        </w:rPr>
      </w:pPr>
    </w:p>
    <w:p>
      <w:pPr>
        <w:spacing w:before="312" w:beforeLines="100" w:line="580" w:lineRule="exact"/>
        <w:jc w:val="center"/>
        <w:rPr>
          <w:rFonts w:ascii="黑体" w:hAnsi="黑体" w:eastAsia="黑体" w:cs="黑体"/>
          <w:sz w:val="28"/>
          <w:szCs w:val="28"/>
        </w:rPr>
      </w:pPr>
      <w:r>
        <w:rPr>
          <w:rFonts w:hint="eastAsia" w:ascii="黑体" w:hAnsi="黑体" w:eastAsia="黑体" w:cs="黑体"/>
          <w:sz w:val="28"/>
          <w:szCs w:val="28"/>
        </w:rPr>
        <w:t>Technical Specification for Dust Monitoring at Construction Sites in Xiongan New Area</w:t>
      </w:r>
    </w:p>
    <w:p>
      <w:pPr>
        <w:spacing w:before="312" w:beforeLines="100" w:line="580" w:lineRule="exact"/>
        <w:jc w:val="center"/>
        <w:rPr>
          <w:rFonts w:ascii="Times New Roman" w:hAnsi="Times New Roman"/>
          <w:szCs w:val="24"/>
        </w:rPr>
      </w:pPr>
      <w:r>
        <w:rPr>
          <w:rFonts w:hint="eastAsia" w:ascii="Times New Roman" w:hAnsi="Times New Roman"/>
          <w:szCs w:val="24"/>
        </w:rPr>
        <w:t>（征求意见稿）</w:t>
      </w:r>
    </w:p>
    <w:p>
      <w:pPr>
        <w:spacing w:before="312" w:beforeLines="100" w:line="580" w:lineRule="exact"/>
        <w:rPr>
          <w:rFonts w:ascii="Times New Roman" w:hAnsi="Times New Roman"/>
          <w:szCs w:val="24"/>
        </w:rPr>
      </w:pPr>
    </w:p>
    <w:p>
      <w:pPr>
        <w:pStyle w:val="2"/>
        <w:ind w:firstLine="240"/>
        <w:rPr>
          <w:rFonts w:ascii="Times New Roman" w:hAnsi="Times New Roman"/>
          <w:szCs w:val="24"/>
        </w:rPr>
      </w:pPr>
    </w:p>
    <w:p>
      <w:pPr>
        <w:pStyle w:val="2"/>
        <w:ind w:firstLine="240"/>
        <w:rPr>
          <w:rFonts w:ascii="Times New Roman" w:hAnsi="Times New Roman"/>
          <w:szCs w:val="24"/>
        </w:rPr>
      </w:pPr>
    </w:p>
    <w:p>
      <w:pPr>
        <w:pStyle w:val="2"/>
        <w:ind w:firstLine="240"/>
        <w:rPr>
          <w:rFonts w:ascii="Times New Roman" w:hAnsi="Times New Roman"/>
          <w:szCs w:val="24"/>
        </w:rPr>
      </w:pPr>
    </w:p>
    <w:p>
      <w:pPr>
        <w:spacing w:line="580" w:lineRule="exact"/>
        <w:rPr>
          <w:rFonts w:ascii="Times New Roman" w:hAnsi="Times New Roman"/>
          <w:szCs w:val="24"/>
        </w:rPr>
      </w:pPr>
    </w:p>
    <w:p>
      <w:pPr>
        <w:spacing w:before="312" w:beforeLines="100" w:line="580" w:lineRule="exact"/>
        <w:rPr>
          <w:rFonts w:ascii="Times New Roman" w:hAnsi="Times New Roman"/>
          <w:szCs w:val="24"/>
        </w:rPr>
      </w:pPr>
    </w:p>
    <w:p>
      <w:pPr>
        <w:pStyle w:val="2"/>
        <w:ind w:firstLine="240"/>
        <w:rPr>
          <w:rFonts w:ascii="Times New Roman" w:hAnsi="Times New Roman"/>
          <w:szCs w:val="24"/>
        </w:rPr>
      </w:pPr>
    </w:p>
    <w:p>
      <w:pPr>
        <w:pStyle w:val="2"/>
        <w:ind w:firstLine="240"/>
        <w:rPr>
          <w:rFonts w:ascii="Times New Roman" w:hAnsi="Times New Roman"/>
          <w:szCs w:val="24"/>
        </w:rPr>
      </w:pPr>
    </w:p>
    <w:p>
      <w:pPr>
        <w:pStyle w:val="2"/>
        <w:ind w:firstLine="240"/>
        <w:rPr>
          <w:rFonts w:ascii="Times New Roman" w:hAnsi="Times New Roman"/>
          <w:szCs w:val="24"/>
        </w:rPr>
      </w:pPr>
    </w:p>
    <w:p>
      <w:pPr>
        <w:spacing w:line="580" w:lineRule="exact"/>
        <w:rPr>
          <w:rFonts w:ascii="Times New Roman" w:hAnsi="Times New Roman"/>
          <w:szCs w:val="24"/>
        </w:rPr>
      </w:pPr>
    </w:p>
    <w:p>
      <w:pPr>
        <w:autoSpaceDE w:val="0"/>
        <w:autoSpaceDN w:val="0"/>
        <w:spacing w:line="580" w:lineRule="exact"/>
        <w:rPr>
          <w:rFonts w:ascii="Times New Roman" w:hAnsi="Times New Roman" w:cs="宋体"/>
          <w:kern w:val="0"/>
          <w:szCs w:val="24"/>
          <w:lang w:val="zh-CN" w:bidi="zh-CN"/>
        </w:rPr>
      </w:pPr>
      <w:r>
        <w:rPr>
          <w:rFonts w:ascii="Times New Roman" w:hAnsi="Times New Roman"/>
          <w:b/>
          <w:szCs w:val="24"/>
        </w:rPr>
        <mc:AlternateContent>
          <mc:Choice Requires="wps">
            <w:drawing>
              <wp:anchor distT="0" distB="0" distL="114300" distR="114300" simplePos="0" relativeHeight="251668480" behindDoc="0" locked="0" layoutInCell="1" allowOverlap="1">
                <wp:simplePos x="0" y="0"/>
                <wp:positionH relativeFrom="column">
                  <wp:posOffset>4479290</wp:posOffset>
                </wp:positionH>
                <wp:positionV relativeFrom="paragraph">
                  <wp:posOffset>241300</wp:posOffset>
                </wp:positionV>
                <wp:extent cx="1918970" cy="235585"/>
                <wp:effectExtent l="0" t="0" r="0" b="0"/>
                <wp:wrapNone/>
                <wp:docPr id="41" name="矩形 41"/>
                <wp:cNvGraphicFramePr/>
                <a:graphic xmlns:a="http://schemas.openxmlformats.org/drawingml/2006/main">
                  <a:graphicData uri="http://schemas.microsoft.com/office/word/2010/wordprocessingShape">
                    <wps:wsp>
                      <wps:cNvSpPr/>
                      <wps:spPr>
                        <a:xfrm>
                          <a:off x="0" y="0"/>
                          <a:ext cx="1918970" cy="235585"/>
                        </a:xfrm>
                        <a:prstGeom prst="rect">
                          <a:avLst/>
                        </a:prstGeom>
                        <a:noFill/>
                        <a:ln w="9525">
                          <a:noFill/>
                        </a:ln>
                      </wps:spPr>
                      <wps:txbx>
                        <w:txbxContent>
                          <w:p>
                            <w:pPr>
                              <w:wordWrap w:val="0"/>
                              <w:adjustRightInd w:val="0"/>
                              <w:snapToGrid w:val="0"/>
                              <w:spacing w:line="160" w:lineRule="atLeast"/>
                              <w:ind w:right="480"/>
                              <w:rPr>
                                <w:rFonts w:ascii="黑体" w:hAnsi="黑体" w:eastAsia="黑体" w:cs="黑体"/>
                                <w:sz w:val="21"/>
                                <w:szCs w:val="21"/>
                              </w:rPr>
                            </w:pPr>
                            <w:r>
                              <w:rPr>
                                <w:rFonts w:hint="eastAsia" w:ascii="黑体" w:hAnsi="黑体" w:eastAsia="黑体" w:cs="黑体"/>
                                <w:bCs/>
                                <w:sz w:val="28"/>
                                <w:szCs w:val="28"/>
                              </w:rPr>
                              <w:t>2023-□□-□□实施</w:t>
                            </w:r>
                          </w:p>
                        </w:txbxContent>
                      </wps:txbx>
                      <wps:bodyPr lIns="0" tIns="0" rIns="0" bIns="0" upright="1"/>
                    </wps:wsp>
                  </a:graphicData>
                </a:graphic>
              </wp:anchor>
            </w:drawing>
          </mc:Choice>
          <mc:Fallback>
            <w:pict>
              <v:rect id="_x0000_s1026" o:spid="_x0000_s1026" o:spt="1" style="position:absolute;left:0pt;margin-left:352.7pt;margin-top:19pt;height:18.55pt;width:151.1pt;z-index:251668480;mso-width-relative:page;mso-height-relative:page;" filled="f" stroked="f" coordsize="21600,21600" o:gfxdata="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3XyhNoAAAAKAQAADwAAAAAAAAABACAAAAAiAAAAZHJzL2Rvd25yZXYueG1sUEsB&#10;AhQAFAAAAAgAh07iQD3ZSq26AQAAcAMAAA4AAAAAAAAAAQAgAAAAKQEAAGRycy9lMm9Eb2MueG1s&#10;UEsFBgAAAAAGAAYAWQEAAFUFAAAAAA==&#10;">
                <v:fill on="f" focussize="0,0"/>
                <v:stroke on="f"/>
                <v:imagedata o:title=""/>
                <o:lock v:ext="edit" aspectratio="f"/>
                <v:textbox inset="0mm,0mm,0mm,0mm">
                  <w:txbxContent>
                    <w:p>
                      <w:pPr>
                        <w:wordWrap w:val="0"/>
                        <w:adjustRightInd w:val="0"/>
                        <w:snapToGrid w:val="0"/>
                        <w:spacing w:line="160" w:lineRule="atLeast"/>
                        <w:ind w:right="480"/>
                        <w:rPr>
                          <w:rFonts w:ascii="黑体" w:hAnsi="黑体" w:eastAsia="黑体" w:cs="黑体"/>
                          <w:sz w:val="21"/>
                          <w:szCs w:val="21"/>
                        </w:rPr>
                      </w:pPr>
                      <w:r>
                        <w:rPr>
                          <w:rFonts w:hint="eastAsia" w:ascii="黑体" w:hAnsi="黑体" w:eastAsia="黑体" w:cs="黑体"/>
                          <w:bCs/>
                          <w:sz w:val="28"/>
                          <w:szCs w:val="28"/>
                        </w:rPr>
                        <w:t>2023-□□-□□实施</w:t>
                      </w:r>
                    </w:p>
                  </w:txbxContent>
                </v:textbox>
              </v:rect>
            </w:pict>
          </mc:Fallback>
        </mc:AlternateContent>
      </w:r>
      <w:r>
        <w:rPr>
          <w:rFonts w:ascii="Times New Roman" w:hAnsi="Times New Roman"/>
          <w:b/>
          <w:szCs w:val="24"/>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238760</wp:posOffset>
                </wp:positionV>
                <wp:extent cx="2014220" cy="228600"/>
                <wp:effectExtent l="0" t="0" r="0" b="0"/>
                <wp:wrapNone/>
                <wp:docPr id="42" name="矩形 42"/>
                <wp:cNvGraphicFramePr/>
                <a:graphic xmlns:a="http://schemas.openxmlformats.org/drawingml/2006/main">
                  <a:graphicData uri="http://schemas.microsoft.com/office/word/2010/wordprocessingShape">
                    <wps:wsp>
                      <wps:cNvSpPr/>
                      <wps:spPr>
                        <a:xfrm>
                          <a:off x="0" y="0"/>
                          <a:ext cx="2014220" cy="228600"/>
                        </a:xfrm>
                        <a:prstGeom prst="rect">
                          <a:avLst/>
                        </a:prstGeom>
                        <a:noFill/>
                        <a:ln w="9525">
                          <a:noFill/>
                        </a:ln>
                      </wps:spPr>
                      <wps:txbx>
                        <w:txbxContent>
                          <w:p>
                            <w:pPr>
                              <w:wordWrap w:val="0"/>
                              <w:adjustRightInd w:val="0"/>
                              <w:snapToGrid w:val="0"/>
                              <w:spacing w:line="160" w:lineRule="atLeast"/>
                              <w:ind w:right="480"/>
                              <w:rPr>
                                <w:rFonts w:ascii="黑体" w:hAnsi="黑体" w:eastAsia="黑体" w:cs="黑体"/>
                                <w:sz w:val="21"/>
                                <w:szCs w:val="21"/>
                              </w:rPr>
                            </w:pPr>
                            <w:r>
                              <w:rPr>
                                <w:rFonts w:hint="eastAsia" w:ascii="黑体" w:hAnsi="黑体" w:eastAsia="黑体" w:cs="黑体"/>
                                <w:bCs/>
                                <w:sz w:val="28"/>
                                <w:szCs w:val="28"/>
                              </w:rPr>
                              <w:t>2022-□□-□□发布</w:t>
                            </w:r>
                          </w:p>
                        </w:txbxContent>
                      </wps:txbx>
                      <wps:bodyPr lIns="0" tIns="0" rIns="0" bIns="0" upright="1"/>
                    </wps:wsp>
                  </a:graphicData>
                </a:graphic>
              </wp:anchor>
            </w:drawing>
          </mc:Choice>
          <mc:Fallback>
            <w:pict>
              <v:rect id="_x0000_s1026" o:spid="_x0000_s1026" o:spt="1" style="position:absolute;left:0pt;margin-left:2.15pt;margin-top:18.8pt;height:18pt;width:158.6pt;z-index:251665408;mso-width-relative:page;mso-height-relative:page;" filled="f" stroked="f" coordsize="21600,21600" o:gfxdata="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Amm0NgAAAAHAQAADwAAAAAAAAABACAAAAAiAAAAZHJzL2Rvd25yZXYueG1sUEsBAhQA&#10;FAAAAAgAh07iQNdhGoC5AQAAcAMAAA4AAAAAAAAAAQAgAAAAJwEAAGRycy9lMm9Eb2MueG1sUEsF&#10;BgAAAAAGAAYAWQEAAFIFAAAAAA==&#10;">
                <v:fill on="f" focussize="0,0"/>
                <v:stroke on="f"/>
                <v:imagedata o:title=""/>
                <o:lock v:ext="edit" aspectratio="f"/>
                <v:textbox inset="0mm,0mm,0mm,0mm">
                  <w:txbxContent>
                    <w:p>
                      <w:pPr>
                        <w:wordWrap w:val="0"/>
                        <w:adjustRightInd w:val="0"/>
                        <w:snapToGrid w:val="0"/>
                        <w:spacing w:line="160" w:lineRule="atLeast"/>
                        <w:ind w:right="480"/>
                        <w:rPr>
                          <w:rFonts w:ascii="黑体" w:hAnsi="黑体" w:eastAsia="黑体" w:cs="黑体"/>
                          <w:sz w:val="21"/>
                          <w:szCs w:val="21"/>
                        </w:rPr>
                      </w:pPr>
                      <w:r>
                        <w:rPr>
                          <w:rFonts w:hint="eastAsia" w:ascii="黑体" w:hAnsi="黑体" w:eastAsia="黑体" w:cs="黑体"/>
                          <w:bCs/>
                          <w:sz w:val="28"/>
                          <w:szCs w:val="28"/>
                        </w:rPr>
                        <w:t>2022-□□-□□发布</w:t>
                      </w:r>
                    </w:p>
                  </w:txbxContent>
                </v:textbox>
              </v:rect>
            </w:pict>
          </mc:Fallback>
        </mc:AlternateContent>
      </w:r>
    </w:p>
    <w:p>
      <w:pPr>
        <w:autoSpaceDE w:val="0"/>
        <w:autoSpaceDN w:val="0"/>
        <w:spacing w:line="580" w:lineRule="exact"/>
        <w:rPr>
          <w:rFonts w:ascii="Times New Roman" w:hAnsi="Times New Roman" w:cs="宋体"/>
          <w:kern w:val="0"/>
          <w:szCs w:val="24"/>
          <w:lang w:val="zh-CN" w:bidi="zh-CN"/>
        </w:rPr>
      </w:pPr>
      <w:r>
        <w:rPr>
          <w:rFonts w:ascii="Times New Roman" w:hAnsi="Times New Roman"/>
          <w:b/>
          <w:szCs w:val="24"/>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102235</wp:posOffset>
                </wp:positionV>
                <wp:extent cx="612013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612013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7pt;margin-top:8.05pt;height:0pt;width:481.9pt;z-index:251660288;mso-width-relative:page;mso-height-relative:page;" filled="f" stroked="t" coordsize="21600,21600" o:gfxdata="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bUTL1QAAAAcBAAAPAAAAAAAAAAEAIAAAACIAAABkcnMvZG93bnJldi54bWxQSwECFAAUAAAACACH&#10;TuJAHsLgge4BAADbAwAADgAAAAAAAAABACAAAAAkAQAAZHJzL2Uyb0RvYy54bWxQSwUGAAAAAAYA&#10;BgBZAQAAhAUAAAAA&#10;">
                <v:fill on="f" focussize="0,0"/>
                <v:stroke weight="1.25pt" color="#000000" joinstyle="round"/>
                <v:imagedata o:title=""/>
                <o:lock v:ext="edit" aspectratio="f"/>
              </v:line>
            </w:pict>
          </mc:Fallback>
        </mc:AlternateContent>
      </w:r>
    </w:p>
    <w:p>
      <w:pPr>
        <w:autoSpaceDE w:val="0"/>
        <w:autoSpaceDN w:val="0"/>
        <w:ind w:firstLine="241" w:firstLineChars="100"/>
        <w:rPr>
          <w:rFonts w:ascii="Times New Roman" w:hAnsi="Times New Roman" w:cs="宋体"/>
          <w:szCs w:val="24"/>
          <w:lang w:bidi="zh-CN"/>
        </w:rPr>
      </w:pPr>
      <w:r>
        <w:rPr>
          <w:rFonts w:ascii="Times New Roman" w:hAnsi="Times New Roman"/>
          <w:b/>
          <w:szCs w:val="24"/>
        </w:rPr>
        <mc:AlternateContent>
          <mc:Choice Requires="wps">
            <w:drawing>
              <wp:anchor distT="0" distB="0" distL="114300" distR="114300" simplePos="0" relativeHeight="251667456" behindDoc="0" locked="0" layoutInCell="1" allowOverlap="1">
                <wp:simplePos x="0" y="0"/>
                <wp:positionH relativeFrom="column">
                  <wp:posOffset>1094105</wp:posOffset>
                </wp:positionH>
                <wp:positionV relativeFrom="paragraph">
                  <wp:posOffset>125730</wp:posOffset>
                </wp:positionV>
                <wp:extent cx="3700145" cy="517525"/>
                <wp:effectExtent l="0" t="0" r="0" b="0"/>
                <wp:wrapNone/>
                <wp:docPr id="44" name="矩形 44"/>
                <wp:cNvGraphicFramePr/>
                <a:graphic xmlns:a="http://schemas.openxmlformats.org/drawingml/2006/main">
                  <a:graphicData uri="http://schemas.microsoft.com/office/word/2010/wordprocessingShape">
                    <wps:wsp>
                      <wps:cNvSpPr/>
                      <wps:spPr>
                        <a:xfrm>
                          <a:off x="0" y="0"/>
                          <a:ext cx="3700145" cy="517525"/>
                        </a:xfrm>
                        <a:prstGeom prst="rect">
                          <a:avLst/>
                        </a:prstGeom>
                        <a:noFill/>
                        <a:ln w="9525">
                          <a:noFill/>
                        </a:ln>
                      </wps:spPr>
                      <wps:txbx>
                        <w:txbxContent>
                          <w:p>
                            <w:pPr>
                              <w:adjustRightInd w:val="0"/>
                              <w:snapToGrid w:val="0"/>
                              <w:jc w:val="distribute"/>
                              <w:rPr>
                                <w:rFonts w:ascii="黑体" w:eastAsia="黑体"/>
                                <w:sz w:val="30"/>
                                <w:szCs w:val="30"/>
                              </w:rPr>
                            </w:pPr>
                            <w:r>
                              <w:rPr>
                                <w:rFonts w:hint="eastAsia" w:ascii="黑体" w:eastAsia="黑体"/>
                                <w:sz w:val="30"/>
                                <w:szCs w:val="30"/>
                              </w:rPr>
                              <w:t>河北雄安新区*******</w:t>
                            </w:r>
                          </w:p>
                          <w:p>
                            <w:pPr>
                              <w:adjustRightInd w:val="0"/>
                              <w:snapToGrid w:val="0"/>
                              <w:jc w:val="distribute"/>
                              <w:rPr>
                                <w:rFonts w:ascii="黑体" w:hAnsi="黑体" w:eastAsia="黑体" w:cs="黑体"/>
                                <w:sz w:val="30"/>
                                <w:szCs w:val="30"/>
                              </w:rPr>
                            </w:pPr>
                            <w:r>
                              <w:rPr>
                                <w:rFonts w:hint="eastAsia" w:ascii="黑体" w:eastAsia="黑体"/>
                                <w:sz w:val="30"/>
                                <w:szCs w:val="30"/>
                              </w:rPr>
                              <w:t>河北雄安新区*******</w:t>
                            </w:r>
                          </w:p>
                          <w:p>
                            <w:pPr>
                              <w:adjustRightInd w:val="0"/>
                              <w:snapToGrid w:val="0"/>
                              <w:jc w:val="distribute"/>
                              <w:rPr>
                                <w:rFonts w:ascii="黑体" w:eastAsia="黑体"/>
                                <w:sz w:val="30"/>
                                <w:szCs w:val="30"/>
                              </w:rPr>
                            </w:pPr>
                          </w:p>
                          <w:p>
                            <w:pPr>
                              <w:autoSpaceDE w:val="0"/>
                              <w:autoSpaceDN w:val="0"/>
                              <w:rPr>
                                <w:rFonts w:ascii="宋体" w:hAnsi="Courier New" w:cs="Courier New"/>
                                <w:sz w:val="21"/>
                                <w:szCs w:val="21"/>
                              </w:rPr>
                            </w:pPr>
                          </w:p>
                        </w:txbxContent>
                      </wps:txbx>
                      <wps:bodyPr lIns="0" tIns="0" rIns="0" bIns="0" upright="1"/>
                    </wps:wsp>
                  </a:graphicData>
                </a:graphic>
              </wp:anchor>
            </w:drawing>
          </mc:Choice>
          <mc:Fallback>
            <w:pict>
              <v:rect id="_x0000_s1026" o:spid="_x0000_s1026" o:spt="1" style="position:absolute;left:0pt;margin-left:86.15pt;margin-top:9.9pt;height:40.75pt;width:291.35pt;z-index:251667456;mso-width-relative:page;mso-height-relative:page;" filled="f" stroked="f" coordsize="21600,21600" o:gfxdata="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5Df6zZAAAACgEAAA8AAAAAAAAAAQAgAAAAIgAAAGRycy9kb3ducmV2LnhtbFBLAQIU&#10;ABQAAAAIAIdO4kBHjCzEuQEAAHADAAAOAAAAAAAAAAEAIAAAACgBAABkcnMvZTJvRG9jLnhtbFBL&#10;BQYAAAAABgAGAFkBAABTBQAAAAA=&#10;">
                <v:fill on="f" focussize="0,0"/>
                <v:stroke on="f"/>
                <v:imagedata o:title=""/>
                <o:lock v:ext="edit" aspectratio="f"/>
                <v:textbox inset="0mm,0mm,0mm,0mm">
                  <w:txbxContent>
                    <w:p>
                      <w:pPr>
                        <w:adjustRightInd w:val="0"/>
                        <w:snapToGrid w:val="0"/>
                        <w:jc w:val="distribute"/>
                        <w:rPr>
                          <w:rFonts w:ascii="黑体" w:eastAsia="黑体"/>
                          <w:sz w:val="30"/>
                          <w:szCs w:val="30"/>
                        </w:rPr>
                      </w:pPr>
                      <w:r>
                        <w:rPr>
                          <w:rFonts w:hint="eastAsia" w:ascii="黑体" w:eastAsia="黑体"/>
                          <w:sz w:val="30"/>
                          <w:szCs w:val="30"/>
                        </w:rPr>
                        <w:t>河北雄安新区*******</w:t>
                      </w:r>
                    </w:p>
                    <w:p>
                      <w:pPr>
                        <w:adjustRightInd w:val="0"/>
                        <w:snapToGrid w:val="0"/>
                        <w:jc w:val="distribute"/>
                        <w:rPr>
                          <w:rFonts w:ascii="黑体" w:hAnsi="黑体" w:eastAsia="黑体" w:cs="黑体"/>
                          <w:sz w:val="30"/>
                          <w:szCs w:val="30"/>
                        </w:rPr>
                      </w:pPr>
                      <w:r>
                        <w:rPr>
                          <w:rFonts w:hint="eastAsia" w:ascii="黑体" w:eastAsia="黑体"/>
                          <w:sz w:val="30"/>
                          <w:szCs w:val="30"/>
                        </w:rPr>
                        <w:t>河北雄安新区*******</w:t>
                      </w:r>
                    </w:p>
                    <w:p>
                      <w:pPr>
                        <w:adjustRightInd w:val="0"/>
                        <w:snapToGrid w:val="0"/>
                        <w:jc w:val="distribute"/>
                        <w:rPr>
                          <w:rFonts w:ascii="黑体" w:eastAsia="黑体"/>
                          <w:sz w:val="30"/>
                          <w:szCs w:val="30"/>
                        </w:rPr>
                      </w:pPr>
                    </w:p>
                    <w:p>
                      <w:pPr>
                        <w:autoSpaceDE w:val="0"/>
                        <w:autoSpaceDN w:val="0"/>
                        <w:rPr>
                          <w:rFonts w:ascii="宋体" w:hAnsi="Courier New" w:cs="Courier New"/>
                          <w:sz w:val="21"/>
                          <w:szCs w:val="21"/>
                        </w:rPr>
                      </w:pPr>
                    </w:p>
                  </w:txbxContent>
                </v:textbox>
              </v:rect>
            </w:pict>
          </mc:Fallback>
        </mc:AlternateContent>
      </w:r>
    </w:p>
    <w:p>
      <w:pPr>
        <w:autoSpaceDE w:val="0"/>
        <w:autoSpaceDN w:val="0"/>
        <w:ind w:firstLine="240" w:firstLineChars="100"/>
        <w:rPr>
          <w:rFonts w:ascii="Times New Roman" w:hAnsi="Times New Roman" w:cs="宋体"/>
          <w:szCs w:val="24"/>
          <w:lang w:bidi="zh-CN"/>
        </w:rPr>
      </w:pPr>
      <w:r>
        <w:rPr>
          <w:rFonts w:ascii="Times New Roman" w:hAnsi="Times New Roman"/>
          <w:szCs w:val="24"/>
        </w:rPr>
        <mc:AlternateContent>
          <mc:Choice Requires="wps">
            <w:drawing>
              <wp:anchor distT="0" distB="0" distL="114300" distR="114300" simplePos="0" relativeHeight="251666432" behindDoc="0" locked="0" layoutInCell="1" allowOverlap="1">
                <wp:simplePos x="0" y="0"/>
                <wp:positionH relativeFrom="column">
                  <wp:posOffset>5083810</wp:posOffset>
                </wp:positionH>
                <wp:positionV relativeFrom="paragraph">
                  <wp:posOffset>44450</wp:posOffset>
                </wp:positionV>
                <wp:extent cx="457200" cy="245745"/>
                <wp:effectExtent l="0" t="0" r="0" b="0"/>
                <wp:wrapNone/>
                <wp:docPr id="45" name="矩形 45"/>
                <wp:cNvGraphicFramePr/>
                <a:graphic xmlns:a="http://schemas.openxmlformats.org/drawingml/2006/main">
                  <a:graphicData uri="http://schemas.microsoft.com/office/word/2010/wordprocessingShape">
                    <wps:wsp>
                      <wps:cNvSpPr/>
                      <wps:spPr>
                        <a:xfrm>
                          <a:off x="0" y="0"/>
                          <a:ext cx="457200" cy="245745"/>
                        </a:xfrm>
                        <a:prstGeom prst="rect">
                          <a:avLst/>
                        </a:prstGeom>
                        <a:noFill/>
                        <a:ln w="9525">
                          <a:noFill/>
                        </a:ln>
                      </wps:spPr>
                      <wps:txbx>
                        <w:txbxContent>
                          <w:p>
                            <w:pPr>
                              <w:adjustRightInd w:val="0"/>
                              <w:snapToGrid w:val="0"/>
                              <w:jc w:val="distribute"/>
                              <w:rPr>
                                <w:rFonts w:ascii="黑体" w:eastAsia="黑体"/>
                                <w:sz w:val="28"/>
                                <w:szCs w:val="28"/>
                              </w:rPr>
                            </w:pPr>
                            <w:r>
                              <w:rPr>
                                <w:rFonts w:hint="eastAsia" w:ascii="黑体" w:eastAsia="黑体"/>
                                <w:sz w:val="30"/>
                                <w:szCs w:val="30"/>
                              </w:rPr>
                              <w:t>发布</w:t>
                            </w:r>
                          </w:p>
                        </w:txbxContent>
                      </wps:txbx>
                      <wps:bodyPr lIns="0" tIns="0" rIns="0" bIns="0" upright="1"/>
                    </wps:wsp>
                  </a:graphicData>
                </a:graphic>
              </wp:anchor>
            </w:drawing>
          </mc:Choice>
          <mc:Fallback>
            <w:pict>
              <v:rect id="_x0000_s1026" o:spid="_x0000_s1026" o:spt="1" style="position:absolute;left:0pt;margin-left:400.3pt;margin-top:3.5pt;height:19.35pt;width:36pt;z-index:251666432;mso-width-relative:page;mso-height-relative:page;" filled="f" stroked="f" coordsize="21600,21600" o:gfxdata="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3FQGtcAAAAIAQAADwAAAAAAAAABACAAAAAiAAAAZHJzL2Rvd25yZXYueG1sUEsBAhQAFAAA&#10;AAgAh07iQHWn+LO3AQAAbwMAAA4AAAAAAAAAAQAgAAAAJgEAAGRycy9lMm9Eb2MueG1sUEsFBgAA&#10;AAAGAAYAWQEAAE8FAAAAAA==&#10;">
                <v:fill on="f" focussize="0,0"/>
                <v:stroke on="f"/>
                <v:imagedata o:title=""/>
                <o:lock v:ext="edit" aspectratio="f"/>
                <v:textbox inset="0mm,0mm,0mm,0mm">
                  <w:txbxContent>
                    <w:p>
                      <w:pPr>
                        <w:adjustRightInd w:val="0"/>
                        <w:snapToGrid w:val="0"/>
                        <w:jc w:val="distribute"/>
                        <w:rPr>
                          <w:rFonts w:ascii="黑体" w:eastAsia="黑体"/>
                          <w:sz w:val="28"/>
                          <w:szCs w:val="28"/>
                        </w:rPr>
                      </w:pPr>
                      <w:r>
                        <w:rPr>
                          <w:rFonts w:hint="eastAsia" w:ascii="黑体" w:eastAsia="黑体"/>
                          <w:sz w:val="30"/>
                          <w:szCs w:val="30"/>
                        </w:rPr>
                        <w:t>发布</w:t>
                      </w:r>
                    </w:p>
                  </w:txbxContent>
                </v:textbox>
              </v:rect>
            </w:pict>
          </mc:Fallback>
        </mc:AlternateContent>
      </w:r>
    </w:p>
    <w:p>
      <w:pPr>
        <w:autoSpaceDE w:val="0"/>
        <w:autoSpaceDN w:val="0"/>
        <w:ind w:firstLine="240" w:firstLineChars="100"/>
        <w:rPr>
          <w:rFonts w:ascii="Times New Roman" w:hAnsi="Times New Roman" w:cs="宋体"/>
          <w:szCs w:val="24"/>
          <w:lang w:val="zh-CN" w:bidi="zh-CN"/>
        </w:rPr>
      </w:pPr>
    </w:p>
    <w:p>
      <w:pPr>
        <w:spacing w:line="580" w:lineRule="exact"/>
        <w:rPr>
          <w:rFonts w:ascii="Times New Roman" w:hAnsi="Times New Roman"/>
          <w:szCs w:val="24"/>
        </w:rPr>
        <w:sectPr>
          <w:headerReference r:id="rId3" w:type="default"/>
          <w:footerReference r:id="rId4" w:type="default"/>
          <w:footerReference r:id="rId5" w:type="even"/>
          <w:pgSz w:w="11906" w:h="16838"/>
          <w:pgMar w:top="567" w:right="850" w:bottom="1134" w:left="1418" w:header="851" w:footer="992" w:gutter="0"/>
          <w:cols w:space="720" w:num="1"/>
          <w:titlePg/>
          <w:docGrid w:type="lines" w:linePitch="312" w:charSpace="0"/>
        </w:sectPr>
      </w:pPr>
    </w:p>
    <w:p>
      <w:pPr>
        <w:spacing w:before="850"/>
        <w:jc w:val="center"/>
      </w:pPr>
      <w:bookmarkStart w:id="0" w:name="_Toc17994"/>
      <w:bookmarkStart w:id="1" w:name="_Toc13985"/>
      <w:r>
        <w:rPr>
          <w:rFonts w:hint="eastAsia" w:ascii="黑体" w:hAnsi="黑体" w:eastAsia="黑体" w:cs="黑体"/>
          <w:sz w:val="32"/>
          <w:szCs w:val="32"/>
        </w:rPr>
        <w:t>目  次</w:t>
      </w:r>
      <w:bookmarkEnd w:id="0"/>
      <w:bookmarkEnd w:id="1"/>
    </w:p>
    <w:p>
      <w:pPr>
        <w:pStyle w:val="10"/>
        <w:tabs>
          <w:tab w:val="right" w:leader="dot" w:pos="9355"/>
        </w:tabs>
        <w:spacing w:before="680"/>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TOC \o "1-1" \h \u </w:instrText>
      </w:r>
      <w:r>
        <w:rPr>
          <w:rFonts w:hint="eastAsia" w:ascii="宋体" w:hAnsi="宋体" w:cs="宋体"/>
          <w:sz w:val="21"/>
          <w:szCs w:val="21"/>
        </w:rPr>
        <w:fldChar w:fldCharType="separate"/>
      </w:r>
      <w:r>
        <w:fldChar w:fldCharType="begin"/>
      </w:r>
      <w:r>
        <w:instrText xml:space="preserve"> HYPERLINK \l "_Toc2140" </w:instrText>
      </w:r>
      <w:r>
        <w:fldChar w:fldCharType="separate"/>
      </w:r>
      <w:r>
        <w:rPr>
          <w:rFonts w:hint="eastAsia" w:ascii="宋体" w:hAnsi="宋体" w:cs="宋体"/>
          <w:kern w:val="0"/>
          <w:sz w:val="21"/>
          <w:szCs w:val="21"/>
          <w:lang w:val="zh-CN" w:bidi="zh-CN"/>
        </w:rPr>
        <w:t>前  言</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_Toc2140 \h </w:instrText>
      </w:r>
      <w:r>
        <w:rPr>
          <w:rFonts w:hint="eastAsia" w:ascii="宋体" w:hAnsi="宋体" w:cs="宋体"/>
          <w:sz w:val="21"/>
          <w:szCs w:val="21"/>
        </w:rPr>
        <w:fldChar w:fldCharType="separate"/>
      </w:r>
      <w:r>
        <w:rPr>
          <w:rFonts w:hint="eastAsia" w:ascii="宋体" w:hAnsi="宋体" w:cs="宋体"/>
          <w:sz w:val="21"/>
          <w:szCs w:val="21"/>
        </w:rPr>
        <w:t>II</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"_Toc21587" </w:instrText>
      </w:r>
      <w:r>
        <w:fldChar w:fldCharType="separate"/>
      </w:r>
      <w:r>
        <w:rPr>
          <w:rFonts w:hint="eastAsia" w:ascii="宋体" w:hAnsi="宋体" w:cs="宋体"/>
          <w:sz w:val="21"/>
          <w:szCs w:val="21"/>
        </w:rPr>
        <w:t>1 范围</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_Toc21587 \h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"_Toc26603" </w:instrText>
      </w:r>
      <w:r>
        <w:fldChar w:fldCharType="separate"/>
      </w:r>
      <w:r>
        <w:rPr>
          <w:rFonts w:hint="eastAsia" w:ascii="宋体" w:hAnsi="宋体" w:cs="宋体"/>
          <w:sz w:val="21"/>
          <w:szCs w:val="21"/>
        </w:rPr>
        <w:t>2 规范性引用文件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_Toc26603 \h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"_Toc29839" </w:instrText>
      </w:r>
      <w:r>
        <w:fldChar w:fldCharType="separate"/>
      </w:r>
      <w:r>
        <w:rPr>
          <w:rFonts w:hint="eastAsia" w:ascii="宋体" w:hAnsi="宋体" w:cs="宋体"/>
          <w:sz w:val="21"/>
          <w:szCs w:val="21"/>
        </w:rPr>
        <w:t>3 术语和定义</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_Toc29839 \h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"_Toc25699" </w:instrText>
      </w:r>
      <w:r>
        <w:fldChar w:fldCharType="separate"/>
      </w:r>
      <w:r>
        <w:rPr>
          <w:rFonts w:hint="eastAsia" w:ascii="宋体" w:hAnsi="宋体" w:cs="宋体"/>
          <w:sz w:val="21"/>
          <w:szCs w:val="21"/>
        </w:rPr>
        <w:t>4 系统组成和要求</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_Toc25699 \h </w:instrText>
      </w:r>
      <w:r>
        <w:rPr>
          <w:rFonts w:hint="eastAsia" w:ascii="宋体" w:hAnsi="宋体" w:cs="宋体"/>
          <w:sz w:val="21"/>
          <w:szCs w:val="21"/>
        </w:rPr>
        <w:fldChar w:fldCharType="separate"/>
      </w:r>
      <w:r>
        <w:rPr>
          <w:rFonts w:hint="eastAsia" w:ascii="宋体" w:hAnsi="宋体" w:cs="宋体"/>
          <w:sz w:val="21"/>
          <w:szCs w:val="21"/>
        </w:rPr>
        <w:t>2</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"_Toc1675" </w:instrText>
      </w:r>
      <w:r>
        <w:fldChar w:fldCharType="separate"/>
      </w:r>
      <w:r>
        <w:rPr>
          <w:rFonts w:hint="eastAsia" w:ascii="宋体" w:hAnsi="宋体" w:cs="宋体"/>
          <w:sz w:val="21"/>
          <w:szCs w:val="21"/>
        </w:rPr>
        <w:t>5 监测点位与设备安装</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_Toc1675 \h </w:instrText>
      </w:r>
      <w:r>
        <w:rPr>
          <w:rFonts w:hint="eastAsia" w:ascii="宋体" w:hAnsi="宋体" w:cs="宋体"/>
          <w:sz w:val="21"/>
          <w:szCs w:val="21"/>
        </w:rPr>
        <w:fldChar w:fldCharType="separate"/>
      </w:r>
      <w:r>
        <w:rPr>
          <w:rFonts w:hint="eastAsia" w:ascii="宋体" w:hAnsi="宋体" w:cs="宋体"/>
          <w:sz w:val="21"/>
          <w:szCs w:val="21"/>
        </w:rPr>
        <w:t>3</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"_Toc26904" </w:instrText>
      </w:r>
      <w:r>
        <w:fldChar w:fldCharType="separate"/>
      </w:r>
      <w:r>
        <w:rPr>
          <w:rFonts w:hint="eastAsia" w:ascii="宋体" w:hAnsi="宋体" w:cs="宋体"/>
          <w:sz w:val="21"/>
          <w:szCs w:val="21"/>
        </w:rPr>
        <w:t>6 数据采集传输、存储要求</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_Toc26904 \h </w:instrText>
      </w:r>
      <w:r>
        <w:rPr>
          <w:rFonts w:hint="eastAsia" w:ascii="宋体" w:hAnsi="宋体" w:cs="宋体"/>
          <w:sz w:val="21"/>
          <w:szCs w:val="21"/>
        </w:rPr>
        <w:fldChar w:fldCharType="separate"/>
      </w:r>
      <w:r>
        <w:rPr>
          <w:rFonts w:hint="eastAsia" w:ascii="宋体" w:hAnsi="宋体" w:cs="宋体"/>
          <w:sz w:val="21"/>
          <w:szCs w:val="21"/>
        </w:rPr>
        <w:t>5</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"_Toc21520" </w:instrText>
      </w:r>
      <w:r>
        <w:fldChar w:fldCharType="separate"/>
      </w:r>
      <w:r>
        <w:rPr>
          <w:rFonts w:hint="eastAsia" w:ascii="宋体" w:hAnsi="宋体" w:cs="宋体"/>
          <w:sz w:val="21"/>
          <w:szCs w:val="21"/>
        </w:rPr>
        <w:t>7 数据应用与分析</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_Toc21520 \h </w:instrText>
      </w:r>
      <w:r>
        <w:rPr>
          <w:rFonts w:hint="eastAsia" w:ascii="宋体" w:hAnsi="宋体" w:cs="宋体"/>
          <w:sz w:val="21"/>
          <w:szCs w:val="21"/>
        </w:rPr>
        <w:fldChar w:fldCharType="separate"/>
      </w:r>
      <w:r>
        <w:rPr>
          <w:rFonts w:hint="eastAsia" w:ascii="宋体" w:hAnsi="宋体" w:cs="宋体"/>
          <w:sz w:val="21"/>
          <w:szCs w:val="21"/>
        </w:rPr>
        <w:t>5</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"_Toc22543" </w:instrText>
      </w:r>
      <w:r>
        <w:fldChar w:fldCharType="separate"/>
      </w:r>
      <w:r>
        <w:rPr>
          <w:rFonts w:hint="eastAsia" w:ascii="宋体" w:hAnsi="宋体" w:cs="宋体"/>
          <w:sz w:val="21"/>
          <w:szCs w:val="21"/>
        </w:rPr>
        <w:t>8 系统验收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_Toc22543 \h </w:instrText>
      </w:r>
      <w:r>
        <w:rPr>
          <w:rFonts w:hint="eastAsia" w:ascii="宋体" w:hAnsi="宋体" w:cs="宋体"/>
          <w:sz w:val="21"/>
          <w:szCs w:val="21"/>
        </w:rPr>
        <w:fldChar w:fldCharType="separate"/>
      </w:r>
      <w:r>
        <w:rPr>
          <w:rFonts w:hint="eastAsia" w:ascii="宋体" w:hAnsi="宋体" w:cs="宋体"/>
          <w:sz w:val="21"/>
          <w:szCs w:val="21"/>
        </w:rPr>
        <w:t>6</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"_Toc27759" </w:instrText>
      </w:r>
      <w:r>
        <w:fldChar w:fldCharType="separate"/>
      </w:r>
      <w:r>
        <w:rPr>
          <w:rFonts w:hint="eastAsia" w:ascii="宋体" w:hAnsi="宋体" w:cs="宋体"/>
          <w:sz w:val="21"/>
          <w:szCs w:val="21"/>
        </w:rPr>
        <w:t>9 运行维护与管理</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_Toc27759 \h </w:instrText>
      </w:r>
      <w:r>
        <w:rPr>
          <w:rFonts w:hint="eastAsia" w:ascii="宋体" w:hAnsi="宋体" w:cs="宋体"/>
          <w:sz w:val="21"/>
          <w:szCs w:val="21"/>
        </w:rPr>
        <w:fldChar w:fldCharType="separate"/>
      </w:r>
      <w:r>
        <w:rPr>
          <w:rFonts w:hint="eastAsia" w:ascii="宋体" w:hAnsi="宋体" w:cs="宋体"/>
          <w:sz w:val="21"/>
          <w:szCs w:val="21"/>
        </w:rPr>
        <w:t>7</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"_Toc6009" </w:instrText>
      </w:r>
      <w:r>
        <w:fldChar w:fldCharType="separate"/>
      </w:r>
      <w:r>
        <w:rPr>
          <w:rFonts w:hint="eastAsia" w:ascii="宋体" w:hAnsi="宋体" w:cs="宋体"/>
          <w:sz w:val="21"/>
          <w:szCs w:val="21"/>
        </w:rPr>
        <w:t>10 质量保证和质量控制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_Toc6009 \h </w:instrText>
      </w:r>
      <w:r>
        <w:rPr>
          <w:rFonts w:hint="eastAsia" w:ascii="宋体" w:hAnsi="宋体" w:cs="宋体"/>
          <w:sz w:val="21"/>
          <w:szCs w:val="21"/>
        </w:rPr>
        <w:fldChar w:fldCharType="separate"/>
      </w:r>
      <w:r>
        <w:rPr>
          <w:rFonts w:hint="eastAsia" w:ascii="宋体" w:hAnsi="宋体" w:cs="宋体"/>
          <w:sz w:val="21"/>
          <w:szCs w:val="21"/>
        </w:rPr>
        <w:t>7</w:t>
      </w:r>
      <w:r>
        <w:rPr>
          <w:rFonts w:hint="eastAsia" w:ascii="宋体" w:hAnsi="宋体" w:cs="宋体"/>
          <w:sz w:val="21"/>
          <w:szCs w:val="21"/>
        </w:rPr>
        <w:fldChar w:fldCharType="end"/>
      </w:r>
      <w:r>
        <w:rPr>
          <w:rFonts w:hint="eastAsia" w:ascii="宋体" w:hAnsi="宋体" w:cs="宋体"/>
          <w:sz w:val="21"/>
          <w:szCs w:val="21"/>
        </w:rPr>
        <w:fldChar w:fldCharType="end"/>
      </w:r>
    </w:p>
    <w:p>
      <w:pPr>
        <w:pStyle w:val="10"/>
        <w:tabs>
          <w:tab w:val="right" w:leader="dot" w:pos="9355"/>
        </w:tabs>
        <w:spacing w:before="156" w:beforeLines="50"/>
        <w:rPr>
          <w:rFonts w:ascii="宋体" w:hAnsi="宋体" w:cs="宋体"/>
          <w:sz w:val="21"/>
          <w:szCs w:val="21"/>
        </w:rPr>
      </w:pPr>
      <w:r>
        <w:fldChar w:fldCharType="begin"/>
      </w:r>
      <w:r>
        <w:instrText xml:space="preserve"> HYPERLINK \l "_Toc6638" </w:instrText>
      </w:r>
      <w:r>
        <w:fldChar w:fldCharType="separate"/>
      </w:r>
      <w:r>
        <w:rPr>
          <w:rFonts w:hint="eastAsia" w:ascii="宋体" w:hAnsi="宋体" w:cs="宋体"/>
          <w:sz w:val="21"/>
          <w:szCs w:val="21"/>
        </w:rPr>
        <w:t>附 录 A</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_Toc6638 \h </w:instrText>
      </w:r>
      <w:r>
        <w:rPr>
          <w:rFonts w:hint="eastAsia" w:ascii="宋体" w:hAnsi="宋体" w:cs="宋体"/>
          <w:sz w:val="21"/>
          <w:szCs w:val="21"/>
        </w:rPr>
        <w:fldChar w:fldCharType="separate"/>
      </w:r>
      <w:r>
        <w:rPr>
          <w:rFonts w:hint="eastAsia" w:ascii="宋体" w:hAnsi="宋体" w:cs="宋体"/>
          <w:sz w:val="21"/>
          <w:szCs w:val="21"/>
        </w:rPr>
        <w:t>8</w:t>
      </w:r>
      <w:r>
        <w:rPr>
          <w:rFonts w:hint="eastAsia" w:ascii="宋体" w:hAnsi="宋体" w:cs="宋体"/>
          <w:sz w:val="21"/>
          <w:szCs w:val="21"/>
        </w:rPr>
        <w:fldChar w:fldCharType="end"/>
      </w:r>
      <w:r>
        <w:rPr>
          <w:rFonts w:hint="eastAsia" w:ascii="宋体" w:hAnsi="宋体" w:cs="宋体"/>
          <w:sz w:val="21"/>
          <w:szCs w:val="21"/>
        </w:rPr>
        <w:fldChar w:fldCharType="end"/>
      </w:r>
    </w:p>
    <w:p>
      <w:pPr>
        <w:pStyle w:val="6"/>
        <w:spacing w:before="156" w:beforeLines="50"/>
        <w:rPr>
          <w:rFonts w:ascii="方正小标宋简体" w:hAnsi="方正小标宋简体" w:eastAsia="方正小标宋简体" w:cs="方正小标宋简体"/>
          <w:sz w:val="44"/>
          <w:szCs w:val="44"/>
        </w:rPr>
      </w:pPr>
      <w:r>
        <w:rPr>
          <w:rFonts w:hint="eastAsia" w:hAnsi="宋体" w:cs="宋体"/>
          <w:sz w:val="21"/>
        </w:rPr>
        <w:fldChar w:fldCharType="end"/>
      </w:r>
    </w:p>
    <w:p>
      <w:pPr>
        <w:pStyle w:val="6"/>
        <w:rPr>
          <w:rFonts w:ascii="方正小标宋简体" w:hAnsi="方正小标宋简体" w:eastAsia="方正小标宋简体" w:cs="方正小标宋简体"/>
          <w:sz w:val="44"/>
          <w:szCs w:val="44"/>
        </w:rPr>
      </w:pPr>
    </w:p>
    <w:p>
      <w:pPr>
        <w:pStyle w:val="6"/>
        <w:rPr>
          <w:rFonts w:ascii="方正小标宋简体" w:hAnsi="方正小标宋简体" w:eastAsia="方正小标宋简体" w:cs="方正小标宋简体"/>
          <w:sz w:val="44"/>
          <w:szCs w:val="44"/>
        </w:rPr>
        <w:sectPr>
          <w:footerReference r:id="rId6" w:type="default"/>
          <w:footerReference r:id="rId7" w:type="even"/>
          <w:pgSz w:w="11906" w:h="16838"/>
          <w:pgMar w:top="1417" w:right="1134" w:bottom="1134" w:left="1417" w:header="1417" w:footer="992" w:gutter="0"/>
          <w:pgNumType w:fmt="upperRoman" w:start="1"/>
          <w:cols w:space="720" w:num="1"/>
          <w:docGrid w:type="lines" w:linePitch="312" w:charSpace="0"/>
        </w:sectPr>
      </w:pPr>
    </w:p>
    <w:p>
      <w:pPr>
        <w:spacing w:before="850" w:line="580" w:lineRule="exact"/>
        <w:jc w:val="center"/>
        <w:outlineLvl w:val="0"/>
        <w:rPr>
          <w:rFonts w:ascii="方正小标宋简体" w:hAnsi="方正小标宋简体" w:eastAsia="方正小标宋简体" w:cs="方正小标宋简体"/>
          <w:sz w:val="44"/>
          <w:szCs w:val="44"/>
        </w:rPr>
      </w:pPr>
      <w:bookmarkStart w:id="2" w:name="_Toc11373"/>
      <w:bookmarkStart w:id="3" w:name="_Toc2140"/>
      <w:r>
        <w:rPr>
          <w:rFonts w:ascii="Times New Roman" w:hAnsi="Times New Roman" w:eastAsia="黑体"/>
          <w:kern w:val="0"/>
          <w:sz w:val="32"/>
          <w:szCs w:val="32"/>
          <w:lang w:val="zh-CN" w:bidi="zh-CN"/>
        </w:rPr>
        <w:t>前  言</w:t>
      </w:r>
      <w:bookmarkEnd w:id="2"/>
      <w:bookmarkEnd w:id="3"/>
    </w:p>
    <w:p>
      <w:pPr>
        <w:spacing w:before="680"/>
        <w:ind w:firstLine="420" w:firstLineChars="200"/>
        <w:rPr>
          <w:rFonts w:ascii="Times New Roman" w:hAnsi="Times New Roman"/>
          <w:sz w:val="21"/>
          <w:szCs w:val="21"/>
        </w:rPr>
      </w:pPr>
      <w:r>
        <w:rPr>
          <w:rFonts w:hint="eastAsia" w:ascii="Times New Roman" w:hAnsi="Times New Roman"/>
          <w:sz w:val="21"/>
          <w:szCs w:val="21"/>
        </w:rPr>
        <w:t>为加强对雄安新区建设施工工地扬尘的监测监控，根据《雄安新区地方标准管理暂行办法》要求，经广泛调查研究，</w:t>
      </w:r>
      <w:r>
        <w:rPr>
          <w:rFonts w:ascii="Times New Roman" w:hAnsi="Times New Roman"/>
          <w:sz w:val="21"/>
          <w:szCs w:val="21"/>
        </w:rPr>
        <w:t>结合</w:t>
      </w:r>
      <w:r>
        <w:rPr>
          <w:rFonts w:hint="eastAsia" w:ascii="Times New Roman" w:hAnsi="Times New Roman"/>
          <w:sz w:val="21"/>
          <w:szCs w:val="21"/>
        </w:rPr>
        <w:t>雄安新区</w:t>
      </w:r>
      <w:r>
        <w:rPr>
          <w:rFonts w:ascii="Times New Roman" w:hAnsi="Times New Roman"/>
          <w:sz w:val="21"/>
          <w:szCs w:val="21"/>
        </w:rPr>
        <w:t>当前实际情况，总结近年来的实践经验，参考有关国家现行相关标准，并在广泛征求意见的基础上，制定本技术规范。</w:t>
      </w:r>
    </w:p>
    <w:p>
      <w:pPr>
        <w:ind w:firstLine="420" w:firstLineChars="200"/>
        <w:rPr>
          <w:rFonts w:ascii="Times New Roman" w:hAnsi="Times New Roman"/>
          <w:sz w:val="21"/>
          <w:szCs w:val="21"/>
        </w:rPr>
      </w:pPr>
      <w:r>
        <w:rPr>
          <w:rFonts w:hint="eastAsia" w:ascii="Times New Roman" w:hAnsi="Times New Roman"/>
          <w:sz w:val="21"/>
          <w:szCs w:val="21"/>
        </w:rPr>
        <w:t>本文件按照</w:t>
      </w:r>
      <w:r>
        <w:rPr>
          <w:rFonts w:ascii="Times New Roman" w:hAnsi="Times New Roman"/>
          <w:sz w:val="21"/>
          <w:szCs w:val="21"/>
        </w:rPr>
        <w:t>GB/T</w:t>
      </w:r>
      <w:r>
        <w:rPr>
          <w:rFonts w:hint="eastAsia" w:ascii="Times New Roman" w:hAnsi="Times New Roman"/>
          <w:sz w:val="21"/>
          <w:szCs w:val="21"/>
        </w:rPr>
        <w:t>1.1-2020给出的规则起草。</w:t>
      </w:r>
    </w:p>
    <w:p>
      <w:p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由河北雄安新区管理委员会生态环境局提出并归口。</w:t>
      </w:r>
    </w:p>
    <w:p>
      <w:p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起草单位：</w:t>
      </w:r>
      <w:r>
        <w:rPr>
          <w:rFonts w:hint="eastAsia" w:ascii="Times New Roman" w:hAnsi="Times New Roman"/>
          <w:sz w:val="21"/>
          <w:szCs w:val="21"/>
        </w:rPr>
        <w:t>********</w:t>
      </w:r>
    </w:p>
    <w:p>
      <w:pPr>
        <w:ind w:firstLine="420" w:firstLineChars="200"/>
        <w:rPr>
          <w:rFonts w:ascii="Times New Roman" w:hAnsi="Times New Roman"/>
          <w:szCs w:val="24"/>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主要起草人：</w:t>
      </w:r>
      <w:r>
        <w:rPr>
          <w:rFonts w:hint="eastAsia" w:ascii="Times New Roman" w:hAnsi="Times New Roman"/>
          <w:sz w:val="21"/>
          <w:szCs w:val="21"/>
        </w:rPr>
        <w:t>********</w:t>
      </w:r>
    </w:p>
    <w:p>
      <w:pPr>
        <w:spacing w:line="580" w:lineRule="exact"/>
        <w:ind w:firstLine="480" w:firstLineChars="200"/>
        <w:jc w:val="left"/>
        <w:rPr>
          <w:rFonts w:ascii="Times New Roman" w:hAnsi="Times New Roman"/>
          <w:szCs w:val="24"/>
        </w:rPr>
      </w:pPr>
    </w:p>
    <w:p>
      <w:pPr>
        <w:spacing w:line="580" w:lineRule="exact"/>
        <w:ind w:firstLine="480" w:firstLineChars="200"/>
        <w:jc w:val="left"/>
        <w:rPr>
          <w:rFonts w:ascii="Times New Roman" w:hAnsi="Times New Roman"/>
          <w:szCs w:val="24"/>
        </w:rPr>
        <w:sectPr>
          <w:footerReference r:id="rId8" w:type="default"/>
          <w:pgSz w:w="11906" w:h="16838"/>
          <w:pgMar w:top="1417" w:right="1134" w:bottom="1134" w:left="1417" w:header="1417" w:footer="992" w:gutter="0"/>
          <w:pgNumType w:fmt="upperRoman" w:start="2"/>
          <w:cols w:space="0" w:num="1"/>
          <w:docGrid w:type="lines" w:linePitch="332" w:charSpace="0"/>
        </w:sectPr>
      </w:pPr>
    </w:p>
    <w:p>
      <w:pPr>
        <w:spacing w:before="850" w:line="580" w:lineRule="exact"/>
        <w:jc w:val="center"/>
        <w:outlineLvl w:val="0"/>
        <w:rPr>
          <w:rFonts w:ascii="方正小标宋简体" w:hAnsi="方正小标宋简体" w:eastAsia="方正小标宋简体" w:cs="方正小标宋简体"/>
          <w:sz w:val="44"/>
          <w:szCs w:val="44"/>
        </w:rPr>
      </w:pPr>
      <w:bookmarkStart w:id="4" w:name="_Toc8247"/>
      <w:bookmarkStart w:id="5" w:name="_Toc3985"/>
      <w:bookmarkStart w:id="6" w:name="_Toc10386"/>
      <w:r>
        <w:rPr>
          <w:rFonts w:hint="eastAsia" w:ascii="黑体" w:hAnsi="黑体" w:eastAsia="黑体" w:cs="宋体"/>
          <w:kern w:val="0"/>
          <w:sz w:val="32"/>
          <w:szCs w:val="32"/>
          <w:lang w:bidi="zh-CN"/>
        </w:rPr>
        <w:t>雄安新区</w:t>
      </w:r>
      <w:r>
        <w:rPr>
          <w:rFonts w:ascii="黑体" w:hAnsi="黑体" w:eastAsia="黑体" w:cs="宋体"/>
          <w:kern w:val="0"/>
          <w:sz w:val="32"/>
          <w:szCs w:val="32"/>
          <w:lang w:val="zh-CN" w:bidi="zh-CN"/>
        </w:rPr>
        <w:t>建设施工工地扬尘监测监控</w:t>
      </w:r>
      <w:bookmarkEnd w:id="4"/>
      <w:bookmarkEnd w:id="5"/>
      <w:bookmarkEnd w:id="6"/>
      <w:r>
        <w:rPr>
          <w:rFonts w:hint="eastAsia" w:ascii="黑体" w:hAnsi="黑体" w:eastAsia="黑体" w:cs="宋体"/>
          <w:kern w:val="0"/>
          <w:sz w:val="32"/>
          <w:szCs w:val="32"/>
          <w:lang w:bidi="zh-CN"/>
        </w:rPr>
        <w:t>技术规范</w:t>
      </w:r>
    </w:p>
    <w:p>
      <w:pPr>
        <w:pStyle w:val="4"/>
        <w:spacing w:before="680" w:beforeLines="0" w:after="312"/>
      </w:pPr>
      <w:bookmarkStart w:id="7" w:name="_Toc21587"/>
      <w:r>
        <w:rPr>
          <w:rFonts w:hint="eastAsia"/>
        </w:rPr>
        <w:t>1 范围</w:t>
      </w:r>
      <w:bookmarkEnd w:id="7"/>
    </w:p>
    <w:p>
      <w:p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规定了扬尘在线监测系统的组成和要求、监测点位与设备安装、数据采集传输、存储、数据应用与分析、系统验收、运行维护与管理、质量保证和质量控制等技术要求。</w:t>
      </w:r>
    </w:p>
    <w:p>
      <w:p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适用于各类施工场地和料堆场地的扬尘在线监测系统的建设与运行管理。其他场所的扬尘在线监测系统建设与运行管理可参照本</w:t>
      </w:r>
      <w:r>
        <w:rPr>
          <w:rFonts w:hint="eastAsia" w:ascii="Times New Roman" w:hAnsi="Times New Roman"/>
          <w:sz w:val="21"/>
          <w:szCs w:val="21"/>
        </w:rPr>
        <w:t>文件</w:t>
      </w:r>
      <w:r>
        <w:rPr>
          <w:rFonts w:ascii="Times New Roman" w:hAnsi="Times New Roman"/>
          <w:sz w:val="21"/>
          <w:szCs w:val="21"/>
        </w:rPr>
        <w:t>执行。</w:t>
      </w:r>
    </w:p>
    <w:p>
      <w:pPr>
        <w:pStyle w:val="4"/>
        <w:spacing w:before="312" w:after="312"/>
      </w:pPr>
      <w:bookmarkStart w:id="8" w:name="_Toc26603"/>
      <w:r>
        <w:t>2</w:t>
      </w:r>
      <w:r>
        <w:rPr>
          <w:rFonts w:hint="eastAsia"/>
        </w:rPr>
        <w:t xml:space="preserve"> </w:t>
      </w:r>
      <w:r>
        <w:t>规范性引用文件</w:t>
      </w:r>
      <w:bookmarkEnd w:id="8"/>
    </w:p>
    <w:p>
      <w:pPr>
        <w:ind w:firstLine="420" w:firstLineChars="200"/>
        <w:rPr>
          <w:rFonts w:ascii="宋体" w:hAnsi="宋体" w:cs="宋体"/>
          <w:sz w:val="21"/>
          <w:szCs w:val="21"/>
        </w:rPr>
      </w:pPr>
      <w:r>
        <w:rPr>
          <w:rFonts w:hint="eastAsia" w:ascii="宋体" w:hAnsi="宋体" w:cs="宋体"/>
          <w:sz w:val="21"/>
          <w:szCs w:val="21"/>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ascii="宋体" w:hAnsi="宋体" w:cs="宋体"/>
          <w:sz w:val="21"/>
          <w:szCs w:val="21"/>
        </w:rPr>
      </w:pPr>
      <w:r>
        <w:rPr>
          <w:rFonts w:ascii="Times New Roman" w:hAnsi="Times New Roman"/>
          <w:sz w:val="21"/>
          <w:szCs w:val="21"/>
        </w:rPr>
        <w:t>GB</w:t>
      </w:r>
      <w:r>
        <w:rPr>
          <w:rFonts w:hint="eastAsia" w:ascii="宋体" w:hAnsi="宋体" w:cs="宋体"/>
          <w:sz w:val="21"/>
          <w:szCs w:val="21"/>
        </w:rPr>
        <w:t xml:space="preserve"> 3095环境空气质量标准</w:t>
      </w:r>
    </w:p>
    <w:p>
      <w:pPr>
        <w:ind w:firstLine="420" w:firstLineChars="200"/>
        <w:rPr>
          <w:rFonts w:ascii="宋体" w:hAnsi="宋体" w:cs="宋体"/>
          <w:sz w:val="21"/>
          <w:szCs w:val="21"/>
        </w:rPr>
      </w:pPr>
      <w:r>
        <w:rPr>
          <w:rFonts w:hint="eastAsia" w:ascii="Times New Roman" w:hAnsi="Times New Roman"/>
          <w:sz w:val="21"/>
          <w:szCs w:val="21"/>
        </w:rPr>
        <w:t>GB</w:t>
      </w:r>
      <w:r>
        <w:rPr>
          <w:rFonts w:hint="eastAsia" w:ascii="宋体" w:hAnsi="宋体" w:cs="宋体"/>
          <w:sz w:val="21"/>
          <w:szCs w:val="21"/>
        </w:rPr>
        <w:t xml:space="preserve"> 50194建设工程施工现场供用电安全规范</w:t>
      </w:r>
    </w:p>
    <w:p>
      <w:pPr>
        <w:ind w:firstLine="420" w:firstLineChars="200"/>
        <w:rPr>
          <w:rFonts w:ascii="宋体" w:hAnsi="宋体" w:cs="宋体"/>
          <w:sz w:val="21"/>
          <w:szCs w:val="21"/>
        </w:rPr>
      </w:pPr>
      <w:r>
        <w:rPr>
          <w:rFonts w:hint="eastAsia" w:ascii="Times New Roman" w:hAnsi="Times New Roman"/>
          <w:sz w:val="21"/>
          <w:szCs w:val="21"/>
        </w:rPr>
        <w:t>GB</w:t>
      </w:r>
      <w:r>
        <w:rPr>
          <w:rFonts w:hint="eastAsia" w:ascii="宋体" w:hAnsi="宋体" w:cs="宋体"/>
          <w:sz w:val="21"/>
          <w:szCs w:val="21"/>
        </w:rPr>
        <w:t xml:space="preserve"> 50343建筑物电子信息系统防雷技术规范</w:t>
      </w:r>
    </w:p>
    <w:p>
      <w:pPr>
        <w:ind w:firstLine="420" w:firstLineChars="200"/>
        <w:rPr>
          <w:rFonts w:ascii="宋体" w:hAnsi="宋体" w:cs="宋体"/>
          <w:sz w:val="21"/>
          <w:szCs w:val="21"/>
        </w:rPr>
      </w:pPr>
      <w:r>
        <w:rPr>
          <w:rFonts w:hint="eastAsia" w:ascii="Times New Roman" w:hAnsi="Times New Roman"/>
          <w:sz w:val="21"/>
          <w:szCs w:val="21"/>
        </w:rPr>
        <w:t>GB</w:t>
      </w:r>
      <w:r>
        <w:rPr>
          <w:rFonts w:hint="eastAsia" w:ascii="宋体" w:hAnsi="宋体" w:cs="宋体"/>
          <w:sz w:val="21"/>
          <w:szCs w:val="21"/>
        </w:rPr>
        <w:t xml:space="preserve"> 50348安全防范工程技术规范</w:t>
      </w:r>
    </w:p>
    <w:p>
      <w:pPr>
        <w:ind w:firstLine="420" w:firstLineChars="200"/>
        <w:rPr>
          <w:rFonts w:ascii="Times New Roman" w:hAnsi="Times New Roman"/>
          <w:sz w:val="21"/>
          <w:szCs w:val="21"/>
        </w:rPr>
      </w:pPr>
      <w:r>
        <w:rPr>
          <w:rFonts w:hint="eastAsia" w:ascii="Times New Roman" w:hAnsi="Times New Roman"/>
          <w:sz w:val="21"/>
          <w:szCs w:val="21"/>
        </w:rPr>
        <w:t xml:space="preserve">DB </w:t>
      </w:r>
      <w:r>
        <w:rPr>
          <w:rFonts w:hint="eastAsia" w:ascii="宋体" w:hAnsi="宋体" w:cs="宋体"/>
          <w:sz w:val="21"/>
          <w:szCs w:val="21"/>
        </w:rPr>
        <w:t>13/2934施工场地扬尘排放标准</w:t>
      </w:r>
    </w:p>
    <w:p>
      <w:pPr>
        <w:ind w:firstLine="420" w:firstLineChars="200"/>
        <w:rPr>
          <w:rFonts w:ascii="宋体" w:hAnsi="宋体" w:cs="宋体"/>
          <w:sz w:val="21"/>
          <w:szCs w:val="21"/>
        </w:rPr>
      </w:pPr>
      <w:r>
        <w:rPr>
          <w:rFonts w:hint="eastAsia" w:ascii="Times New Roman" w:hAnsi="Times New Roman"/>
          <w:sz w:val="21"/>
          <w:szCs w:val="21"/>
        </w:rPr>
        <w:t>GA</w:t>
      </w:r>
      <w:r>
        <w:rPr>
          <w:rFonts w:hint="eastAsia" w:ascii="宋体" w:hAnsi="宋体" w:cs="宋体"/>
          <w:sz w:val="21"/>
          <w:szCs w:val="21"/>
        </w:rPr>
        <w:t>/</w:t>
      </w:r>
      <w:r>
        <w:rPr>
          <w:rFonts w:hint="eastAsia" w:ascii="Times New Roman" w:hAnsi="Times New Roman"/>
          <w:sz w:val="21"/>
          <w:szCs w:val="21"/>
        </w:rPr>
        <w:t>T</w:t>
      </w:r>
      <w:r>
        <w:rPr>
          <w:rFonts w:hint="eastAsia" w:ascii="宋体" w:hAnsi="宋体" w:cs="宋体"/>
          <w:sz w:val="21"/>
          <w:szCs w:val="21"/>
        </w:rPr>
        <w:t xml:space="preserve"> 670安全防范系统雷电浪涌防护技术要求</w:t>
      </w:r>
    </w:p>
    <w:p>
      <w:pPr>
        <w:ind w:firstLine="420" w:firstLineChars="200"/>
        <w:rPr>
          <w:rFonts w:ascii="宋体" w:hAnsi="宋体" w:cs="宋体"/>
          <w:sz w:val="21"/>
          <w:szCs w:val="21"/>
        </w:rPr>
      </w:pPr>
      <w:r>
        <w:rPr>
          <w:rFonts w:hint="eastAsia" w:ascii="Times New Roman" w:hAnsi="Times New Roman"/>
          <w:sz w:val="21"/>
          <w:szCs w:val="21"/>
        </w:rPr>
        <w:t>HJ</w:t>
      </w:r>
      <w:r>
        <w:rPr>
          <w:rFonts w:hint="eastAsia" w:ascii="宋体" w:hAnsi="宋体" w:cs="宋体"/>
          <w:sz w:val="21"/>
          <w:szCs w:val="21"/>
        </w:rPr>
        <w:t xml:space="preserve"> 212污染物在线监控（监测）系统数据传输标准</w:t>
      </w:r>
    </w:p>
    <w:p>
      <w:pPr>
        <w:ind w:firstLine="420" w:firstLineChars="200"/>
        <w:rPr>
          <w:rFonts w:ascii="宋体" w:hAnsi="宋体" w:cs="宋体"/>
          <w:sz w:val="21"/>
          <w:szCs w:val="21"/>
        </w:rPr>
      </w:pPr>
      <w:r>
        <w:rPr>
          <w:rFonts w:hint="eastAsia" w:ascii="Times New Roman" w:hAnsi="Times New Roman"/>
          <w:sz w:val="21"/>
          <w:szCs w:val="21"/>
        </w:rPr>
        <w:t>HJ</w:t>
      </w:r>
      <w:r>
        <w:rPr>
          <w:rFonts w:hint="eastAsia" w:ascii="宋体" w:hAnsi="宋体" w:cs="宋体"/>
          <w:sz w:val="21"/>
          <w:szCs w:val="21"/>
        </w:rPr>
        <w:t xml:space="preserve"> 653环境空气颗粒物（</w:t>
      </w:r>
      <w:r>
        <w:rPr>
          <w:rFonts w:ascii="Times New Roman" w:hAnsi="Times New Roman"/>
          <w:sz w:val="21"/>
          <w:szCs w:val="21"/>
        </w:rPr>
        <w:t>PM</w:t>
      </w:r>
      <w:r>
        <w:rPr>
          <w:rFonts w:hint="eastAsia" w:ascii="宋体" w:hAnsi="宋体" w:cs="宋体"/>
          <w:sz w:val="21"/>
          <w:szCs w:val="21"/>
          <w:vertAlign w:val="subscript"/>
        </w:rPr>
        <w:t>10</w:t>
      </w:r>
      <w:r>
        <w:rPr>
          <w:rFonts w:hint="eastAsia" w:ascii="宋体" w:hAnsi="宋体" w:cs="宋体"/>
          <w:sz w:val="21"/>
          <w:szCs w:val="21"/>
        </w:rPr>
        <w:t>和</w:t>
      </w:r>
      <w:r>
        <w:rPr>
          <w:rFonts w:hint="eastAsia" w:ascii="Times New Roman" w:hAnsi="Times New Roman"/>
          <w:sz w:val="21"/>
          <w:szCs w:val="21"/>
        </w:rPr>
        <w:t>PM</w:t>
      </w:r>
      <w:r>
        <w:rPr>
          <w:rFonts w:hint="eastAsia" w:ascii="宋体" w:hAnsi="宋体" w:cs="宋体"/>
          <w:sz w:val="21"/>
          <w:szCs w:val="21"/>
          <w:vertAlign w:val="subscript"/>
        </w:rPr>
        <w:t>2.5</w:t>
      </w:r>
      <w:r>
        <w:rPr>
          <w:rFonts w:hint="eastAsia" w:ascii="宋体" w:hAnsi="宋体" w:cs="宋体"/>
          <w:sz w:val="21"/>
          <w:szCs w:val="21"/>
        </w:rPr>
        <w:t>）连续自动监测系统技术要求及检测方法</w:t>
      </w:r>
    </w:p>
    <w:p>
      <w:pPr>
        <w:ind w:firstLine="420" w:firstLineChars="200"/>
        <w:rPr>
          <w:rFonts w:ascii="Times New Roman" w:hAnsi="Times New Roman"/>
          <w:sz w:val="21"/>
          <w:szCs w:val="21"/>
        </w:rPr>
      </w:pPr>
      <w:r>
        <w:rPr>
          <w:rFonts w:hint="eastAsia" w:ascii="Times New Roman" w:hAnsi="Times New Roman"/>
          <w:sz w:val="21"/>
          <w:szCs w:val="21"/>
        </w:rPr>
        <w:t xml:space="preserve">HJ </w:t>
      </w:r>
      <w:r>
        <w:rPr>
          <w:rFonts w:hint="eastAsia" w:ascii="宋体" w:hAnsi="宋体" w:cs="宋体"/>
          <w:sz w:val="21"/>
          <w:szCs w:val="21"/>
        </w:rPr>
        <w:t>655</w:t>
      </w:r>
      <w:r>
        <w:rPr>
          <w:rFonts w:hint="eastAsia" w:ascii="Times New Roman" w:hAnsi="Times New Roman"/>
          <w:sz w:val="21"/>
          <w:szCs w:val="21"/>
        </w:rPr>
        <w:t>环境空气颗粒物（PM</w:t>
      </w:r>
      <w:r>
        <w:rPr>
          <w:rFonts w:hint="eastAsia" w:ascii="宋体" w:hAnsi="宋体" w:cs="宋体"/>
          <w:sz w:val="21"/>
          <w:szCs w:val="21"/>
          <w:vertAlign w:val="subscript"/>
        </w:rPr>
        <w:t>10</w:t>
      </w:r>
      <w:r>
        <w:rPr>
          <w:rFonts w:hint="eastAsia" w:ascii="Times New Roman" w:hAnsi="Times New Roman"/>
          <w:sz w:val="21"/>
          <w:szCs w:val="21"/>
        </w:rPr>
        <w:t>和PM</w:t>
      </w:r>
      <w:r>
        <w:rPr>
          <w:rFonts w:hint="eastAsia" w:ascii="宋体" w:hAnsi="宋体" w:cs="宋体"/>
          <w:sz w:val="21"/>
          <w:szCs w:val="21"/>
          <w:vertAlign w:val="subscript"/>
        </w:rPr>
        <w:t>2.5</w:t>
      </w:r>
      <w:r>
        <w:rPr>
          <w:rFonts w:hint="eastAsia" w:ascii="Times New Roman" w:hAnsi="Times New Roman"/>
          <w:sz w:val="21"/>
          <w:szCs w:val="21"/>
        </w:rPr>
        <w:t>）连续自动监测系统安装和验收规范</w:t>
      </w:r>
    </w:p>
    <w:p>
      <w:pPr>
        <w:ind w:firstLine="420" w:firstLineChars="200"/>
        <w:rPr>
          <w:rFonts w:ascii="宋体" w:hAnsi="宋体" w:cs="宋体"/>
          <w:sz w:val="21"/>
          <w:szCs w:val="21"/>
        </w:rPr>
      </w:pPr>
      <w:r>
        <w:rPr>
          <w:rFonts w:hint="eastAsia" w:ascii="Times New Roman" w:hAnsi="Times New Roman"/>
          <w:sz w:val="21"/>
          <w:szCs w:val="21"/>
        </w:rPr>
        <w:t>JGJ</w:t>
      </w:r>
      <w:r>
        <w:rPr>
          <w:rFonts w:hint="eastAsia" w:ascii="宋体" w:hAnsi="宋体" w:cs="宋体"/>
          <w:sz w:val="21"/>
          <w:szCs w:val="21"/>
        </w:rPr>
        <w:t>/</w:t>
      </w:r>
      <w:r>
        <w:rPr>
          <w:rFonts w:hint="eastAsia" w:ascii="Times New Roman" w:hAnsi="Times New Roman"/>
          <w:sz w:val="21"/>
          <w:szCs w:val="21"/>
        </w:rPr>
        <w:t>T</w:t>
      </w:r>
      <w:r>
        <w:rPr>
          <w:rFonts w:hint="eastAsia" w:ascii="宋体" w:hAnsi="宋体" w:cs="宋体"/>
          <w:sz w:val="21"/>
          <w:szCs w:val="21"/>
        </w:rPr>
        <w:t xml:space="preserve"> 16民用建筑电气设计规范</w:t>
      </w:r>
    </w:p>
    <w:p>
      <w:pPr>
        <w:ind w:firstLine="420" w:firstLineChars="200"/>
        <w:rPr>
          <w:rFonts w:ascii="宋体" w:hAnsi="宋体" w:cs="宋体"/>
          <w:szCs w:val="24"/>
        </w:rPr>
      </w:pPr>
      <w:r>
        <w:rPr>
          <w:rFonts w:hint="eastAsia" w:ascii="Times New Roman" w:hAnsi="Times New Roman"/>
          <w:sz w:val="21"/>
          <w:szCs w:val="21"/>
        </w:rPr>
        <w:t>JGJ</w:t>
      </w:r>
      <w:r>
        <w:rPr>
          <w:rFonts w:hint="eastAsia" w:ascii="宋体" w:hAnsi="宋体" w:cs="宋体"/>
          <w:sz w:val="21"/>
          <w:szCs w:val="21"/>
        </w:rPr>
        <w:t xml:space="preserve"> 46施工现场临时用电安全技术规范</w:t>
      </w:r>
    </w:p>
    <w:p>
      <w:pPr>
        <w:pStyle w:val="4"/>
        <w:spacing w:before="312" w:after="312"/>
      </w:pPr>
      <w:bookmarkStart w:id="9" w:name="_Toc29839"/>
      <w:r>
        <w:t>3</w:t>
      </w:r>
      <w:r>
        <w:rPr>
          <w:rFonts w:hint="eastAsia"/>
        </w:rPr>
        <w:t xml:space="preserve"> </w:t>
      </w:r>
      <w:r>
        <w:t>术语和定义</w:t>
      </w:r>
      <w:bookmarkEnd w:id="9"/>
    </w:p>
    <w:p>
      <w:pPr>
        <w:ind w:firstLine="420" w:firstLineChars="200"/>
        <w:rPr>
          <w:rFonts w:ascii="宋体" w:hAnsi="宋体" w:cs="宋体"/>
          <w:sz w:val="21"/>
          <w:szCs w:val="21"/>
        </w:rPr>
      </w:pPr>
      <w:r>
        <w:rPr>
          <w:rFonts w:hint="eastAsia" w:ascii="宋体" w:hAnsi="宋体" w:cs="宋体"/>
          <w:sz w:val="21"/>
          <w:szCs w:val="21"/>
        </w:rPr>
        <w:t>下列术语和定义适用于本文件。</w:t>
      </w:r>
    </w:p>
    <w:p>
      <w:pPr>
        <w:spacing w:before="156" w:beforeLines="50"/>
        <w:outlineLvl w:val="0"/>
        <w:rPr>
          <w:rFonts w:ascii="黑体" w:hAnsi="黑体" w:eastAsia="黑体" w:cs="黑体"/>
          <w:sz w:val="21"/>
          <w:szCs w:val="21"/>
        </w:rPr>
      </w:pPr>
      <w:bookmarkStart w:id="10" w:name="_Toc26551"/>
      <w:bookmarkStart w:id="11" w:name="_Toc3221"/>
      <w:bookmarkStart w:id="12" w:name="_Toc13006"/>
      <w:r>
        <w:rPr>
          <w:rFonts w:hint="eastAsia" w:ascii="黑体" w:hAnsi="黑体" w:eastAsia="黑体" w:cs="黑体"/>
          <w:sz w:val="21"/>
          <w:szCs w:val="21"/>
        </w:rPr>
        <w:t xml:space="preserve">3.1 </w:t>
      </w:r>
    </w:p>
    <w:p>
      <w:pPr>
        <w:ind w:firstLine="420" w:firstLineChars="200"/>
        <w:outlineLvl w:val="0"/>
        <w:rPr>
          <w:rFonts w:ascii="黑体" w:hAnsi="黑体" w:eastAsia="黑体" w:cs="黑体"/>
          <w:sz w:val="21"/>
          <w:szCs w:val="21"/>
        </w:rPr>
      </w:pPr>
      <w:r>
        <w:rPr>
          <w:rFonts w:hint="eastAsia" w:ascii="黑体" w:hAnsi="黑体" w:eastAsia="黑体" w:cs="黑体"/>
          <w:sz w:val="21"/>
          <w:szCs w:val="21"/>
        </w:rPr>
        <w:t>扬尘</w:t>
      </w:r>
      <w:bookmarkEnd w:id="10"/>
      <w:bookmarkEnd w:id="11"/>
      <w:r>
        <w:rPr>
          <w:rFonts w:hint="eastAsia" w:ascii="黑体" w:hAnsi="黑体" w:eastAsia="黑体" w:cs="黑体"/>
          <w:sz w:val="21"/>
          <w:szCs w:val="21"/>
        </w:rPr>
        <w:t xml:space="preserve"> </w:t>
      </w:r>
      <w:r>
        <w:rPr>
          <w:rFonts w:ascii="Times New Roman" w:hAnsi="Times New Roman" w:eastAsia="黑体"/>
          <w:b/>
          <w:bCs/>
          <w:sz w:val="21"/>
          <w:szCs w:val="21"/>
        </w:rPr>
        <w:t>raise dust</w:t>
      </w:r>
      <w:bookmarkEnd w:id="12"/>
    </w:p>
    <w:p>
      <w:pPr>
        <w:ind w:firstLine="420" w:firstLineChars="200"/>
        <w:rPr>
          <w:rFonts w:ascii="宋体" w:hAnsi="宋体" w:cs="宋体"/>
          <w:sz w:val="21"/>
          <w:szCs w:val="21"/>
        </w:rPr>
      </w:pPr>
      <w:r>
        <w:rPr>
          <w:rFonts w:hint="eastAsia" w:ascii="宋体" w:hAnsi="宋体" w:cs="宋体"/>
          <w:sz w:val="21"/>
          <w:szCs w:val="21"/>
        </w:rPr>
        <w:t>施工场地产生并逸散至周围环境空气中的空气动力学当量直径小于等于10</w:t>
      </w:r>
      <w:r>
        <w:rPr>
          <w:rFonts w:ascii="Times New Roman" w:hAnsi="Times New Roman"/>
          <w:sz w:val="21"/>
          <w:szCs w:val="21"/>
        </w:rPr>
        <w:t>μm</w:t>
      </w:r>
      <w:r>
        <w:rPr>
          <w:rFonts w:hint="eastAsia" w:ascii="宋体" w:hAnsi="宋体" w:cs="宋体"/>
          <w:sz w:val="21"/>
          <w:szCs w:val="21"/>
        </w:rPr>
        <w:t>的颗粒物，简称</w:t>
      </w:r>
      <w:r>
        <w:rPr>
          <w:rFonts w:hint="eastAsia" w:ascii="Times New Roman" w:hAnsi="Times New Roman"/>
          <w:sz w:val="21"/>
          <w:szCs w:val="21"/>
        </w:rPr>
        <w:t>PM</w:t>
      </w:r>
      <w:r>
        <w:rPr>
          <w:rFonts w:hint="eastAsia" w:ascii="宋体" w:hAnsi="宋体" w:cs="宋体"/>
          <w:sz w:val="21"/>
          <w:szCs w:val="21"/>
          <w:vertAlign w:val="subscript"/>
        </w:rPr>
        <w:t>10</w:t>
      </w:r>
      <w:r>
        <w:rPr>
          <w:rFonts w:hint="eastAsia" w:ascii="宋体" w:hAnsi="宋体" w:cs="宋体"/>
          <w:sz w:val="21"/>
          <w:szCs w:val="21"/>
        </w:rPr>
        <w:t>。</w:t>
      </w:r>
    </w:p>
    <w:p>
      <w:pPr>
        <w:spacing w:before="156" w:beforeLines="50"/>
        <w:outlineLvl w:val="0"/>
        <w:rPr>
          <w:rFonts w:ascii="黑体" w:hAnsi="黑体" w:eastAsia="黑体" w:cs="黑体"/>
          <w:sz w:val="21"/>
          <w:szCs w:val="21"/>
        </w:rPr>
      </w:pPr>
      <w:bookmarkStart w:id="13" w:name="_Toc5246"/>
      <w:bookmarkStart w:id="14" w:name="_Toc11521"/>
      <w:bookmarkStart w:id="15" w:name="_Toc23611"/>
      <w:r>
        <w:rPr>
          <w:rFonts w:hint="eastAsia" w:ascii="黑体" w:hAnsi="黑体" w:eastAsia="黑体" w:cs="黑体"/>
          <w:sz w:val="21"/>
          <w:szCs w:val="21"/>
        </w:rPr>
        <w:t xml:space="preserve">3.2 </w:t>
      </w:r>
    </w:p>
    <w:p>
      <w:pPr>
        <w:ind w:firstLine="420" w:firstLineChars="200"/>
        <w:outlineLvl w:val="0"/>
        <w:rPr>
          <w:rFonts w:ascii="黑体" w:hAnsi="黑体" w:eastAsia="黑体" w:cs="黑体"/>
          <w:sz w:val="21"/>
          <w:szCs w:val="21"/>
        </w:rPr>
      </w:pPr>
      <w:r>
        <w:rPr>
          <w:rFonts w:hint="eastAsia" w:ascii="黑体" w:hAnsi="黑体" w:eastAsia="黑体" w:cs="黑体"/>
          <w:sz w:val="21"/>
          <w:szCs w:val="21"/>
        </w:rPr>
        <w:t>1小时平均</w:t>
      </w:r>
      <w:bookmarkEnd w:id="13"/>
      <w:bookmarkEnd w:id="14"/>
      <w:r>
        <w:rPr>
          <w:rFonts w:hint="eastAsia" w:ascii="黑体" w:hAnsi="黑体" w:eastAsia="黑体" w:cs="黑体"/>
          <w:sz w:val="21"/>
          <w:szCs w:val="21"/>
        </w:rPr>
        <w:t xml:space="preserve"> </w:t>
      </w:r>
      <w:r>
        <w:rPr>
          <w:rFonts w:hint="eastAsia" w:ascii="Times New Roman" w:hAnsi="Times New Roman" w:eastAsia="黑体"/>
          <w:b/>
          <w:bCs/>
          <w:sz w:val="21"/>
          <w:szCs w:val="21"/>
        </w:rPr>
        <w:t>1-hour average</w:t>
      </w:r>
      <w:bookmarkEnd w:id="15"/>
    </w:p>
    <w:p>
      <w:pPr>
        <w:ind w:firstLine="420" w:firstLineChars="200"/>
        <w:rPr>
          <w:rFonts w:ascii="宋体" w:hAnsi="宋体" w:cs="宋体"/>
          <w:sz w:val="21"/>
          <w:szCs w:val="21"/>
        </w:rPr>
      </w:pPr>
      <w:r>
        <w:rPr>
          <w:rFonts w:hint="eastAsia" w:ascii="宋体" w:hAnsi="宋体" w:cs="宋体"/>
          <w:sz w:val="21"/>
          <w:szCs w:val="21"/>
        </w:rPr>
        <w:t>任何1小时污染物浓度的算术平均值，也称为小时值。</w:t>
      </w:r>
    </w:p>
    <w:p>
      <w:pPr>
        <w:ind w:firstLine="420" w:firstLineChars="200"/>
        <w:rPr>
          <w:rFonts w:ascii="宋体" w:hAnsi="宋体" w:cs="宋体"/>
          <w:sz w:val="21"/>
          <w:szCs w:val="21"/>
        </w:rPr>
      </w:pPr>
      <w:r>
        <w:rPr>
          <w:rFonts w:hint="eastAsia" w:ascii="宋体" w:hAnsi="宋体" w:cs="宋体"/>
          <w:sz w:val="21"/>
          <w:szCs w:val="21"/>
        </w:rPr>
        <w:t>[</w:t>
      </w:r>
      <w:r>
        <w:rPr>
          <w:rFonts w:hint="eastAsia" w:ascii="Times New Roman" w:hAnsi="Times New Roman"/>
          <w:sz w:val="21"/>
          <w:szCs w:val="21"/>
        </w:rPr>
        <w:t>GB</w:t>
      </w:r>
      <w:r>
        <w:rPr>
          <w:rFonts w:hint="eastAsia" w:ascii="宋体" w:hAnsi="宋体" w:cs="宋体"/>
          <w:sz w:val="21"/>
          <w:szCs w:val="21"/>
        </w:rPr>
        <w:t xml:space="preserve"> 3095-2012，定义3.8]</w:t>
      </w:r>
    </w:p>
    <w:p>
      <w:pPr>
        <w:spacing w:before="156" w:beforeLines="50"/>
        <w:outlineLvl w:val="0"/>
        <w:rPr>
          <w:rFonts w:ascii="黑体" w:hAnsi="黑体" w:eastAsia="黑体" w:cs="黑体"/>
          <w:sz w:val="21"/>
          <w:szCs w:val="21"/>
        </w:rPr>
      </w:pPr>
      <w:bookmarkStart w:id="16" w:name="_Toc16740"/>
      <w:r>
        <w:rPr>
          <w:rFonts w:hint="eastAsia" w:ascii="黑体" w:hAnsi="黑体" w:eastAsia="黑体" w:cs="黑体"/>
          <w:sz w:val="21"/>
          <w:szCs w:val="21"/>
        </w:rPr>
        <w:t xml:space="preserve">3.3 </w:t>
      </w:r>
    </w:p>
    <w:p>
      <w:pPr>
        <w:ind w:firstLine="420" w:firstLineChars="200"/>
        <w:outlineLvl w:val="0"/>
        <w:rPr>
          <w:rFonts w:ascii="黑体" w:hAnsi="黑体" w:eastAsia="黑体" w:cs="黑体"/>
          <w:sz w:val="21"/>
          <w:szCs w:val="21"/>
        </w:rPr>
      </w:pPr>
      <w:r>
        <w:rPr>
          <w:rFonts w:hint="eastAsia" w:ascii="黑体" w:hAnsi="黑体" w:eastAsia="黑体" w:cs="黑体"/>
          <w:sz w:val="21"/>
          <w:szCs w:val="21"/>
        </w:rPr>
        <w:t xml:space="preserve">24小时平均 </w:t>
      </w:r>
      <w:r>
        <w:rPr>
          <w:rFonts w:hint="eastAsia" w:ascii="Times New Roman" w:hAnsi="Times New Roman" w:eastAsia="黑体"/>
          <w:b/>
          <w:bCs/>
          <w:sz w:val="21"/>
          <w:szCs w:val="21"/>
        </w:rPr>
        <w:t>24-hour average</w:t>
      </w:r>
      <w:bookmarkEnd w:id="16"/>
    </w:p>
    <w:p>
      <w:pPr>
        <w:ind w:firstLine="420" w:firstLineChars="200"/>
        <w:rPr>
          <w:rFonts w:ascii="宋体" w:hAnsi="宋体" w:cs="宋体"/>
          <w:sz w:val="21"/>
          <w:szCs w:val="21"/>
        </w:rPr>
      </w:pPr>
      <w:bookmarkStart w:id="17" w:name="_Toc20858"/>
      <w:r>
        <w:rPr>
          <w:rFonts w:hint="eastAsia" w:ascii="宋体" w:hAnsi="宋体" w:cs="宋体"/>
          <w:sz w:val="21"/>
          <w:szCs w:val="21"/>
        </w:rPr>
        <w:t>1个自然日24小时平均浓度的算术平均值，也称为日平均。</w:t>
      </w:r>
      <w:bookmarkEnd w:id="17"/>
    </w:p>
    <w:p>
      <w:pPr>
        <w:ind w:firstLine="420" w:firstLineChars="200"/>
        <w:rPr>
          <w:rFonts w:ascii="宋体" w:hAnsi="宋体" w:cs="宋体"/>
          <w:sz w:val="21"/>
          <w:szCs w:val="21"/>
        </w:rPr>
      </w:pPr>
      <w:r>
        <w:rPr>
          <w:rFonts w:hint="eastAsia" w:ascii="宋体" w:hAnsi="宋体" w:cs="宋体"/>
          <w:sz w:val="21"/>
          <w:szCs w:val="21"/>
        </w:rPr>
        <w:t>[</w:t>
      </w:r>
      <w:r>
        <w:rPr>
          <w:rFonts w:hint="eastAsia" w:ascii="Times New Roman" w:hAnsi="Times New Roman"/>
          <w:sz w:val="21"/>
          <w:szCs w:val="21"/>
        </w:rPr>
        <w:t>GB</w:t>
      </w:r>
      <w:r>
        <w:rPr>
          <w:rFonts w:hint="eastAsia" w:ascii="宋体" w:hAnsi="宋体" w:cs="宋体"/>
          <w:sz w:val="21"/>
          <w:szCs w:val="21"/>
        </w:rPr>
        <w:t xml:space="preserve"> 3095-2012，定义3.10]</w:t>
      </w:r>
    </w:p>
    <w:p>
      <w:pPr>
        <w:spacing w:before="156" w:beforeLines="50"/>
        <w:outlineLvl w:val="0"/>
        <w:rPr>
          <w:rFonts w:ascii="黑体" w:hAnsi="黑体" w:eastAsia="黑体" w:cs="黑体"/>
          <w:sz w:val="21"/>
          <w:szCs w:val="21"/>
        </w:rPr>
      </w:pPr>
      <w:bookmarkStart w:id="18" w:name="_Toc3087"/>
      <w:bookmarkStart w:id="19" w:name="_Toc15523"/>
      <w:bookmarkStart w:id="20" w:name="_Toc971"/>
      <w:r>
        <w:rPr>
          <w:rFonts w:hint="eastAsia" w:ascii="黑体" w:hAnsi="黑体" w:eastAsia="黑体" w:cs="黑体"/>
          <w:sz w:val="21"/>
          <w:szCs w:val="21"/>
        </w:rPr>
        <w:t xml:space="preserve">3.4 </w:t>
      </w:r>
    </w:p>
    <w:p>
      <w:pPr>
        <w:ind w:firstLine="420" w:firstLineChars="200"/>
        <w:outlineLvl w:val="0"/>
        <w:rPr>
          <w:rFonts w:ascii="黑体" w:hAnsi="黑体" w:eastAsia="黑体" w:cs="黑体"/>
          <w:sz w:val="21"/>
          <w:szCs w:val="21"/>
        </w:rPr>
      </w:pPr>
      <w:r>
        <w:rPr>
          <w:rFonts w:hint="eastAsia" w:ascii="黑体" w:hAnsi="黑体" w:eastAsia="黑体" w:cs="黑体"/>
          <w:sz w:val="21"/>
          <w:szCs w:val="21"/>
        </w:rPr>
        <w:t>有效数据率</w:t>
      </w:r>
      <w:bookmarkEnd w:id="18"/>
      <w:bookmarkEnd w:id="19"/>
      <w:r>
        <w:rPr>
          <w:rFonts w:hint="eastAsia" w:ascii="黑体" w:hAnsi="黑体" w:eastAsia="黑体" w:cs="黑体"/>
          <w:sz w:val="21"/>
          <w:szCs w:val="21"/>
        </w:rPr>
        <w:t xml:space="preserve"> </w:t>
      </w:r>
      <w:r>
        <w:rPr>
          <w:rFonts w:hint="eastAsia" w:ascii="Times New Roman" w:hAnsi="Times New Roman" w:eastAsia="黑体"/>
          <w:b/>
          <w:bCs/>
          <w:sz w:val="21"/>
          <w:szCs w:val="21"/>
        </w:rPr>
        <w:t>effective data rate</w:t>
      </w:r>
      <w:bookmarkEnd w:id="20"/>
    </w:p>
    <w:p>
      <w:pPr>
        <w:ind w:firstLine="420" w:firstLineChars="200"/>
        <w:rPr>
          <w:rFonts w:ascii="宋体" w:hAnsi="宋体" w:cs="宋体"/>
          <w:sz w:val="21"/>
          <w:szCs w:val="21"/>
        </w:rPr>
      </w:pPr>
      <w:r>
        <w:rPr>
          <w:rFonts w:hint="eastAsia" w:ascii="宋体" w:hAnsi="宋体" w:cs="宋体"/>
          <w:sz w:val="21"/>
          <w:szCs w:val="21"/>
        </w:rPr>
        <w:t>在监测时段内实际采集的有效数据的个数与理论上应采集数据的个数之比，以百分数计。</w:t>
      </w:r>
    </w:p>
    <w:p>
      <w:pPr>
        <w:pStyle w:val="4"/>
        <w:spacing w:before="312" w:after="312"/>
      </w:pPr>
      <w:bookmarkStart w:id="21" w:name="_Toc25699"/>
      <w:r>
        <w:t>4 系统组成和要求</w:t>
      </w:r>
      <w:bookmarkEnd w:id="21"/>
    </w:p>
    <w:p>
      <w:pPr>
        <w:spacing w:before="156" w:beforeLines="50" w:after="156" w:afterLines="50"/>
        <w:outlineLvl w:val="0"/>
        <w:rPr>
          <w:rFonts w:ascii="黑体" w:hAnsi="黑体" w:eastAsia="黑体" w:cs="黑体"/>
          <w:sz w:val="21"/>
          <w:szCs w:val="21"/>
        </w:rPr>
      </w:pPr>
      <w:bookmarkStart w:id="22" w:name="_Toc4833"/>
      <w:bookmarkStart w:id="23" w:name="_Toc21802"/>
      <w:bookmarkStart w:id="24" w:name="_Toc19199"/>
      <w:r>
        <w:rPr>
          <w:rFonts w:hint="eastAsia" w:ascii="黑体" w:hAnsi="黑体" w:eastAsia="黑体" w:cs="黑体"/>
          <w:sz w:val="21"/>
          <w:szCs w:val="21"/>
        </w:rPr>
        <w:t>4.1 系统组成</w:t>
      </w:r>
      <w:bookmarkEnd w:id="22"/>
      <w:bookmarkEnd w:id="23"/>
      <w:bookmarkEnd w:id="24"/>
    </w:p>
    <w:p>
      <w:pPr>
        <w:ind w:firstLine="420" w:firstLineChars="200"/>
        <w:rPr>
          <w:rFonts w:ascii="宋体" w:hAnsi="宋体" w:cs="宋体"/>
          <w:sz w:val="21"/>
          <w:szCs w:val="21"/>
        </w:rPr>
      </w:pPr>
      <w:r>
        <w:rPr>
          <w:rFonts w:hint="eastAsia" w:ascii="宋体" w:hAnsi="宋体" w:cs="宋体"/>
          <w:sz w:val="21"/>
          <w:szCs w:val="21"/>
        </w:rPr>
        <w:t>扬尘在线监测系统由在线监测单元、数据处理单元、数据应用单元等组成。</w:t>
      </w:r>
    </w:p>
    <w:p>
      <w:pPr>
        <w:jc w:val="center"/>
        <w:rPr>
          <w:rFonts w:ascii="黑体" w:hAnsi="黑体" w:eastAsia="黑体" w:cs="黑体"/>
          <w:sz w:val="16"/>
          <w:szCs w:val="16"/>
        </w:rPr>
      </w:pPr>
      <w:r>
        <mc:AlternateContent>
          <mc:Choice Requires="wpg">
            <w:drawing>
              <wp:inline distT="0" distB="0" distL="114300" distR="114300">
                <wp:extent cx="3528060" cy="859790"/>
                <wp:effectExtent l="0" t="0" r="0" b="0"/>
                <wp:docPr id="20" name="组合 20"/>
                <wp:cNvGraphicFramePr/>
                <a:graphic xmlns:a="http://schemas.openxmlformats.org/drawingml/2006/main">
                  <a:graphicData uri="http://schemas.microsoft.com/office/word/2010/wordprocessingGroup">
                    <wpg:wgp>
                      <wpg:cNvGrpSpPr/>
                      <wpg:grpSpPr>
                        <a:xfrm>
                          <a:off x="0" y="0"/>
                          <a:ext cx="3528060" cy="859790"/>
                          <a:chOff x="3364" y="73354"/>
                          <a:chExt cx="5556" cy="1354"/>
                        </a:xfrm>
                      </wpg:grpSpPr>
                      <wps:wsp>
                        <wps:cNvPr id="13" name="文本框 13"/>
                        <wps:cNvSpPr txBox="1"/>
                        <wps:spPr>
                          <a:xfrm>
                            <a:off x="5816" y="73363"/>
                            <a:ext cx="1383" cy="370"/>
                          </a:xfrm>
                          <a:prstGeom prst="rect">
                            <a:avLst/>
                          </a:prstGeom>
                          <a:noFill/>
                          <a:ln w="4724" cap="flat" cmpd="sng">
                            <a:solidFill>
                              <a:srgbClr val="000000"/>
                            </a:solidFill>
                            <a:prstDash val="solid"/>
                            <a:miter/>
                            <a:headEnd type="none" w="med" len="med"/>
                            <a:tailEnd type="none" w="med" len="med"/>
                          </a:ln>
                        </wps:spPr>
                        <wps:txbx>
                          <w:txbxContent>
                            <w:p>
                              <w:pPr>
                                <w:autoSpaceDE w:val="0"/>
                                <w:autoSpaceDN w:val="0"/>
                                <w:spacing w:before="101" w:line="185" w:lineRule="exact"/>
                                <w:ind w:left="129"/>
                                <w:jc w:val="left"/>
                              </w:pPr>
                              <w:r>
                                <w:rPr>
                                  <w:rFonts w:ascii="宋体" w:hAnsi="宋体" w:cs="宋体"/>
                                  <w:b/>
                                  <w:color w:val="000000"/>
                                  <w:spacing w:val="-2"/>
                                  <w:w w:val="105"/>
                                  <w:kern w:val="0"/>
                                  <w:sz w:val="18"/>
                                </w:rPr>
                                <w:t>数</w:t>
                              </w:r>
                              <w:r>
                                <w:rPr>
                                  <w:rFonts w:ascii="宋体" w:hAnsi="宋体" w:cs="宋体"/>
                                  <w:b/>
                                  <w:color w:val="000000"/>
                                  <w:spacing w:val="4"/>
                                  <w:w w:val="102"/>
                                  <w:kern w:val="0"/>
                                  <w:sz w:val="18"/>
                                </w:rPr>
                                <w:t>据</w:t>
                              </w:r>
                              <w:r>
                                <w:rPr>
                                  <w:rFonts w:ascii="宋体" w:hAnsi="宋体" w:cs="宋体"/>
                                  <w:b/>
                                  <w:color w:val="000000"/>
                                  <w:spacing w:val="2"/>
                                  <w:w w:val="101"/>
                                  <w:kern w:val="0"/>
                                  <w:sz w:val="18"/>
                                </w:rPr>
                                <w:t>处</w:t>
                              </w:r>
                              <w:r>
                                <w:rPr>
                                  <w:rFonts w:ascii="宋体" w:hAnsi="宋体" w:cs="宋体"/>
                                  <w:b/>
                                  <w:color w:val="000000"/>
                                  <w:spacing w:val="2"/>
                                  <w:w w:val="102"/>
                                  <w:kern w:val="0"/>
                                  <w:sz w:val="18"/>
                                </w:rPr>
                                <w:t>理</w:t>
                              </w:r>
                              <w:r>
                                <w:rPr>
                                  <w:rFonts w:ascii="宋体" w:hAnsi="宋体" w:cs="宋体"/>
                                  <w:b/>
                                  <w:color w:val="000000"/>
                                  <w:spacing w:val="4"/>
                                  <w:w w:val="101"/>
                                  <w:kern w:val="0"/>
                                  <w:sz w:val="18"/>
                                </w:rPr>
                                <w:t>单</w:t>
                              </w:r>
                              <w:r>
                                <w:rPr>
                                  <w:rFonts w:ascii="宋体" w:hAnsi="宋体" w:cs="宋体"/>
                                  <w:b/>
                                  <w:color w:val="000000"/>
                                  <w:w w:val="102"/>
                                  <w:kern w:val="0"/>
                                  <w:sz w:val="18"/>
                                </w:rPr>
                                <w:t>元</w:t>
                              </w:r>
                            </w:p>
                          </w:txbxContent>
                        </wps:txbx>
                        <wps:bodyPr lIns="0" tIns="0" rIns="0" bIns="0" upright="1"/>
                      </wps:wsp>
                      <wps:wsp>
                        <wps:cNvPr id="12" name="文本框 12"/>
                        <wps:cNvSpPr txBox="1"/>
                        <wps:spPr>
                          <a:xfrm>
                            <a:off x="3371" y="73366"/>
                            <a:ext cx="2046" cy="370"/>
                          </a:xfrm>
                          <a:prstGeom prst="rect">
                            <a:avLst/>
                          </a:prstGeom>
                          <a:noFill/>
                          <a:ln w="4724" cap="flat" cmpd="sng">
                            <a:solidFill>
                              <a:srgbClr val="000000"/>
                            </a:solidFill>
                            <a:prstDash val="solid"/>
                            <a:miter/>
                            <a:headEnd type="none" w="med" len="med"/>
                            <a:tailEnd type="none" w="med" len="med"/>
                          </a:ln>
                        </wps:spPr>
                        <wps:txbx>
                          <w:txbxContent>
                            <w:p>
                              <w:pPr>
                                <w:autoSpaceDE w:val="0"/>
                                <w:autoSpaceDN w:val="0"/>
                                <w:spacing w:before="101" w:line="185" w:lineRule="exact"/>
                                <w:ind w:left="460"/>
                                <w:jc w:val="left"/>
                                <w:rPr>
                                  <w:rFonts w:ascii="黑体" w:hAnsi="黑体" w:eastAsia="黑体" w:cs="黑体"/>
                                  <w:bCs/>
                                </w:rPr>
                              </w:pPr>
                              <w:r>
                                <w:rPr>
                                  <w:rFonts w:hint="eastAsia" w:asciiTheme="minorEastAsia" w:hAnsiTheme="minorEastAsia" w:eastAsiaTheme="minorEastAsia" w:cstheme="minorEastAsia"/>
                                  <w:b/>
                                  <w:color w:val="000000"/>
                                  <w:spacing w:val="-2"/>
                                  <w:w w:val="105"/>
                                  <w:kern w:val="0"/>
                                  <w:sz w:val="18"/>
                                </w:rPr>
                                <w:t>在</w:t>
                              </w:r>
                              <w:r>
                                <w:rPr>
                                  <w:rFonts w:hint="eastAsia" w:asciiTheme="minorEastAsia" w:hAnsiTheme="minorEastAsia" w:eastAsiaTheme="minorEastAsia" w:cstheme="minorEastAsia"/>
                                  <w:b/>
                                  <w:color w:val="000000"/>
                                  <w:spacing w:val="4"/>
                                  <w:w w:val="102"/>
                                  <w:kern w:val="0"/>
                                  <w:sz w:val="18"/>
                                </w:rPr>
                                <w:t>线</w:t>
                              </w:r>
                              <w:r>
                                <w:rPr>
                                  <w:rFonts w:hint="eastAsia" w:asciiTheme="minorEastAsia" w:hAnsiTheme="minorEastAsia" w:eastAsiaTheme="minorEastAsia" w:cstheme="minorEastAsia"/>
                                  <w:b/>
                                  <w:color w:val="000000"/>
                                  <w:spacing w:val="2"/>
                                  <w:w w:val="101"/>
                                  <w:kern w:val="0"/>
                                  <w:sz w:val="18"/>
                                </w:rPr>
                                <w:t>监</w:t>
                              </w:r>
                              <w:r>
                                <w:rPr>
                                  <w:rFonts w:hint="eastAsia" w:asciiTheme="minorEastAsia" w:hAnsiTheme="minorEastAsia" w:eastAsiaTheme="minorEastAsia" w:cstheme="minorEastAsia"/>
                                  <w:b/>
                                  <w:color w:val="000000"/>
                                  <w:spacing w:val="2"/>
                                  <w:w w:val="102"/>
                                  <w:kern w:val="0"/>
                                  <w:sz w:val="18"/>
                                </w:rPr>
                                <w:t>测</w:t>
                              </w:r>
                              <w:r>
                                <w:rPr>
                                  <w:rFonts w:hint="eastAsia" w:asciiTheme="minorEastAsia" w:hAnsiTheme="minorEastAsia" w:eastAsiaTheme="minorEastAsia" w:cstheme="minorEastAsia"/>
                                  <w:b/>
                                  <w:color w:val="000000"/>
                                  <w:spacing w:val="4"/>
                                  <w:w w:val="101"/>
                                  <w:kern w:val="0"/>
                                  <w:sz w:val="18"/>
                                </w:rPr>
                                <w:t>单</w:t>
                              </w:r>
                              <w:r>
                                <w:rPr>
                                  <w:rFonts w:hint="eastAsia" w:asciiTheme="minorEastAsia" w:hAnsiTheme="minorEastAsia" w:eastAsiaTheme="minorEastAsia" w:cstheme="minorEastAsia"/>
                                  <w:b/>
                                  <w:color w:val="000000"/>
                                  <w:w w:val="102"/>
                                  <w:kern w:val="0"/>
                                  <w:sz w:val="18"/>
                                </w:rPr>
                                <w:t>元</w:t>
                              </w:r>
                            </w:p>
                          </w:txbxContent>
                        </wps:txbx>
                        <wps:bodyPr lIns="0" tIns="0" rIns="0" bIns="0" upright="1"/>
                      </wps:wsp>
                      <wps:wsp>
                        <wps:cNvPr id="14" name="文本框 14"/>
                        <wps:cNvSpPr txBox="1"/>
                        <wps:spPr>
                          <a:xfrm>
                            <a:off x="7604" y="73354"/>
                            <a:ext cx="1316" cy="372"/>
                          </a:xfrm>
                          <a:prstGeom prst="rect">
                            <a:avLst/>
                          </a:prstGeom>
                          <a:noFill/>
                          <a:ln w="4724" cap="flat" cmpd="sng">
                            <a:solidFill>
                              <a:srgbClr val="000000"/>
                            </a:solidFill>
                            <a:prstDash val="solid"/>
                            <a:miter/>
                            <a:headEnd type="none" w="med" len="med"/>
                            <a:tailEnd type="none" w="med" len="med"/>
                          </a:ln>
                        </wps:spPr>
                        <wps:txbx>
                          <w:txbxContent>
                            <w:p>
                              <w:pPr>
                                <w:autoSpaceDE w:val="0"/>
                                <w:autoSpaceDN w:val="0"/>
                                <w:spacing w:before="101" w:line="185" w:lineRule="exact"/>
                                <w:ind w:left="95"/>
                                <w:jc w:val="left"/>
                              </w:pPr>
                              <w:r>
                                <w:rPr>
                                  <w:rFonts w:ascii="宋体" w:hAnsi="宋体" w:cs="宋体"/>
                                  <w:b/>
                                  <w:color w:val="000000"/>
                                  <w:spacing w:val="-2"/>
                                  <w:w w:val="105"/>
                                  <w:kern w:val="0"/>
                                  <w:sz w:val="18"/>
                                </w:rPr>
                                <w:t>数</w:t>
                              </w:r>
                              <w:r>
                                <w:rPr>
                                  <w:rFonts w:ascii="宋体" w:hAnsi="宋体" w:cs="宋体"/>
                                  <w:b/>
                                  <w:color w:val="000000"/>
                                  <w:spacing w:val="4"/>
                                  <w:w w:val="102"/>
                                  <w:kern w:val="0"/>
                                  <w:sz w:val="18"/>
                                </w:rPr>
                                <w:t>据</w:t>
                              </w:r>
                              <w:r>
                                <w:rPr>
                                  <w:rFonts w:ascii="宋体" w:hAnsi="宋体" w:cs="宋体"/>
                                  <w:b/>
                                  <w:color w:val="000000"/>
                                  <w:spacing w:val="2"/>
                                  <w:w w:val="101"/>
                                  <w:kern w:val="0"/>
                                  <w:sz w:val="18"/>
                                </w:rPr>
                                <w:t>应</w:t>
                              </w:r>
                              <w:r>
                                <w:rPr>
                                  <w:rFonts w:ascii="宋体" w:hAnsi="宋体" w:cs="宋体"/>
                                  <w:b/>
                                  <w:color w:val="000000"/>
                                  <w:spacing w:val="2"/>
                                  <w:w w:val="102"/>
                                  <w:kern w:val="0"/>
                                  <w:sz w:val="18"/>
                                </w:rPr>
                                <w:t>用</w:t>
                              </w:r>
                              <w:r>
                                <w:rPr>
                                  <w:rFonts w:ascii="宋体" w:hAnsi="宋体" w:cs="宋体"/>
                                  <w:b/>
                                  <w:color w:val="000000"/>
                                  <w:spacing w:val="4"/>
                                  <w:w w:val="101"/>
                                  <w:kern w:val="0"/>
                                  <w:sz w:val="18"/>
                                </w:rPr>
                                <w:t>单</w:t>
                              </w:r>
                              <w:r>
                                <w:rPr>
                                  <w:rFonts w:ascii="宋体" w:hAnsi="宋体" w:cs="宋体"/>
                                  <w:b/>
                                  <w:color w:val="000000"/>
                                  <w:w w:val="102"/>
                                  <w:kern w:val="0"/>
                                  <w:sz w:val="18"/>
                                </w:rPr>
                                <w:t>元</w:t>
                              </w:r>
                            </w:p>
                          </w:txbxContent>
                        </wps:txbx>
                        <wps:bodyPr lIns="0" tIns="0" rIns="0" bIns="0" upright="1"/>
                      </wps:wsp>
                      <wps:wsp>
                        <wps:cNvPr id="22" name="文本框 22"/>
                        <wps:cNvSpPr txBox="1"/>
                        <wps:spPr>
                          <a:xfrm>
                            <a:off x="7603" y="73728"/>
                            <a:ext cx="1316" cy="975"/>
                          </a:xfrm>
                          <a:prstGeom prst="rect">
                            <a:avLst/>
                          </a:prstGeom>
                          <a:noFill/>
                          <a:ln w="4724" cap="flat" cmpd="sng">
                            <a:solidFill>
                              <a:srgbClr val="000000"/>
                            </a:solidFill>
                            <a:prstDash val="solid"/>
                            <a:miter/>
                            <a:headEnd type="none" w="med" len="med"/>
                            <a:tailEnd type="none" w="med" len="med"/>
                          </a:ln>
                        </wps:spPr>
                        <wps:txbx>
                          <w:txbxContent>
                            <w:p>
                              <w:pPr>
                                <w:autoSpaceDE w:val="0"/>
                                <w:autoSpaceDN w:val="0"/>
                                <w:spacing w:before="255" w:line="185" w:lineRule="exact"/>
                                <w:ind w:left="284"/>
                                <w:jc w:val="left"/>
                              </w:pPr>
                              <w:r>
                                <w:rPr>
                                  <w:rFonts w:ascii="宋体" w:hAnsi="宋体" w:cs="宋体"/>
                                  <w:bCs/>
                                  <w:color w:val="000000"/>
                                  <w:spacing w:val="-2"/>
                                  <w:w w:val="105"/>
                                  <w:kern w:val="0"/>
                                  <w:sz w:val="18"/>
                                </w:rPr>
                                <w:t>监控</w:t>
                              </w:r>
                              <w:r>
                                <w:rPr>
                                  <w:rFonts w:ascii="宋体" w:hAnsi="宋体" w:cs="宋体"/>
                                  <w:bCs/>
                                  <w:color w:val="000000"/>
                                  <w:spacing w:val="5"/>
                                  <w:w w:val="101"/>
                                  <w:kern w:val="0"/>
                                  <w:sz w:val="18"/>
                                </w:rPr>
                                <w:t>平</w:t>
                              </w:r>
                              <w:r>
                                <w:rPr>
                                  <w:rFonts w:ascii="宋体" w:hAnsi="宋体" w:cs="宋体"/>
                                  <w:bCs/>
                                  <w:color w:val="000000"/>
                                  <w:spacing w:val="2"/>
                                  <w:kern w:val="0"/>
                                  <w:sz w:val="18"/>
                                </w:rPr>
                                <w:t>台</w:t>
                              </w:r>
                            </w:p>
                            <w:p>
                              <w:pPr>
                                <w:autoSpaceDE w:val="0"/>
                                <w:autoSpaceDN w:val="0"/>
                                <w:spacing w:before="111" w:line="185" w:lineRule="exact"/>
                                <w:ind w:left="331"/>
                                <w:jc w:val="left"/>
                              </w:pPr>
                              <w:r>
                                <w:rPr>
                                  <w:rFonts w:ascii="宋体" w:hAnsi="宋体" w:cs="宋体"/>
                                  <w:bCs/>
                                  <w:color w:val="000000"/>
                                  <w:spacing w:val="-2"/>
                                  <w:w w:val="105"/>
                                  <w:kern w:val="0"/>
                                  <w:sz w:val="18"/>
                                </w:rPr>
                                <w:t>移动</w:t>
                              </w:r>
                              <w:r>
                                <w:rPr>
                                  <w:rFonts w:hint="eastAsia" w:ascii="宋体" w:hAnsi="宋体" w:cs="宋体"/>
                                  <w:bCs/>
                                  <w:color w:val="000000"/>
                                  <w:spacing w:val="-1"/>
                                  <w:w w:val="105"/>
                                  <w:kern w:val="0"/>
                                  <w:sz w:val="18"/>
                                </w:rPr>
                                <w:t>端</w:t>
                              </w:r>
                            </w:p>
                          </w:txbxContent>
                        </wps:txbx>
                        <wps:bodyPr lIns="0" tIns="0" rIns="0" bIns="0" upright="1"/>
                      </wps:wsp>
                      <wpg:grpSp>
                        <wpg:cNvPr id="11" name="组合 11"/>
                        <wpg:cNvGrpSpPr/>
                        <wpg:grpSpPr>
                          <a:xfrm>
                            <a:off x="3364" y="73732"/>
                            <a:ext cx="3834" cy="976"/>
                            <a:chOff x="0" y="100"/>
                            <a:chExt cx="19245" cy="4885"/>
                          </a:xfrm>
                        </wpg:grpSpPr>
                        <wps:wsp>
                          <wps:cNvPr id="17" name="文本框 17"/>
                          <wps:cNvSpPr txBox="1"/>
                          <wps:spPr>
                            <a:xfrm>
                              <a:off x="0" y="105"/>
                              <a:ext cx="10305" cy="4880"/>
                            </a:xfrm>
                            <a:prstGeom prst="rect">
                              <a:avLst/>
                            </a:prstGeom>
                            <a:noFill/>
                            <a:ln w="4724" cap="flat" cmpd="sng">
                              <a:solidFill>
                                <a:srgbClr val="000000"/>
                              </a:solidFill>
                              <a:prstDash val="solid"/>
                              <a:miter/>
                              <a:headEnd type="none" w="med" len="med"/>
                              <a:tailEnd type="none" w="med" len="med"/>
                            </a:ln>
                          </wps:spPr>
                          <wps:txbx>
                            <w:txbxContent>
                              <w:p>
                                <w:pPr>
                                  <w:autoSpaceDE w:val="0"/>
                                  <w:autoSpaceDN w:val="0"/>
                                  <w:spacing w:line="294" w:lineRule="exact"/>
                                  <w:ind w:firstLine="185" w:firstLineChars="100"/>
                                  <w:jc w:val="left"/>
                                  <w:rPr>
                                    <w:rFonts w:ascii="宋体" w:hAnsi="宋体" w:cs="宋体"/>
                                    <w:bCs/>
                                    <w:color w:val="000000"/>
                                    <w:kern w:val="0"/>
                                    <w:sz w:val="18"/>
                                    <w:szCs w:val="18"/>
                                  </w:rPr>
                                </w:pPr>
                                <w:r>
                                  <w:rPr>
                                    <w:rFonts w:ascii="宋体" w:hAnsi="宋体" w:cs="宋体"/>
                                    <w:bCs/>
                                    <w:color w:val="000000"/>
                                    <w:spacing w:val="-2"/>
                                    <w:w w:val="105"/>
                                    <w:kern w:val="0"/>
                                    <w:sz w:val="18"/>
                                    <w:szCs w:val="18"/>
                                  </w:rPr>
                                  <w:t>扬尘</w:t>
                                </w:r>
                                <w:r>
                                  <w:rPr>
                                    <w:rFonts w:ascii="宋体" w:hAnsi="宋体" w:cs="宋体"/>
                                    <w:bCs/>
                                    <w:color w:val="000000"/>
                                    <w:spacing w:val="5"/>
                                    <w:w w:val="101"/>
                                    <w:kern w:val="0"/>
                                    <w:sz w:val="18"/>
                                    <w:szCs w:val="18"/>
                                  </w:rPr>
                                  <w:t>在</w:t>
                                </w:r>
                                <w:r>
                                  <w:rPr>
                                    <w:rFonts w:ascii="宋体" w:hAnsi="宋体" w:cs="宋体"/>
                                    <w:bCs/>
                                    <w:color w:val="000000"/>
                                    <w:spacing w:val="2"/>
                                    <w:kern w:val="0"/>
                                    <w:sz w:val="18"/>
                                    <w:szCs w:val="18"/>
                                  </w:rPr>
                                  <w:t>线</w:t>
                                </w:r>
                                <w:r>
                                  <w:rPr>
                                    <w:rFonts w:ascii="宋体" w:hAnsi="宋体" w:cs="宋体"/>
                                    <w:bCs/>
                                    <w:color w:val="000000"/>
                                    <w:spacing w:val="5"/>
                                    <w:kern w:val="0"/>
                                    <w:sz w:val="18"/>
                                    <w:szCs w:val="18"/>
                                  </w:rPr>
                                  <w:t>监</w:t>
                                </w:r>
                                <w:r>
                                  <w:rPr>
                                    <w:rFonts w:ascii="宋体" w:hAnsi="宋体" w:cs="宋体"/>
                                    <w:bCs/>
                                    <w:color w:val="000000"/>
                                    <w:spacing w:val="-7"/>
                                    <w:w w:val="105"/>
                                    <w:kern w:val="0"/>
                                    <w:sz w:val="18"/>
                                    <w:szCs w:val="18"/>
                                  </w:rPr>
                                  <w:t>测</w:t>
                                </w:r>
                                <w:r>
                                  <w:rPr>
                                    <w:rFonts w:ascii="宋体" w:hAnsi="宋体" w:cs="宋体"/>
                                    <w:bCs/>
                                    <w:color w:val="000000"/>
                                    <w:spacing w:val="-2"/>
                                    <w:w w:val="105"/>
                                    <w:kern w:val="0"/>
                                    <w:sz w:val="18"/>
                                    <w:szCs w:val="18"/>
                                  </w:rPr>
                                  <w:t>仪</w:t>
                                </w:r>
                              </w:p>
                              <w:p>
                                <w:pPr>
                                  <w:autoSpaceDE w:val="0"/>
                                  <w:autoSpaceDN w:val="0"/>
                                  <w:spacing w:line="294" w:lineRule="exact"/>
                                  <w:ind w:firstLine="185" w:firstLineChars="100"/>
                                  <w:jc w:val="left"/>
                                  <w:rPr>
                                    <w:rFonts w:ascii="宋体" w:hAnsi="宋体" w:cs="宋体"/>
                                    <w:bCs/>
                                    <w:color w:val="000000"/>
                                    <w:w w:val="94"/>
                                    <w:kern w:val="0"/>
                                    <w:sz w:val="18"/>
                                    <w:szCs w:val="18"/>
                                  </w:rPr>
                                </w:pPr>
                                <w:r>
                                  <w:rPr>
                                    <w:rFonts w:ascii="宋体" w:hAnsi="宋体" w:cs="宋体"/>
                                    <w:bCs/>
                                    <w:color w:val="000000"/>
                                    <w:spacing w:val="-2"/>
                                    <w:w w:val="105"/>
                                    <w:kern w:val="0"/>
                                    <w:sz w:val="18"/>
                                    <w:szCs w:val="18"/>
                                  </w:rPr>
                                  <w:t>视频</w:t>
                                </w:r>
                                <w:r>
                                  <w:rPr>
                                    <w:rFonts w:ascii="宋体" w:hAnsi="宋体" w:cs="宋体"/>
                                    <w:bCs/>
                                    <w:color w:val="000000"/>
                                    <w:spacing w:val="5"/>
                                    <w:w w:val="101"/>
                                    <w:kern w:val="0"/>
                                    <w:sz w:val="18"/>
                                    <w:szCs w:val="18"/>
                                  </w:rPr>
                                  <w:t>监</w:t>
                                </w:r>
                                <w:r>
                                  <w:rPr>
                                    <w:rFonts w:ascii="宋体" w:hAnsi="宋体" w:cs="宋体"/>
                                    <w:bCs/>
                                    <w:color w:val="000000"/>
                                    <w:spacing w:val="2"/>
                                    <w:kern w:val="0"/>
                                    <w:sz w:val="18"/>
                                    <w:szCs w:val="18"/>
                                  </w:rPr>
                                  <w:t>控</w:t>
                                </w:r>
                                <w:r>
                                  <w:rPr>
                                    <w:rFonts w:ascii="宋体" w:hAnsi="宋体" w:cs="宋体"/>
                                    <w:bCs/>
                                    <w:color w:val="000000"/>
                                    <w:spacing w:val="5"/>
                                    <w:kern w:val="0"/>
                                    <w:sz w:val="18"/>
                                    <w:szCs w:val="18"/>
                                  </w:rPr>
                                  <w:t>单</w:t>
                                </w:r>
                                <w:r>
                                  <w:rPr>
                                    <w:rFonts w:ascii="宋体" w:hAnsi="宋体" w:cs="宋体"/>
                                    <w:bCs/>
                                    <w:color w:val="000000"/>
                                    <w:spacing w:val="-7"/>
                                    <w:w w:val="105"/>
                                    <w:kern w:val="0"/>
                                    <w:sz w:val="18"/>
                                    <w:szCs w:val="18"/>
                                  </w:rPr>
                                  <w:t>元</w:t>
                                </w:r>
                              </w:p>
                              <w:p>
                                <w:pPr>
                                  <w:autoSpaceDE w:val="0"/>
                                  <w:autoSpaceDN w:val="0"/>
                                  <w:spacing w:line="294" w:lineRule="exact"/>
                                  <w:ind w:firstLine="185" w:firstLineChars="100"/>
                                  <w:jc w:val="left"/>
                                  <w:rPr>
                                    <w:sz w:val="18"/>
                                    <w:szCs w:val="18"/>
                                  </w:rPr>
                                </w:pPr>
                                <w:r>
                                  <w:rPr>
                                    <w:rFonts w:ascii="宋体" w:hAnsi="宋体" w:cs="宋体"/>
                                    <w:bCs/>
                                    <w:color w:val="000000"/>
                                    <w:spacing w:val="-2"/>
                                    <w:w w:val="105"/>
                                    <w:kern w:val="0"/>
                                    <w:sz w:val="18"/>
                                    <w:szCs w:val="18"/>
                                  </w:rPr>
                                  <w:t>气象</w:t>
                                </w:r>
                                <w:r>
                                  <w:rPr>
                                    <w:rFonts w:ascii="宋体" w:hAnsi="宋体" w:cs="宋体"/>
                                    <w:bCs/>
                                    <w:color w:val="000000"/>
                                    <w:spacing w:val="5"/>
                                    <w:w w:val="101"/>
                                    <w:kern w:val="0"/>
                                    <w:sz w:val="18"/>
                                    <w:szCs w:val="18"/>
                                  </w:rPr>
                                  <w:t>传</w:t>
                                </w:r>
                                <w:r>
                                  <w:rPr>
                                    <w:rFonts w:ascii="宋体" w:hAnsi="宋体" w:cs="宋体"/>
                                    <w:bCs/>
                                    <w:color w:val="000000"/>
                                    <w:spacing w:val="2"/>
                                    <w:kern w:val="0"/>
                                    <w:sz w:val="18"/>
                                    <w:szCs w:val="18"/>
                                  </w:rPr>
                                  <w:t>感</w:t>
                                </w:r>
                                <w:r>
                                  <w:rPr>
                                    <w:rFonts w:ascii="宋体" w:hAnsi="宋体" w:cs="宋体"/>
                                    <w:bCs/>
                                    <w:color w:val="000000"/>
                                    <w:spacing w:val="5"/>
                                    <w:kern w:val="0"/>
                                    <w:sz w:val="18"/>
                                    <w:szCs w:val="18"/>
                                  </w:rPr>
                                  <w:t>器</w:t>
                                </w:r>
                              </w:p>
                            </w:txbxContent>
                          </wps:txbx>
                          <wps:bodyPr lIns="0" tIns="0" rIns="0" bIns="0" upright="1"/>
                        </wps:wsp>
                        <wps:wsp>
                          <wps:cNvPr id="18" name="文本框 18"/>
                          <wps:cNvSpPr txBox="1"/>
                          <wps:spPr>
                            <a:xfrm>
                              <a:off x="12323" y="100"/>
                              <a:ext cx="6922" cy="4880"/>
                            </a:xfrm>
                            <a:prstGeom prst="rect">
                              <a:avLst/>
                            </a:prstGeom>
                            <a:noFill/>
                            <a:ln w="4724" cap="flat" cmpd="sng">
                              <a:solidFill>
                                <a:srgbClr val="000000"/>
                              </a:solidFill>
                              <a:prstDash val="solid"/>
                              <a:miter/>
                              <a:headEnd type="none" w="med" len="med"/>
                              <a:tailEnd type="none" w="med" len="med"/>
                            </a:ln>
                          </wps:spPr>
                          <wps:txbx>
                            <w:txbxContent>
                              <w:p>
                                <w:pPr>
                                  <w:autoSpaceDE w:val="0"/>
                                  <w:autoSpaceDN w:val="0"/>
                                  <w:spacing w:before="107" w:line="185" w:lineRule="exact"/>
                                  <w:ind w:left="318"/>
                                  <w:jc w:val="left"/>
                                </w:pPr>
                                <w:r>
                                  <w:rPr>
                                    <w:rFonts w:ascii="宋体" w:hAnsi="宋体" w:cs="宋体"/>
                                    <w:bCs/>
                                    <w:color w:val="000000"/>
                                    <w:spacing w:val="-2"/>
                                    <w:w w:val="105"/>
                                    <w:kern w:val="0"/>
                                    <w:sz w:val="18"/>
                                  </w:rPr>
                                  <w:t>数据</w:t>
                                </w:r>
                                <w:r>
                                  <w:rPr>
                                    <w:rFonts w:ascii="宋体" w:hAnsi="宋体" w:cs="宋体"/>
                                    <w:bCs/>
                                    <w:color w:val="000000"/>
                                    <w:spacing w:val="5"/>
                                    <w:w w:val="101"/>
                                    <w:kern w:val="0"/>
                                    <w:sz w:val="18"/>
                                  </w:rPr>
                                  <w:t>采</w:t>
                                </w:r>
                                <w:r>
                                  <w:rPr>
                                    <w:rFonts w:ascii="宋体" w:hAnsi="宋体" w:cs="宋体"/>
                                    <w:bCs/>
                                    <w:color w:val="000000"/>
                                    <w:spacing w:val="2"/>
                                    <w:kern w:val="0"/>
                                    <w:sz w:val="18"/>
                                  </w:rPr>
                                  <w:t>集</w:t>
                                </w:r>
                              </w:p>
                              <w:p>
                                <w:pPr>
                                  <w:autoSpaceDE w:val="0"/>
                                  <w:autoSpaceDN w:val="0"/>
                                  <w:spacing w:before="111" w:line="185" w:lineRule="exact"/>
                                  <w:ind w:left="318"/>
                                  <w:jc w:val="left"/>
                                </w:pPr>
                                <w:r>
                                  <w:rPr>
                                    <w:rFonts w:ascii="宋体" w:hAnsi="宋体" w:cs="宋体"/>
                                    <w:bCs/>
                                    <w:color w:val="000000"/>
                                    <w:spacing w:val="-2"/>
                                    <w:w w:val="105"/>
                                    <w:kern w:val="0"/>
                                    <w:sz w:val="18"/>
                                  </w:rPr>
                                  <w:t>数据</w:t>
                                </w:r>
                                <w:r>
                                  <w:rPr>
                                    <w:rFonts w:ascii="宋体" w:hAnsi="宋体" w:cs="宋体"/>
                                    <w:bCs/>
                                    <w:color w:val="000000"/>
                                    <w:spacing w:val="5"/>
                                    <w:w w:val="101"/>
                                    <w:kern w:val="0"/>
                                    <w:sz w:val="18"/>
                                  </w:rPr>
                                  <w:t>传</w:t>
                                </w:r>
                                <w:r>
                                  <w:rPr>
                                    <w:rFonts w:ascii="宋体" w:hAnsi="宋体" w:cs="宋体"/>
                                    <w:bCs/>
                                    <w:color w:val="000000"/>
                                    <w:spacing w:val="2"/>
                                    <w:kern w:val="0"/>
                                    <w:sz w:val="18"/>
                                  </w:rPr>
                                  <w:t>输</w:t>
                                </w:r>
                              </w:p>
                              <w:p>
                                <w:pPr>
                                  <w:autoSpaceDE w:val="0"/>
                                  <w:autoSpaceDN w:val="0"/>
                                  <w:spacing w:before="111" w:line="185" w:lineRule="exact"/>
                                  <w:ind w:left="318"/>
                                  <w:jc w:val="left"/>
                                </w:pPr>
                                <w:r>
                                  <w:rPr>
                                    <w:rFonts w:ascii="宋体" w:hAnsi="宋体" w:cs="宋体"/>
                                    <w:bCs/>
                                    <w:color w:val="000000"/>
                                    <w:spacing w:val="-2"/>
                                    <w:w w:val="105"/>
                                    <w:kern w:val="0"/>
                                    <w:sz w:val="18"/>
                                  </w:rPr>
                                  <w:t>数据</w:t>
                                </w:r>
                                <w:r>
                                  <w:rPr>
                                    <w:rFonts w:ascii="宋体" w:hAnsi="宋体" w:cs="宋体"/>
                                    <w:bCs/>
                                    <w:color w:val="000000"/>
                                    <w:spacing w:val="5"/>
                                    <w:w w:val="101"/>
                                    <w:kern w:val="0"/>
                                    <w:sz w:val="18"/>
                                  </w:rPr>
                                  <w:t>存</w:t>
                                </w:r>
                                <w:r>
                                  <w:rPr>
                                    <w:rFonts w:ascii="宋体" w:hAnsi="宋体" w:cs="宋体"/>
                                    <w:bCs/>
                                    <w:color w:val="000000"/>
                                    <w:spacing w:val="2"/>
                                    <w:kern w:val="0"/>
                                    <w:sz w:val="18"/>
                                  </w:rPr>
                                  <w:t>储</w:t>
                                </w:r>
                              </w:p>
                            </w:txbxContent>
                          </wps:txbx>
                          <wps:bodyPr lIns="0" tIns="0" rIns="0" bIns="0" upright="1"/>
                        </wps:wsp>
                      </wpg:grpSp>
                      <wps:wsp>
                        <wps:cNvPr id="24" name="直接箭头连接符 24"/>
                        <wps:cNvCnPr/>
                        <wps:spPr>
                          <a:xfrm flipV="1">
                            <a:off x="5429" y="74120"/>
                            <a:ext cx="396" cy="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a:off x="7203" y="74145"/>
                            <a:ext cx="413" cy="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26" o:spid="_x0000_s1026" o:spt="203" style="height:67.7pt;width:277.8pt;" coordorigin="3364,73354" coordsize="5556,1354" o:gfxdata="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">
                <o:lock v:ext="edit" aspectratio="f"/>
                <v:shape id="_x0000_s1026" o:spid="_x0000_s1026" o:spt="202" type="#_x0000_t202" style="position:absolute;left:5816;top:73363;height:370;width:1383;" filled="f" stroked="t" coordsize="21600,21600" o:gfxdata="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SOdbsAAADb&#10;AAAADwAAAAAAAAABACAAAAAiAAAAZHJzL2Rvd25yZXYueG1sUEsBAhQAFAAAAAgAh07iQDMvBZ47&#10;AAAAOQAAABAAAAAAAAAAAQAgAAAACgEAAGRycy9zaGFwZXhtbC54bWxQSwUGAAAAAAYABgBbAQAA&#10;tAMAAAAA&#10;">
                  <v:fill on="f" focussize="0,0"/>
                  <v:stroke weight="0.371968503937008pt" color="#000000" joinstyle="miter"/>
                  <v:imagedata o:title=""/>
                  <o:lock v:ext="edit" aspectratio="f"/>
                  <v:textbox inset="0mm,0mm,0mm,0mm">
                    <w:txbxContent>
                      <w:p>
                        <w:pPr>
                          <w:autoSpaceDE w:val="0"/>
                          <w:autoSpaceDN w:val="0"/>
                          <w:spacing w:before="101" w:line="185" w:lineRule="exact"/>
                          <w:ind w:left="129"/>
                          <w:jc w:val="left"/>
                        </w:pPr>
                        <w:r>
                          <w:rPr>
                            <w:rFonts w:ascii="宋体" w:hAnsi="宋体" w:cs="宋体"/>
                            <w:b/>
                            <w:color w:val="000000"/>
                            <w:spacing w:val="-2"/>
                            <w:w w:val="105"/>
                            <w:kern w:val="0"/>
                            <w:sz w:val="18"/>
                          </w:rPr>
                          <w:t>数</w:t>
                        </w:r>
                        <w:r>
                          <w:rPr>
                            <w:rFonts w:ascii="宋体" w:hAnsi="宋体" w:cs="宋体"/>
                            <w:b/>
                            <w:color w:val="000000"/>
                            <w:spacing w:val="4"/>
                            <w:w w:val="102"/>
                            <w:kern w:val="0"/>
                            <w:sz w:val="18"/>
                          </w:rPr>
                          <w:t>据</w:t>
                        </w:r>
                        <w:r>
                          <w:rPr>
                            <w:rFonts w:ascii="宋体" w:hAnsi="宋体" w:cs="宋体"/>
                            <w:b/>
                            <w:color w:val="000000"/>
                            <w:spacing w:val="2"/>
                            <w:w w:val="101"/>
                            <w:kern w:val="0"/>
                            <w:sz w:val="18"/>
                          </w:rPr>
                          <w:t>处</w:t>
                        </w:r>
                        <w:r>
                          <w:rPr>
                            <w:rFonts w:ascii="宋体" w:hAnsi="宋体" w:cs="宋体"/>
                            <w:b/>
                            <w:color w:val="000000"/>
                            <w:spacing w:val="2"/>
                            <w:w w:val="102"/>
                            <w:kern w:val="0"/>
                            <w:sz w:val="18"/>
                          </w:rPr>
                          <w:t>理</w:t>
                        </w:r>
                        <w:r>
                          <w:rPr>
                            <w:rFonts w:ascii="宋体" w:hAnsi="宋体" w:cs="宋体"/>
                            <w:b/>
                            <w:color w:val="000000"/>
                            <w:spacing w:val="4"/>
                            <w:w w:val="101"/>
                            <w:kern w:val="0"/>
                            <w:sz w:val="18"/>
                          </w:rPr>
                          <w:t>单</w:t>
                        </w:r>
                        <w:r>
                          <w:rPr>
                            <w:rFonts w:ascii="宋体" w:hAnsi="宋体" w:cs="宋体"/>
                            <w:b/>
                            <w:color w:val="000000"/>
                            <w:w w:val="102"/>
                            <w:kern w:val="0"/>
                            <w:sz w:val="18"/>
                          </w:rPr>
                          <w:t>元</w:t>
                        </w:r>
                      </w:p>
                    </w:txbxContent>
                  </v:textbox>
                </v:shape>
                <v:shape id="_x0000_s1026" o:spid="_x0000_s1026" o:spt="202" type="#_x0000_t202" style="position:absolute;left:3371;top:73366;height:370;width:2046;" filled="f" stroked="t" coordsize="21600,21600" o:gfxdata="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CvuugAAANsA&#10;AAAPAAAAAAAAAAEAIAAAACIAAABkcnMvZG93bnJldi54bWxQSwECFAAUAAAACACHTuJAMy8FnjsA&#10;AAA5AAAAEAAAAAAAAAABACAAAAAJAQAAZHJzL3NoYXBleG1sLnhtbFBLBQYAAAAABgAGAFsBAACz&#10;AwAAAAA=&#10;">
                  <v:fill on="f" focussize="0,0"/>
                  <v:stroke weight="0.371968503937008pt" color="#000000" joinstyle="miter"/>
                  <v:imagedata o:title=""/>
                  <o:lock v:ext="edit" aspectratio="f"/>
                  <v:textbox inset="0mm,0mm,0mm,0mm">
                    <w:txbxContent>
                      <w:p>
                        <w:pPr>
                          <w:autoSpaceDE w:val="0"/>
                          <w:autoSpaceDN w:val="0"/>
                          <w:spacing w:before="101" w:line="185" w:lineRule="exact"/>
                          <w:ind w:left="460"/>
                          <w:jc w:val="left"/>
                          <w:rPr>
                            <w:rFonts w:ascii="黑体" w:hAnsi="黑体" w:eastAsia="黑体" w:cs="黑体"/>
                            <w:bCs/>
                          </w:rPr>
                        </w:pPr>
                        <w:r>
                          <w:rPr>
                            <w:rFonts w:hint="eastAsia" w:asciiTheme="minorEastAsia" w:hAnsiTheme="minorEastAsia" w:eastAsiaTheme="minorEastAsia" w:cstheme="minorEastAsia"/>
                            <w:b/>
                            <w:color w:val="000000"/>
                            <w:spacing w:val="-2"/>
                            <w:w w:val="105"/>
                            <w:kern w:val="0"/>
                            <w:sz w:val="18"/>
                          </w:rPr>
                          <w:t>在</w:t>
                        </w:r>
                        <w:r>
                          <w:rPr>
                            <w:rFonts w:hint="eastAsia" w:asciiTheme="minorEastAsia" w:hAnsiTheme="minorEastAsia" w:eastAsiaTheme="minorEastAsia" w:cstheme="minorEastAsia"/>
                            <w:b/>
                            <w:color w:val="000000"/>
                            <w:spacing w:val="4"/>
                            <w:w w:val="102"/>
                            <w:kern w:val="0"/>
                            <w:sz w:val="18"/>
                          </w:rPr>
                          <w:t>线</w:t>
                        </w:r>
                        <w:r>
                          <w:rPr>
                            <w:rFonts w:hint="eastAsia" w:asciiTheme="minorEastAsia" w:hAnsiTheme="minorEastAsia" w:eastAsiaTheme="minorEastAsia" w:cstheme="minorEastAsia"/>
                            <w:b/>
                            <w:color w:val="000000"/>
                            <w:spacing w:val="2"/>
                            <w:w w:val="101"/>
                            <w:kern w:val="0"/>
                            <w:sz w:val="18"/>
                          </w:rPr>
                          <w:t>监</w:t>
                        </w:r>
                        <w:r>
                          <w:rPr>
                            <w:rFonts w:hint="eastAsia" w:asciiTheme="minorEastAsia" w:hAnsiTheme="minorEastAsia" w:eastAsiaTheme="minorEastAsia" w:cstheme="minorEastAsia"/>
                            <w:b/>
                            <w:color w:val="000000"/>
                            <w:spacing w:val="2"/>
                            <w:w w:val="102"/>
                            <w:kern w:val="0"/>
                            <w:sz w:val="18"/>
                          </w:rPr>
                          <w:t>测</w:t>
                        </w:r>
                        <w:r>
                          <w:rPr>
                            <w:rFonts w:hint="eastAsia" w:asciiTheme="minorEastAsia" w:hAnsiTheme="minorEastAsia" w:eastAsiaTheme="minorEastAsia" w:cstheme="minorEastAsia"/>
                            <w:b/>
                            <w:color w:val="000000"/>
                            <w:spacing w:val="4"/>
                            <w:w w:val="101"/>
                            <w:kern w:val="0"/>
                            <w:sz w:val="18"/>
                          </w:rPr>
                          <w:t>单</w:t>
                        </w:r>
                        <w:r>
                          <w:rPr>
                            <w:rFonts w:hint="eastAsia" w:asciiTheme="minorEastAsia" w:hAnsiTheme="minorEastAsia" w:eastAsiaTheme="minorEastAsia" w:cstheme="minorEastAsia"/>
                            <w:b/>
                            <w:color w:val="000000"/>
                            <w:w w:val="102"/>
                            <w:kern w:val="0"/>
                            <w:sz w:val="18"/>
                          </w:rPr>
                          <w:t>元</w:t>
                        </w:r>
                      </w:p>
                    </w:txbxContent>
                  </v:textbox>
                </v:shape>
                <v:shape id="_x0000_s1026" o:spid="_x0000_s1026" o:spt="202" type="#_x0000_t202" style="position:absolute;left:7604;top:73354;height:372;width:1316;" filled="f" stroked="t" coordsize="21600,21600" o:gfxdata="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XRYBugAAANsA&#10;AAAPAAAAAAAAAAEAIAAAACIAAABkcnMvZG93bnJldi54bWxQSwECFAAUAAAACACHTuJAMy8FnjsA&#10;AAA5AAAAEAAAAAAAAAABACAAAAAJAQAAZHJzL3NoYXBleG1sLnhtbFBLBQYAAAAABgAGAFsBAACz&#10;AwAAAAA=&#10;">
                  <v:fill on="f" focussize="0,0"/>
                  <v:stroke weight="0.371968503937008pt" color="#000000" joinstyle="miter"/>
                  <v:imagedata o:title=""/>
                  <o:lock v:ext="edit" aspectratio="f"/>
                  <v:textbox inset="0mm,0mm,0mm,0mm">
                    <w:txbxContent>
                      <w:p>
                        <w:pPr>
                          <w:autoSpaceDE w:val="0"/>
                          <w:autoSpaceDN w:val="0"/>
                          <w:spacing w:before="101" w:line="185" w:lineRule="exact"/>
                          <w:ind w:left="95"/>
                          <w:jc w:val="left"/>
                        </w:pPr>
                        <w:r>
                          <w:rPr>
                            <w:rFonts w:ascii="宋体" w:hAnsi="宋体" w:cs="宋体"/>
                            <w:b/>
                            <w:color w:val="000000"/>
                            <w:spacing w:val="-2"/>
                            <w:w w:val="105"/>
                            <w:kern w:val="0"/>
                            <w:sz w:val="18"/>
                          </w:rPr>
                          <w:t>数</w:t>
                        </w:r>
                        <w:r>
                          <w:rPr>
                            <w:rFonts w:ascii="宋体" w:hAnsi="宋体" w:cs="宋体"/>
                            <w:b/>
                            <w:color w:val="000000"/>
                            <w:spacing w:val="4"/>
                            <w:w w:val="102"/>
                            <w:kern w:val="0"/>
                            <w:sz w:val="18"/>
                          </w:rPr>
                          <w:t>据</w:t>
                        </w:r>
                        <w:r>
                          <w:rPr>
                            <w:rFonts w:ascii="宋体" w:hAnsi="宋体" w:cs="宋体"/>
                            <w:b/>
                            <w:color w:val="000000"/>
                            <w:spacing w:val="2"/>
                            <w:w w:val="101"/>
                            <w:kern w:val="0"/>
                            <w:sz w:val="18"/>
                          </w:rPr>
                          <w:t>应</w:t>
                        </w:r>
                        <w:r>
                          <w:rPr>
                            <w:rFonts w:ascii="宋体" w:hAnsi="宋体" w:cs="宋体"/>
                            <w:b/>
                            <w:color w:val="000000"/>
                            <w:spacing w:val="2"/>
                            <w:w w:val="102"/>
                            <w:kern w:val="0"/>
                            <w:sz w:val="18"/>
                          </w:rPr>
                          <w:t>用</w:t>
                        </w:r>
                        <w:r>
                          <w:rPr>
                            <w:rFonts w:ascii="宋体" w:hAnsi="宋体" w:cs="宋体"/>
                            <w:b/>
                            <w:color w:val="000000"/>
                            <w:spacing w:val="4"/>
                            <w:w w:val="101"/>
                            <w:kern w:val="0"/>
                            <w:sz w:val="18"/>
                          </w:rPr>
                          <w:t>单</w:t>
                        </w:r>
                        <w:r>
                          <w:rPr>
                            <w:rFonts w:ascii="宋体" w:hAnsi="宋体" w:cs="宋体"/>
                            <w:b/>
                            <w:color w:val="000000"/>
                            <w:w w:val="102"/>
                            <w:kern w:val="0"/>
                            <w:sz w:val="18"/>
                          </w:rPr>
                          <w:t>元</w:t>
                        </w:r>
                      </w:p>
                    </w:txbxContent>
                  </v:textbox>
                </v:shape>
                <v:shape id="_x0000_s1026" o:spid="_x0000_s1026" o:spt="202" type="#_x0000_t202" style="position:absolute;left:7603;top:73728;height:975;width:1316;" filled="f" stroked="t" coordsize="21600,21600" o:gfxdata="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U4VO8AAAA&#10;2wAAAA8AAAAAAAAAAQAgAAAAIgAAAGRycy9kb3ducmV2LnhtbFBLAQIUABQAAAAIAIdO4kAzLwWe&#10;OwAAADkAAAAQAAAAAAAAAAEAIAAAAAsBAABkcnMvc2hhcGV4bWwueG1sUEsFBgAAAAAGAAYAWwEA&#10;ALUDAAAAAA==&#10;">
                  <v:fill on="f" focussize="0,0"/>
                  <v:stroke weight="0.371968503937008pt" color="#000000" joinstyle="miter"/>
                  <v:imagedata o:title=""/>
                  <o:lock v:ext="edit" aspectratio="f"/>
                  <v:textbox inset="0mm,0mm,0mm,0mm">
                    <w:txbxContent>
                      <w:p>
                        <w:pPr>
                          <w:autoSpaceDE w:val="0"/>
                          <w:autoSpaceDN w:val="0"/>
                          <w:spacing w:before="255" w:line="185" w:lineRule="exact"/>
                          <w:ind w:left="284"/>
                          <w:jc w:val="left"/>
                        </w:pPr>
                        <w:r>
                          <w:rPr>
                            <w:rFonts w:ascii="宋体" w:hAnsi="宋体" w:cs="宋体"/>
                            <w:bCs/>
                            <w:color w:val="000000"/>
                            <w:spacing w:val="-2"/>
                            <w:w w:val="105"/>
                            <w:kern w:val="0"/>
                            <w:sz w:val="18"/>
                          </w:rPr>
                          <w:t>监控</w:t>
                        </w:r>
                        <w:r>
                          <w:rPr>
                            <w:rFonts w:ascii="宋体" w:hAnsi="宋体" w:cs="宋体"/>
                            <w:bCs/>
                            <w:color w:val="000000"/>
                            <w:spacing w:val="5"/>
                            <w:w w:val="101"/>
                            <w:kern w:val="0"/>
                            <w:sz w:val="18"/>
                          </w:rPr>
                          <w:t>平</w:t>
                        </w:r>
                        <w:r>
                          <w:rPr>
                            <w:rFonts w:ascii="宋体" w:hAnsi="宋体" w:cs="宋体"/>
                            <w:bCs/>
                            <w:color w:val="000000"/>
                            <w:spacing w:val="2"/>
                            <w:kern w:val="0"/>
                            <w:sz w:val="18"/>
                          </w:rPr>
                          <w:t>台</w:t>
                        </w:r>
                      </w:p>
                      <w:p>
                        <w:pPr>
                          <w:autoSpaceDE w:val="0"/>
                          <w:autoSpaceDN w:val="0"/>
                          <w:spacing w:before="111" w:line="185" w:lineRule="exact"/>
                          <w:ind w:left="331"/>
                          <w:jc w:val="left"/>
                        </w:pPr>
                        <w:r>
                          <w:rPr>
                            <w:rFonts w:ascii="宋体" w:hAnsi="宋体" w:cs="宋体"/>
                            <w:bCs/>
                            <w:color w:val="000000"/>
                            <w:spacing w:val="-2"/>
                            <w:w w:val="105"/>
                            <w:kern w:val="0"/>
                            <w:sz w:val="18"/>
                          </w:rPr>
                          <w:t>移动</w:t>
                        </w:r>
                        <w:r>
                          <w:rPr>
                            <w:rFonts w:hint="eastAsia" w:ascii="宋体" w:hAnsi="宋体" w:cs="宋体"/>
                            <w:bCs/>
                            <w:color w:val="000000"/>
                            <w:spacing w:val="-1"/>
                            <w:w w:val="105"/>
                            <w:kern w:val="0"/>
                            <w:sz w:val="18"/>
                          </w:rPr>
                          <w:t>端</w:t>
                        </w:r>
                      </w:p>
                    </w:txbxContent>
                  </v:textbox>
                </v:shape>
                <v:group id="_x0000_s1026" o:spid="_x0000_s1026" o:spt="203" style="position:absolute;left:3364;top:73732;height:976;width:3834;" coordorigin="0,100" coordsize="19245,4885"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0;top:105;height:4880;width:10305;" filled="f" stroked="t" coordsize="21600,21600" o:gfxdata="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j4h2ugAAANsA&#10;AAAPAAAAAAAAAAEAIAAAACIAAABkcnMvZG93bnJldi54bWxQSwECFAAUAAAACACHTuJAMy8FnjsA&#10;AAA5AAAAEAAAAAAAAAABACAAAAAJAQAAZHJzL3NoYXBleG1sLnhtbFBLBQYAAAAABgAGAFsBAACz&#10;AwAAAAA=&#10;">
                    <v:fill on="f" focussize="0,0"/>
                    <v:stroke weight="0.371968503937008pt" color="#000000" joinstyle="miter"/>
                    <v:imagedata o:title=""/>
                    <o:lock v:ext="edit" aspectratio="f"/>
                    <v:textbox inset="0mm,0mm,0mm,0mm">
                      <w:txbxContent>
                        <w:p>
                          <w:pPr>
                            <w:autoSpaceDE w:val="0"/>
                            <w:autoSpaceDN w:val="0"/>
                            <w:spacing w:line="294" w:lineRule="exact"/>
                            <w:ind w:firstLine="185" w:firstLineChars="100"/>
                            <w:jc w:val="left"/>
                            <w:rPr>
                              <w:rFonts w:ascii="宋体" w:hAnsi="宋体" w:cs="宋体"/>
                              <w:bCs/>
                              <w:color w:val="000000"/>
                              <w:kern w:val="0"/>
                              <w:sz w:val="18"/>
                              <w:szCs w:val="18"/>
                            </w:rPr>
                          </w:pPr>
                          <w:r>
                            <w:rPr>
                              <w:rFonts w:ascii="宋体" w:hAnsi="宋体" w:cs="宋体"/>
                              <w:bCs/>
                              <w:color w:val="000000"/>
                              <w:spacing w:val="-2"/>
                              <w:w w:val="105"/>
                              <w:kern w:val="0"/>
                              <w:sz w:val="18"/>
                              <w:szCs w:val="18"/>
                            </w:rPr>
                            <w:t>扬尘</w:t>
                          </w:r>
                          <w:r>
                            <w:rPr>
                              <w:rFonts w:ascii="宋体" w:hAnsi="宋体" w:cs="宋体"/>
                              <w:bCs/>
                              <w:color w:val="000000"/>
                              <w:spacing w:val="5"/>
                              <w:w w:val="101"/>
                              <w:kern w:val="0"/>
                              <w:sz w:val="18"/>
                              <w:szCs w:val="18"/>
                            </w:rPr>
                            <w:t>在</w:t>
                          </w:r>
                          <w:r>
                            <w:rPr>
                              <w:rFonts w:ascii="宋体" w:hAnsi="宋体" w:cs="宋体"/>
                              <w:bCs/>
                              <w:color w:val="000000"/>
                              <w:spacing w:val="2"/>
                              <w:kern w:val="0"/>
                              <w:sz w:val="18"/>
                              <w:szCs w:val="18"/>
                            </w:rPr>
                            <w:t>线</w:t>
                          </w:r>
                          <w:r>
                            <w:rPr>
                              <w:rFonts w:ascii="宋体" w:hAnsi="宋体" w:cs="宋体"/>
                              <w:bCs/>
                              <w:color w:val="000000"/>
                              <w:spacing w:val="5"/>
                              <w:kern w:val="0"/>
                              <w:sz w:val="18"/>
                              <w:szCs w:val="18"/>
                            </w:rPr>
                            <w:t>监</w:t>
                          </w:r>
                          <w:r>
                            <w:rPr>
                              <w:rFonts w:ascii="宋体" w:hAnsi="宋体" w:cs="宋体"/>
                              <w:bCs/>
                              <w:color w:val="000000"/>
                              <w:spacing w:val="-7"/>
                              <w:w w:val="105"/>
                              <w:kern w:val="0"/>
                              <w:sz w:val="18"/>
                              <w:szCs w:val="18"/>
                            </w:rPr>
                            <w:t>测</w:t>
                          </w:r>
                          <w:r>
                            <w:rPr>
                              <w:rFonts w:ascii="宋体" w:hAnsi="宋体" w:cs="宋体"/>
                              <w:bCs/>
                              <w:color w:val="000000"/>
                              <w:spacing w:val="-2"/>
                              <w:w w:val="105"/>
                              <w:kern w:val="0"/>
                              <w:sz w:val="18"/>
                              <w:szCs w:val="18"/>
                            </w:rPr>
                            <w:t>仪</w:t>
                          </w:r>
                        </w:p>
                        <w:p>
                          <w:pPr>
                            <w:autoSpaceDE w:val="0"/>
                            <w:autoSpaceDN w:val="0"/>
                            <w:spacing w:line="294" w:lineRule="exact"/>
                            <w:ind w:firstLine="185" w:firstLineChars="100"/>
                            <w:jc w:val="left"/>
                            <w:rPr>
                              <w:rFonts w:ascii="宋体" w:hAnsi="宋体" w:cs="宋体"/>
                              <w:bCs/>
                              <w:color w:val="000000"/>
                              <w:w w:val="94"/>
                              <w:kern w:val="0"/>
                              <w:sz w:val="18"/>
                              <w:szCs w:val="18"/>
                            </w:rPr>
                          </w:pPr>
                          <w:r>
                            <w:rPr>
                              <w:rFonts w:ascii="宋体" w:hAnsi="宋体" w:cs="宋体"/>
                              <w:bCs/>
                              <w:color w:val="000000"/>
                              <w:spacing w:val="-2"/>
                              <w:w w:val="105"/>
                              <w:kern w:val="0"/>
                              <w:sz w:val="18"/>
                              <w:szCs w:val="18"/>
                            </w:rPr>
                            <w:t>视频</w:t>
                          </w:r>
                          <w:r>
                            <w:rPr>
                              <w:rFonts w:ascii="宋体" w:hAnsi="宋体" w:cs="宋体"/>
                              <w:bCs/>
                              <w:color w:val="000000"/>
                              <w:spacing w:val="5"/>
                              <w:w w:val="101"/>
                              <w:kern w:val="0"/>
                              <w:sz w:val="18"/>
                              <w:szCs w:val="18"/>
                            </w:rPr>
                            <w:t>监</w:t>
                          </w:r>
                          <w:r>
                            <w:rPr>
                              <w:rFonts w:ascii="宋体" w:hAnsi="宋体" w:cs="宋体"/>
                              <w:bCs/>
                              <w:color w:val="000000"/>
                              <w:spacing w:val="2"/>
                              <w:kern w:val="0"/>
                              <w:sz w:val="18"/>
                              <w:szCs w:val="18"/>
                            </w:rPr>
                            <w:t>控</w:t>
                          </w:r>
                          <w:r>
                            <w:rPr>
                              <w:rFonts w:ascii="宋体" w:hAnsi="宋体" w:cs="宋体"/>
                              <w:bCs/>
                              <w:color w:val="000000"/>
                              <w:spacing w:val="5"/>
                              <w:kern w:val="0"/>
                              <w:sz w:val="18"/>
                              <w:szCs w:val="18"/>
                            </w:rPr>
                            <w:t>单</w:t>
                          </w:r>
                          <w:r>
                            <w:rPr>
                              <w:rFonts w:ascii="宋体" w:hAnsi="宋体" w:cs="宋体"/>
                              <w:bCs/>
                              <w:color w:val="000000"/>
                              <w:spacing w:val="-7"/>
                              <w:w w:val="105"/>
                              <w:kern w:val="0"/>
                              <w:sz w:val="18"/>
                              <w:szCs w:val="18"/>
                            </w:rPr>
                            <w:t>元</w:t>
                          </w:r>
                        </w:p>
                        <w:p>
                          <w:pPr>
                            <w:autoSpaceDE w:val="0"/>
                            <w:autoSpaceDN w:val="0"/>
                            <w:spacing w:line="294" w:lineRule="exact"/>
                            <w:ind w:firstLine="185" w:firstLineChars="100"/>
                            <w:jc w:val="left"/>
                            <w:rPr>
                              <w:sz w:val="18"/>
                              <w:szCs w:val="18"/>
                            </w:rPr>
                          </w:pPr>
                          <w:r>
                            <w:rPr>
                              <w:rFonts w:ascii="宋体" w:hAnsi="宋体" w:cs="宋体"/>
                              <w:bCs/>
                              <w:color w:val="000000"/>
                              <w:spacing w:val="-2"/>
                              <w:w w:val="105"/>
                              <w:kern w:val="0"/>
                              <w:sz w:val="18"/>
                              <w:szCs w:val="18"/>
                            </w:rPr>
                            <w:t>气象</w:t>
                          </w:r>
                          <w:r>
                            <w:rPr>
                              <w:rFonts w:ascii="宋体" w:hAnsi="宋体" w:cs="宋体"/>
                              <w:bCs/>
                              <w:color w:val="000000"/>
                              <w:spacing w:val="5"/>
                              <w:w w:val="101"/>
                              <w:kern w:val="0"/>
                              <w:sz w:val="18"/>
                              <w:szCs w:val="18"/>
                            </w:rPr>
                            <w:t>传</w:t>
                          </w:r>
                          <w:r>
                            <w:rPr>
                              <w:rFonts w:ascii="宋体" w:hAnsi="宋体" w:cs="宋体"/>
                              <w:bCs/>
                              <w:color w:val="000000"/>
                              <w:spacing w:val="2"/>
                              <w:kern w:val="0"/>
                              <w:sz w:val="18"/>
                              <w:szCs w:val="18"/>
                            </w:rPr>
                            <w:t>感</w:t>
                          </w:r>
                          <w:r>
                            <w:rPr>
                              <w:rFonts w:ascii="宋体" w:hAnsi="宋体" w:cs="宋体"/>
                              <w:bCs/>
                              <w:color w:val="000000"/>
                              <w:spacing w:val="5"/>
                              <w:kern w:val="0"/>
                              <w:sz w:val="18"/>
                              <w:szCs w:val="18"/>
                            </w:rPr>
                            <w:t>器</w:t>
                          </w:r>
                        </w:p>
                      </w:txbxContent>
                    </v:textbox>
                  </v:shape>
                  <v:shape id="_x0000_s1026" o:spid="_x0000_s1026" o:spt="202" type="#_x0000_t202" style="position:absolute;left:12323;top:100;height:4880;width:6922;" filled="f" stroked="t" coordsize="21600,21600" o:gfxdata="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EBwEvQAA&#10;ANsAAAAPAAAAAAAAAAEAIAAAACIAAABkcnMvZG93bnJldi54bWxQSwECFAAUAAAACACHTuJAMy8F&#10;njsAAAA5AAAAEAAAAAAAAAABACAAAAAMAQAAZHJzL3NoYXBleG1sLnhtbFBLBQYAAAAABgAGAFsB&#10;AAC2AwAAAAA=&#10;">
                    <v:fill on="f" focussize="0,0"/>
                    <v:stroke weight="0.371968503937008pt" color="#000000" joinstyle="miter"/>
                    <v:imagedata o:title=""/>
                    <o:lock v:ext="edit" aspectratio="f"/>
                    <v:textbox inset="0mm,0mm,0mm,0mm">
                      <w:txbxContent>
                        <w:p>
                          <w:pPr>
                            <w:autoSpaceDE w:val="0"/>
                            <w:autoSpaceDN w:val="0"/>
                            <w:spacing w:before="107" w:line="185" w:lineRule="exact"/>
                            <w:ind w:left="318"/>
                            <w:jc w:val="left"/>
                          </w:pPr>
                          <w:r>
                            <w:rPr>
                              <w:rFonts w:ascii="宋体" w:hAnsi="宋体" w:cs="宋体"/>
                              <w:bCs/>
                              <w:color w:val="000000"/>
                              <w:spacing w:val="-2"/>
                              <w:w w:val="105"/>
                              <w:kern w:val="0"/>
                              <w:sz w:val="18"/>
                            </w:rPr>
                            <w:t>数据</w:t>
                          </w:r>
                          <w:r>
                            <w:rPr>
                              <w:rFonts w:ascii="宋体" w:hAnsi="宋体" w:cs="宋体"/>
                              <w:bCs/>
                              <w:color w:val="000000"/>
                              <w:spacing w:val="5"/>
                              <w:w w:val="101"/>
                              <w:kern w:val="0"/>
                              <w:sz w:val="18"/>
                            </w:rPr>
                            <w:t>采</w:t>
                          </w:r>
                          <w:r>
                            <w:rPr>
                              <w:rFonts w:ascii="宋体" w:hAnsi="宋体" w:cs="宋体"/>
                              <w:bCs/>
                              <w:color w:val="000000"/>
                              <w:spacing w:val="2"/>
                              <w:kern w:val="0"/>
                              <w:sz w:val="18"/>
                            </w:rPr>
                            <w:t>集</w:t>
                          </w:r>
                        </w:p>
                        <w:p>
                          <w:pPr>
                            <w:autoSpaceDE w:val="0"/>
                            <w:autoSpaceDN w:val="0"/>
                            <w:spacing w:before="111" w:line="185" w:lineRule="exact"/>
                            <w:ind w:left="318"/>
                            <w:jc w:val="left"/>
                          </w:pPr>
                          <w:r>
                            <w:rPr>
                              <w:rFonts w:ascii="宋体" w:hAnsi="宋体" w:cs="宋体"/>
                              <w:bCs/>
                              <w:color w:val="000000"/>
                              <w:spacing w:val="-2"/>
                              <w:w w:val="105"/>
                              <w:kern w:val="0"/>
                              <w:sz w:val="18"/>
                            </w:rPr>
                            <w:t>数据</w:t>
                          </w:r>
                          <w:r>
                            <w:rPr>
                              <w:rFonts w:ascii="宋体" w:hAnsi="宋体" w:cs="宋体"/>
                              <w:bCs/>
                              <w:color w:val="000000"/>
                              <w:spacing w:val="5"/>
                              <w:w w:val="101"/>
                              <w:kern w:val="0"/>
                              <w:sz w:val="18"/>
                            </w:rPr>
                            <w:t>传</w:t>
                          </w:r>
                          <w:r>
                            <w:rPr>
                              <w:rFonts w:ascii="宋体" w:hAnsi="宋体" w:cs="宋体"/>
                              <w:bCs/>
                              <w:color w:val="000000"/>
                              <w:spacing w:val="2"/>
                              <w:kern w:val="0"/>
                              <w:sz w:val="18"/>
                            </w:rPr>
                            <w:t>输</w:t>
                          </w:r>
                        </w:p>
                        <w:p>
                          <w:pPr>
                            <w:autoSpaceDE w:val="0"/>
                            <w:autoSpaceDN w:val="0"/>
                            <w:spacing w:before="111" w:line="185" w:lineRule="exact"/>
                            <w:ind w:left="318"/>
                            <w:jc w:val="left"/>
                          </w:pPr>
                          <w:r>
                            <w:rPr>
                              <w:rFonts w:ascii="宋体" w:hAnsi="宋体" w:cs="宋体"/>
                              <w:bCs/>
                              <w:color w:val="000000"/>
                              <w:spacing w:val="-2"/>
                              <w:w w:val="105"/>
                              <w:kern w:val="0"/>
                              <w:sz w:val="18"/>
                            </w:rPr>
                            <w:t>数据</w:t>
                          </w:r>
                          <w:r>
                            <w:rPr>
                              <w:rFonts w:ascii="宋体" w:hAnsi="宋体" w:cs="宋体"/>
                              <w:bCs/>
                              <w:color w:val="000000"/>
                              <w:spacing w:val="5"/>
                              <w:w w:val="101"/>
                              <w:kern w:val="0"/>
                              <w:sz w:val="18"/>
                            </w:rPr>
                            <w:t>存</w:t>
                          </w:r>
                          <w:r>
                            <w:rPr>
                              <w:rFonts w:ascii="宋体" w:hAnsi="宋体" w:cs="宋体"/>
                              <w:bCs/>
                              <w:color w:val="000000"/>
                              <w:spacing w:val="2"/>
                              <w:kern w:val="0"/>
                              <w:sz w:val="18"/>
                            </w:rPr>
                            <w:t>储</w:t>
                          </w:r>
                        </w:p>
                      </w:txbxContent>
                    </v:textbox>
                  </v:shape>
                </v:group>
                <v:shape id="_x0000_s1026" o:spid="_x0000_s1026" o:spt="32" type="#_x0000_t32" style="position:absolute;left:5429;top:74120;flip:y;height:10;width:396;" filled="f" stroked="t" coordsize="21600,21600" o:gfxdata="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TgHS8AAAA&#10;2wAAAA8AAAAAAAAAAQAgAAAAIgAAAGRycy9kb3ducmV2LnhtbFBLAQIUABQAAAAIAIdO4kAzLwWe&#10;OwAAADkAAAAQAAAAAAAAAAEAIAAAAAsBAABkcnMvc2hhcGV4bWwueG1sUEsFBgAAAAAGAAYAWwEA&#10;ALUDAAAAAA==&#10;">
                  <v:fill on="f" focussize="0,0"/>
                  <v:stroke weight="2.25pt" color="#000000 [3213]" miterlimit="8" joinstyle="miter" endarrow="open"/>
                  <v:imagedata o:title=""/>
                  <o:lock v:ext="edit" aspectratio="f"/>
                </v:shape>
                <v:shape id="_x0000_s1026" o:spid="_x0000_s1026" o:spt="32" type="#_x0000_t32" style="position:absolute;left:7203;top:74145;height:5;width:413;" filled="f" stroked="t" coordsize="21600,21600" o:gfxdata="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mjlarsAAADb&#10;AAAADwAAAAAAAAABACAAAAAiAAAAZHJzL2Rvd25yZXYueG1sUEsBAhQAFAAAAAgAh07iQDMvBZ47&#10;AAAAOQAAABAAAAAAAAAAAQAgAAAACgEAAGRycy9zaGFwZXhtbC54bWxQSwUGAAAAAAYABgBbAQAA&#10;tAMAAAAA&#10;">
                  <v:fill on="f" focussize="0,0"/>
                  <v:stroke weight="2.25pt" color="#000000 [3213]" miterlimit="8" joinstyle="miter" endarrow="open"/>
                  <v:imagedata o:title=""/>
                  <o:lock v:ext="edit" aspectratio="f"/>
                </v:shape>
                <w10:wrap type="none"/>
                <w10:anchorlock/>
              </v:group>
            </w:pict>
          </mc:Fallback>
        </mc:AlternateContent>
      </w:r>
    </w:p>
    <w:p>
      <w:pPr>
        <w:jc w:val="center"/>
        <w:rPr>
          <w:rFonts w:ascii="Times New Roman" w:hAnsi="Times New Roman"/>
          <w:sz w:val="21"/>
          <w:szCs w:val="21"/>
        </w:rPr>
      </w:pPr>
      <w:r>
        <w:rPr>
          <w:rFonts w:hint="eastAsia" w:ascii="黑体" w:hAnsi="黑体" w:eastAsia="黑体" w:cs="黑体"/>
          <w:sz w:val="21"/>
          <w:szCs w:val="21"/>
        </w:rPr>
        <w:t>图1 扬尘在线监测系统组成示意图</w:t>
      </w:r>
    </w:p>
    <w:p>
      <w:pPr>
        <w:spacing w:before="156" w:beforeLines="50" w:after="156" w:afterLines="50"/>
        <w:outlineLvl w:val="0"/>
        <w:rPr>
          <w:rFonts w:ascii="黑体" w:hAnsi="黑体" w:eastAsia="黑体" w:cs="黑体"/>
          <w:sz w:val="21"/>
          <w:szCs w:val="21"/>
        </w:rPr>
      </w:pPr>
      <w:bookmarkStart w:id="25" w:name="_Toc17278"/>
      <w:bookmarkStart w:id="26" w:name="_Toc32648"/>
      <w:bookmarkStart w:id="27" w:name="_Toc1025"/>
      <w:r>
        <w:rPr>
          <w:rFonts w:hint="eastAsia" w:ascii="黑体" w:hAnsi="黑体" w:eastAsia="黑体" w:cs="黑体"/>
          <w:sz w:val="21"/>
          <w:szCs w:val="21"/>
        </w:rPr>
        <w:t>4.2 在线监测单元</w:t>
      </w:r>
      <w:bookmarkEnd w:id="25"/>
      <w:bookmarkEnd w:id="26"/>
      <w:bookmarkEnd w:id="27"/>
    </w:p>
    <w:p>
      <w:pPr>
        <w:spacing w:before="156" w:beforeLines="50" w:after="156" w:afterLines="50"/>
        <w:outlineLvl w:val="0"/>
        <w:rPr>
          <w:rFonts w:ascii="黑体" w:hAnsi="黑体" w:eastAsia="黑体" w:cs="黑体"/>
          <w:sz w:val="21"/>
          <w:szCs w:val="21"/>
        </w:rPr>
      </w:pPr>
      <w:bookmarkStart w:id="28" w:name="_Toc22116"/>
      <w:r>
        <w:rPr>
          <w:rFonts w:hint="eastAsia" w:ascii="黑体" w:hAnsi="黑体" w:eastAsia="黑体" w:cs="黑体"/>
          <w:sz w:val="21"/>
          <w:szCs w:val="21"/>
        </w:rPr>
        <w:t>4.2.1 组成</w:t>
      </w:r>
      <w:bookmarkEnd w:id="28"/>
    </w:p>
    <w:p>
      <w:pPr>
        <w:ind w:firstLine="420" w:firstLineChars="200"/>
        <w:rPr>
          <w:rFonts w:ascii="宋体" w:hAnsi="宋体" w:cs="宋体"/>
          <w:sz w:val="21"/>
          <w:szCs w:val="21"/>
        </w:rPr>
      </w:pPr>
      <w:r>
        <w:rPr>
          <w:rFonts w:hint="eastAsia" w:ascii="宋体" w:hAnsi="宋体" w:cs="宋体"/>
          <w:sz w:val="21"/>
          <w:szCs w:val="21"/>
        </w:rPr>
        <w:t>在线监测单元主要由扬尘在线监测仪、视频监控单元、气象传感器等组成。</w:t>
      </w:r>
    </w:p>
    <w:p>
      <w:pPr>
        <w:spacing w:before="156" w:beforeLines="50" w:after="156" w:afterLines="50"/>
        <w:outlineLvl w:val="0"/>
        <w:rPr>
          <w:rFonts w:ascii="黑体" w:hAnsi="黑体" w:eastAsia="黑体" w:cs="黑体"/>
          <w:sz w:val="21"/>
          <w:szCs w:val="21"/>
        </w:rPr>
      </w:pPr>
      <w:bookmarkStart w:id="29" w:name="_Toc11210"/>
      <w:r>
        <w:rPr>
          <w:rFonts w:hint="eastAsia" w:ascii="黑体" w:hAnsi="黑体" w:eastAsia="黑体" w:cs="黑体"/>
          <w:sz w:val="21"/>
          <w:szCs w:val="21"/>
        </w:rPr>
        <w:t>4.2.2 技术指标要求</w:t>
      </w:r>
      <w:bookmarkEnd w:id="29"/>
    </w:p>
    <w:p>
      <w:pPr>
        <w:ind w:firstLine="420" w:firstLineChars="200"/>
        <w:rPr>
          <w:rFonts w:ascii="宋体" w:hAnsi="宋体" w:cs="宋体"/>
          <w:sz w:val="21"/>
          <w:szCs w:val="21"/>
        </w:rPr>
      </w:pPr>
      <w:r>
        <w:rPr>
          <w:rFonts w:hint="eastAsia" w:ascii="宋体" w:hAnsi="宋体" w:cs="宋体"/>
          <w:sz w:val="21"/>
          <w:szCs w:val="21"/>
        </w:rPr>
        <w:t>扬尘在线监测仪应通过国家生态环境主管部门的适用性检测，并纳入环境空气颗粒物（</w:t>
      </w:r>
      <w:r>
        <w:rPr>
          <w:rFonts w:hint="eastAsia" w:ascii="Times New Roman" w:hAnsi="Times New Roman"/>
          <w:sz w:val="21"/>
          <w:szCs w:val="21"/>
        </w:rPr>
        <w:t>PM</w:t>
      </w:r>
      <w:r>
        <w:rPr>
          <w:rFonts w:hint="eastAsia" w:ascii="宋体" w:hAnsi="宋体" w:cs="宋体"/>
          <w:sz w:val="21"/>
          <w:szCs w:val="21"/>
          <w:vertAlign w:val="subscript"/>
        </w:rPr>
        <w:t>10</w:t>
      </w:r>
      <w:r>
        <w:rPr>
          <w:rFonts w:hint="eastAsia" w:ascii="宋体" w:hAnsi="宋体" w:cs="宋体"/>
          <w:sz w:val="21"/>
          <w:szCs w:val="21"/>
        </w:rPr>
        <w:t>）连续监测系统适用性检测合格名录，符合相关产品质量标准的要求。本文件规定的扬尘在线监测仪从原理上使用</w:t>
      </w:r>
      <w:r>
        <w:rPr>
          <w:rFonts w:hint="eastAsia" w:ascii="Times New Roman" w:hAnsi="Times New Roman"/>
          <w:sz w:val="21"/>
          <w:szCs w:val="21"/>
        </w:rPr>
        <w:t>β</w:t>
      </w:r>
      <w:r>
        <w:rPr>
          <w:rFonts w:hint="eastAsia" w:ascii="宋体" w:hAnsi="宋体" w:cs="宋体"/>
          <w:sz w:val="21"/>
          <w:szCs w:val="21"/>
        </w:rPr>
        <w:t>射线法，其他类型的在线监测仪应符合H</w:t>
      </w:r>
      <w:r>
        <w:rPr>
          <w:rFonts w:ascii="宋体" w:hAnsi="宋体" w:cs="宋体"/>
          <w:sz w:val="21"/>
          <w:szCs w:val="21"/>
        </w:rPr>
        <w:t>J653或</w:t>
      </w:r>
      <w:r>
        <w:rPr>
          <w:rFonts w:hint="eastAsia" w:ascii="宋体" w:hAnsi="宋体" w:cs="宋体"/>
          <w:sz w:val="21"/>
          <w:szCs w:val="21"/>
        </w:rPr>
        <w:t>H</w:t>
      </w:r>
      <w:r>
        <w:rPr>
          <w:rFonts w:ascii="宋体" w:hAnsi="宋体" w:cs="宋体"/>
          <w:sz w:val="21"/>
          <w:szCs w:val="21"/>
        </w:rPr>
        <w:t>J655的要求</w:t>
      </w:r>
      <w:r>
        <w:rPr>
          <w:rFonts w:hint="eastAsia" w:ascii="宋体" w:hAnsi="宋体" w:cs="宋体"/>
          <w:sz w:val="21"/>
          <w:szCs w:val="21"/>
        </w:rPr>
        <w:t>，仪器技术指标应符合表1要求。</w:t>
      </w:r>
    </w:p>
    <w:p>
      <w:pPr>
        <w:pStyle w:val="2"/>
        <w:ind w:firstLine="240"/>
      </w:pPr>
    </w:p>
    <w:p>
      <w:pPr>
        <w:spacing w:before="156" w:beforeLines="50" w:after="156" w:afterLines="50"/>
        <w:jc w:val="center"/>
        <w:rPr>
          <w:rFonts w:ascii="黑体" w:hAnsi="黑体" w:eastAsia="黑体" w:cs="黑体"/>
          <w:sz w:val="21"/>
          <w:szCs w:val="21"/>
        </w:rPr>
      </w:pPr>
      <w:r>
        <w:rPr>
          <w:rFonts w:hint="eastAsia" w:ascii="黑体" w:hAnsi="黑体" w:eastAsia="黑体" w:cs="黑体"/>
          <w:sz w:val="21"/>
          <w:szCs w:val="21"/>
        </w:rPr>
        <w:t>表1 扬尘在线监测仪技术指标</w:t>
      </w:r>
    </w:p>
    <w:tbl>
      <w:tblPr>
        <w:tblStyle w:val="1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1367"/>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监测仪</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标准方法设备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监测方式</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连续自动监测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监测方法</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β射线法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测量量程</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至少覆盖</w:t>
            </w:r>
            <w:r>
              <w:rPr>
                <w:rFonts w:hint="eastAsia" w:ascii="宋体" w:hAnsi="宋体" w:cs="宋体"/>
                <w:sz w:val="18"/>
                <w:szCs w:val="18"/>
              </w:rPr>
              <w:t>0.00</w:t>
            </w:r>
            <w:r>
              <w:rPr>
                <w:rFonts w:hint="eastAsia" w:ascii="Times New Roman" w:hAnsi="Times New Roman" w:cs="宋体"/>
                <w:sz w:val="18"/>
                <w:szCs w:val="18"/>
              </w:rPr>
              <w:t>～</w:t>
            </w:r>
            <w:r>
              <w:rPr>
                <w:rFonts w:hint="eastAsia" w:ascii="宋体" w:hAnsi="宋体" w:cs="宋体"/>
                <w:sz w:val="18"/>
                <w:szCs w:val="18"/>
              </w:rPr>
              <w:t xml:space="preserve">9999 </w:t>
            </w:r>
            <w:r>
              <w:rPr>
                <w:rFonts w:ascii="Times New Roman" w:hAnsi="Times New Roman"/>
                <w:sz w:val="18"/>
                <w:szCs w:val="18"/>
              </w:rPr>
              <w:t>μg</w:t>
            </w:r>
            <w:r>
              <w:rPr>
                <w:rFonts w:hint="eastAsia" w:ascii="Times New Roman" w:hAnsi="Times New Roman" w:cs="宋体"/>
                <w:sz w:val="18"/>
                <w:szCs w:val="18"/>
              </w:rPr>
              <w:t>/m</w:t>
            </w:r>
            <w:r>
              <w:rPr>
                <w:rFonts w:hint="eastAsia" w:ascii="Times New Roman" w:hAnsi="Times New Roman" w:cs="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流量稳定性</w:t>
            </w:r>
          </w:p>
        </w:tc>
        <w:tc>
          <w:tcPr>
            <w:tcW w:w="3687" w:type="pct"/>
            <w:vAlign w:val="center"/>
          </w:tcPr>
          <w:p>
            <w:pPr>
              <w:jc w:val="center"/>
              <w:rPr>
                <w:rFonts w:ascii="Times New Roman" w:hAnsi="Times New Roman" w:cs="宋体"/>
                <w:sz w:val="18"/>
                <w:szCs w:val="18"/>
              </w:rPr>
            </w:pPr>
            <w:r>
              <w:rPr>
                <w:rFonts w:hint="eastAsia" w:ascii="宋体" w:hAnsi="宋体" w:cs="宋体"/>
                <w:sz w:val="18"/>
                <w:szCs w:val="18"/>
              </w:rPr>
              <w:t>±10</w:t>
            </w:r>
            <w:r>
              <w:rPr>
                <w:rFonts w:hint="eastAsia" w:ascii="Times New Roman" w:hAnsi="Times New Roman" w:cs="宋体"/>
                <w:sz w:val="18"/>
                <w:szCs w:val="18"/>
              </w:rPr>
              <w:t>%（</w:t>
            </w:r>
            <w:r>
              <w:rPr>
                <w:rFonts w:hint="eastAsia" w:ascii="宋体" w:hAnsi="宋体" w:cs="宋体"/>
                <w:sz w:val="18"/>
                <w:szCs w:val="18"/>
              </w:rPr>
              <w:t>24</w:t>
            </w:r>
            <w:r>
              <w:rPr>
                <w:rFonts w:hint="eastAsia" w:ascii="Times New Roman" w:hAnsi="Times New Roman" w:cs="宋体"/>
                <w:sz w:val="18"/>
                <w:szCs w:val="18"/>
              </w:rPr>
              <w:t>h任意测试时间点）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24h流量稳定性</w:t>
            </w:r>
          </w:p>
        </w:tc>
        <w:tc>
          <w:tcPr>
            <w:tcW w:w="3687" w:type="pct"/>
            <w:vAlign w:val="center"/>
          </w:tcPr>
          <w:p>
            <w:pPr>
              <w:jc w:val="center"/>
              <w:rPr>
                <w:rFonts w:ascii="Times New Roman" w:hAnsi="Times New Roman" w:cs="宋体"/>
                <w:sz w:val="18"/>
                <w:szCs w:val="18"/>
              </w:rPr>
            </w:pPr>
            <w:r>
              <w:rPr>
                <w:rFonts w:hint="eastAsia" w:ascii="宋体" w:hAnsi="宋体" w:cs="宋体"/>
                <w:sz w:val="18"/>
                <w:szCs w:val="18"/>
              </w:rPr>
              <w:t>±5</w:t>
            </w:r>
            <w:r>
              <w:rPr>
                <w:rFonts w:hint="eastAsia" w:ascii="Times New Roman" w:hAnsi="Times New Roman" w:cs="宋体"/>
                <w:sz w:val="18"/>
                <w:szCs w:val="18"/>
              </w:rPr>
              <w:t>%设定流量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最小显示单位</w:t>
            </w:r>
          </w:p>
        </w:tc>
        <w:tc>
          <w:tcPr>
            <w:tcW w:w="3687" w:type="pct"/>
            <w:vAlign w:val="center"/>
          </w:tcPr>
          <w:p>
            <w:pPr>
              <w:jc w:val="center"/>
              <w:rPr>
                <w:rFonts w:ascii="Times New Roman" w:hAnsi="Times New Roman" w:cs="宋体"/>
                <w:sz w:val="18"/>
                <w:szCs w:val="18"/>
              </w:rPr>
            </w:pPr>
            <w:r>
              <w:rPr>
                <w:rFonts w:hint="eastAsia" w:ascii="宋体" w:hAnsi="宋体" w:cs="宋体"/>
                <w:sz w:val="18"/>
                <w:szCs w:val="18"/>
              </w:rPr>
              <w:t xml:space="preserve">0.1 </w:t>
            </w:r>
            <w:r>
              <w:rPr>
                <w:rFonts w:ascii="Times New Roman" w:hAnsi="Times New Roman"/>
                <w:sz w:val="18"/>
                <w:szCs w:val="18"/>
              </w:rPr>
              <w:t>μ</w:t>
            </w:r>
            <w:r>
              <w:rPr>
                <w:rFonts w:hint="eastAsia" w:ascii="Times New Roman" w:hAnsi="Times New Roman" w:cs="宋体"/>
                <w:sz w:val="18"/>
                <w:szCs w:val="18"/>
              </w:rPr>
              <w:t>g/m</w:t>
            </w:r>
            <w:r>
              <w:rPr>
                <w:rFonts w:hint="eastAsia" w:ascii="Times New Roman" w:hAnsi="Times New Roman" w:cs="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时钟误差</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w:t>
            </w:r>
            <w:r>
              <w:rPr>
                <w:rFonts w:hint="eastAsia" w:ascii="宋体" w:hAnsi="宋体" w:cs="宋体"/>
                <w:sz w:val="18"/>
                <w:szCs w:val="18"/>
              </w:rPr>
              <w:t>60</w:t>
            </w:r>
            <w:r>
              <w:rPr>
                <w:rFonts w:hint="eastAsia" w:ascii="Times New Roman" w:hAnsi="Times New Roman"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7" w:type="pct"/>
            <w:vMerge w:val="restart"/>
            <w:vAlign w:val="center"/>
          </w:tcPr>
          <w:p>
            <w:pPr>
              <w:jc w:val="center"/>
              <w:rPr>
                <w:rFonts w:ascii="Times New Roman" w:hAnsi="Times New Roman" w:cs="宋体"/>
                <w:sz w:val="18"/>
                <w:szCs w:val="18"/>
              </w:rPr>
            </w:pPr>
            <w:r>
              <w:rPr>
                <w:rFonts w:hint="eastAsia" w:ascii="Times New Roman" w:hAnsi="Times New Roman" w:cs="宋体"/>
                <w:sz w:val="18"/>
                <w:szCs w:val="18"/>
              </w:rPr>
              <w:t>与参比方法比较</w:t>
            </w:r>
          </w:p>
        </w:tc>
        <w:tc>
          <w:tcPr>
            <w:tcW w:w="715" w:type="pct"/>
            <w:vAlign w:val="center"/>
          </w:tcPr>
          <w:p>
            <w:pPr>
              <w:jc w:val="center"/>
              <w:rPr>
                <w:rFonts w:ascii="Times New Roman" w:hAnsi="Times New Roman" w:cs="宋体"/>
                <w:sz w:val="18"/>
                <w:szCs w:val="18"/>
              </w:rPr>
            </w:pPr>
            <w:r>
              <w:rPr>
                <w:rFonts w:hint="eastAsia" w:ascii="Times New Roman" w:hAnsi="Times New Roman" w:cs="宋体"/>
                <w:sz w:val="18"/>
                <w:szCs w:val="18"/>
              </w:rPr>
              <w:t>相对误差</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使用参比方法进行至少</w:t>
            </w:r>
            <w:r>
              <w:rPr>
                <w:rFonts w:hint="eastAsia" w:ascii="宋体" w:hAnsi="宋体" w:cs="宋体"/>
                <w:sz w:val="18"/>
                <w:szCs w:val="18"/>
              </w:rPr>
              <w:t>10</w:t>
            </w:r>
            <w:r>
              <w:rPr>
                <w:rFonts w:hint="eastAsia" w:ascii="Times New Roman" w:hAnsi="Times New Roman" w:cs="宋体"/>
                <w:sz w:val="18"/>
                <w:szCs w:val="18"/>
              </w:rPr>
              <w:t>组有效数据，符合：斜率：</w:t>
            </w:r>
            <w:r>
              <w:rPr>
                <w:rFonts w:hint="eastAsia" w:ascii="宋体" w:hAnsi="宋体" w:cs="宋体"/>
                <w:sz w:val="18"/>
                <w:szCs w:val="18"/>
              </w:rPr>
              <w:t>1±0.15</w:t>
            </w:r>
            <w:r>
              <w:rPr>
                <w:rFonts w:hint="eastAsia" w:ascii="Times New Roman" w:hAnsi="Times New Roman" w:cs="宋体"/>
                <w:sz w:val="18"/>
                <w:szCs w:val="18"/>
              </w:rPr>
              <w:t>，截距</w:t>
            </w:r>
            <w:r>
              <w:rPr>
                <w:rFonts w:hint="eastAsia" w:ascii="宋体" w:hAnsi="宋体" w:cs="宋体"/>
                <w:sz w:val="18"/>
                <w:szCs w:val="18"/>
              </w:rPr>
              <w:t>（0±10）</w:t>
            </w:r>
            <w:r>
              <w:rPr>
                <w:rFonts w:ascii="Times New Roman" w:hAnsi="Times New Roman"/>
                <w:sz w:val="18"/>
                <w:szCs w:val="18"/>
              </w:rPr>
              <w:t>μ</w:t>
            </w:r>
            <w:r>
              <w:rPr>
                <w:rFonts w:hint="eastAsia" w:ascii="Times New Roman" w:hAnsi="Times New Roman" w:cs="宋体"/>
                <w:sz w:val="18"/>
                <w:szCs w:val="18"/>
              </w:rPr>
              <w:t>g/m</w:t>
            </w:r>
            <w:r>
              <w:rPr>
                <w:rFonts w:hint="eastAsia" w:ascii="Times New Roman" w:hAnsi="Times New Roman" w:cs="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7" w:type="pct"/>
            <w:vMerge w:val="continue"/>
            <w:vAlign w:val="center"/>
          </w:tcPr>
          <w:p>
            <w:pPr>
              <w:jc w:val="center"/>
              <w:rPr>
                <w:rFonts w:ascii="Times New Roman" w:hAnsi="Times New Roman" w:cs="宋体"/>
                <w:sz w:val="18"/>
                <w:szCs w:val="18"/>
              </w:rPr>
            </w:pPr>
          </w:p>
        </w:tc>
        <w:tc>
          <w:tcPr>
            <w:tcW w:w="715" w:type="pct"/>
            <w:vAlign w:val="center"/>
          </w:tcPr>
          <w:p>
            <w:pPr>
              <w:jc w:val="center"/>
              <w:rPr>
                <w:rFonts w:ascii="Times New Roman" w:hAnsi="Times New Roman" w:cs="宋体"/>
                <w:sz w:val="18"/>
                <w:szCs w:val="18"/>
              </w:rPr>
            </w:pPr>
            <w:r>
              <w:rPr>
                <w:rFonts w:hint="eastAsia" w:ascii="Times New Roman" w:hAnsi="Times New Roman" w:cs="宋体"/>
                <w:sz w:val="18"/>
                <w:szCs w:val="18"/>
              </w:rPr>
              <w:t>相关系数</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w:t>
            </w:r>
            <w:r>
              <w:rPr>
                <w:rFonts w:hint="eastAsia" w:ascii="宋体" w:hAnsi="宋体" w:cs="宋体"/>
                <w:sz w:val="18"/>
                <w:szCs w:val="1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平行性</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w:t>
            </w:r>
            <w:r>
              <w:rPr>
                <w:rFonts w:hint="eastAsia" w:ascii="宋体" w:hAnsi="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浓度报警</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可在全测量范围内灵活设置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校准膜重现性</w:t>
            </w:r>
          </w:p>
        </w:tc>
        <w:tc>
          <w:tcPr>
            <w:tcW w:w="3687" w:type="pct"/>
            <w:vAlign w:val="center"/>
          </w:tcPr>
          <w:p>
            <w:pPr>
              <w:jc w:val="center"/>
              <w:rPr>
                <w:rFonts w:ascii="Times New Roman" w:hAnsi="Times New Roman" w:cs="宋体"/>
                <w:sz w:val="18"/>
                <w:szCs w:val="18"/>
              </w:rPr>
            </w:pPr>
            <w:r>
              <w:rPr>
                <w:rFonts w:hint="eastAsia" w:ascii="宋体" w:hAnsi="宋体" w:cs="宋体"/>
                <w:sz w:val="18"/>
                <w:szCs w:val="18"/>
              </w:rPr>
              <w:t>±2</w:t>
            </w:r>
            <w:r>
              <w:rPr>
                <w:rFonts w:hint="eastAsia" w:ascii="Times New Roman" w:hAnsi="Times New Roman" w:cs="宋体"/>
                <w:sz w:val="18"/>
                <w:szCs w:val="18"/>
              </w:rPr>
              <w:t>%（标称值）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bookmarkStart w:id="30" w:name="_Toc19540"/>
            <w:r>
              <w:rPr>
                <w:rFonts w:hint="eastAsia" w:ascii="Times New Roman" w:hAnsi="Times New Roman" w:cs="宋体"/>
                <w:sz w:val="18"/>
                <w:szCs w:val="18"/>
              </w:rPr>
              <w:t>自动除湿</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具有自动除湿功能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数据存储时长</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防护等级</w:t>
            </w:r>
          </w:p>
        </w:tc>
        <w:tc>
          <w:tcPr>
            <w:tcW w:w="3687" w:type="pct"/>
            <w:vAlign w:val="center"/>
          </w:tcPr>
          <w:p>
            <w:pPr>
              <w:jc w:val="center"/>
              <w:rPr>
                <w:rFonts w:ascii="Times New Roman" w:hAnsi="Times New Roman" w:cs="宋体"/>
                <w:sz w:val="18"/>
                <w:szCs w:val="18"/>
              </w:rPr>
            </w:pPr>
            <w:r>
              <w:rPr>
                <w:rFonts w:hint="eastAsia" w:ascii="Times New Roman" w:hAnsi="Times New Roman" w:cs="宋体"/>
                <w:sz w:val="18"/>
                <w:szCs w:val="18"/>
              </w:rPr>
              <w:t>IP</w:t>
            </w:r>
            <w:r>
              <w:rPr>
                <w:rFonts w:hint="eastAsia" w:ascii="宋体" w:hAnsi="宋体" w:cs="宋体"/>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数据类型</w:t>
            </w:r>
          </w:p>
        </w:tc>
        <w:tc>
          <w:tcPr>
            <w:tcW w:w="3688" w:type="pct"/>
            <w:vAlign w:val="center"/>
          </w:tcPr>
          <w:p>
            <w:pPr>
              <w:jc w:val="center"/>
              <w:rPr>
                <w:rFonts w:ascii="Times New Roman" w:hAnsi="Times New Roman" w:cs="宋体"/>
                <w:sz w:val="18"/>
                <w:szCs w:val="18"/>
              </w:rPr>
            </w:pPr>
            <w:r>
              <w:rPr>
                <w:rFonts w:hint="eastAsia" w:ascii="Times New Roman" w:hAnsi="Times New Roman" w:cs="宋体"/>
                <w:sz w:val="18"/>
                <w:szCs w:val="18"/>
              </w:rPr>
              <w:t>分钟值（以起始时间计）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2" w:type="pct"/>
            <w:gridSpan w:val="2"/>
            <w:vAlign w:val="center"/>
          </w:tcPr>
          <w:p>
            <w:pPr>
              <w:jc w:val="center"/>
              <w:rPr>
                <w:rFonts w:ascii="Times New Roman" w:hAnsi="Times New Roman" w:cs="宋体"/>
                <w:sz w:val="18"/>
                <w:szCs w:val="18"/>
              </w:rPr>
            </w:pPr>
            <w:r>
              <w:rPr>
                <w:rFonts w:hint="eastAsia" w:ascii="Times New Roman" w:hAnsi="Times New Roman" w:cs="宋体"/>
                <w:sz w:val="18"/>
                <w:szCs w:val="18"/>
              </w:rPr>
              <w:t>运行环境</w:t>
            </w:r>
          </w:p>
        </w:tc>
        <w:tc>
          <w:tcPr>
            <w:tcW w:w="3688" w:type="pct"/>
            <w:vAlign w:val="center"/>
          </w:tcPr>
          <w:p>
            <w:pPr>
              <w:jc w:val="center"/>
              <w:rPr>
                <w:rFonts w:ascii="Times New Roman" w:hAnsi="Times New Roman" w:cs="宋体"/>
                <w:sz w:val="18"/>
                <w:szCs w:val="18"/>
              </w:rPr>
            </w:pPr>
            <w:r>
              <w:rPr>
                <w:rFonts w:hint="eastAsia" w:ascii="宋体" w:hAnsi="宋体" w:cs="宋体"/>
                <w:sz w:val="18"/>
                <w:szCs w:val="18"/>
              </w:rPr>
              <w:t>-20</w:t>
            </w:r>
            <w:r>
              <w:rPr>
                <w:rFonts w:hint="eastAsia" w:ascii="Times New Roman" w:hAnsi="Times New Roman" w:cs="宋体"/>
                <w:sz w:val="18"/>
                <w:szCs w:val="18"/>
              </w:rPr>
              <w:t>℃～</w:t>
            </w:r>
            <w:r>
              <w:rPr>
                <w:rFonts w:hint="eastAsia" w:ascii="宋体" w:hAnsi="宋体" w:cs="宋体"/>
                <w:sz w:val="18"/>
                <w:szCs w:val="18"/>
              </w:rPr>
              <w:t>45</w:t>
            </w:r>
            <w:r>
              <w:rPr>
                <w:rFonts w:hint="eastAsia" w:ascii="Times New Roman" w:hAnsi="Times New Roman" w:cs="宋体"/>
                <w:sz w:val="18"/>
                <w:szCs w:val="18"/>
              </w:rPr>
              <w:t>℃，≤</w:t>
            </w:r>
            <w:r>
              <w:rPr>
                <w:rFonts w:hint="eastAsia" w:ascii="宋体" w:hAnsi="宋体" w:cs="宋体"/>
                <w:sz w:val="18"/>
                <w:szCs w:val="18"/>
              </w:rPr>
              <w:t>100</w:t>
            </w:r>
            <w:r>
              <w:rPr>
                <w:rFonts w:hint="eastAsia" w:ascii="Times New Roman" w:hAnsi="Times New Roman" w:cs="宋体"/>
                <w:sz w:val="18"/>
                <w:szCs w:val="18"/>
              </w:rPr>
              <w:t>%RH（非冷凝）</w:t>
            </w:r>
          </w:p>
        </w:tc>
      </w:tr>
    </w:tbl>
    <w:p>
      <w:pPr>
        <w:spacing w:before="156" w:beforeLines="50" w:after="156" w:afterLines="50"/>
        <w:outlineLvl w:val="0"/>
        <w:rPr>
          <w:rFonts w:ascii="黑体" w:hAnsi="黑体" w:eastAsia="黑体" w:cs="黑体"/>
          <w:sz w:val="21"/>
          <w:szCs w:val="21"/>
        </w:rPr>
      </w:pPr>
      <w:r>
        <w:rPr>
          <w:rFonts w:hint="eastAsia" w:ascii="黑体" w:hAnsi="黑体" w:eastAsia="黑体" w:cs="黑体"/>
          <w:sz w:val="21"/>
          <w:szCs w:val="21"/>
        </w:rPr>
        <w:t>4.2.3 安全性能</w:t>
      </w:r>
      <w:bookmarkEnd w:id="30"/>
    </w:p>
    <w:p>
      <w:pPr>
        <w:spacing w:before="156" w:beforeLines="50" w:after="156" w:afterLines="50"/>
        <w:outlineLvl w:val="0"/>
        <w:rPr>
          <w:rFonts w:ascii="黑体" w:hAnsi="黑体" w:eastAsia="黑体" w:cs="黑体"/>
          <w:sz w:val="21"/>
          <w:szCs w:val="21"/>
        </w:rPr>
      </w:pPr>
      <w:bookmarkStart w:id="31" w:name="_Toc15474"/>
      <w:r>
        <w:rPr>
          <w:rFonts w:hint="eastAsia" w:ascii="黑体" w:hAnsi="黑体" w:eastAsia="黑体" w:cs="黑体"/>
          <w:sz w:val="21"/>
          <w:szCs w:val="21"/>
        </w:rPr>
        <w:t>4.2.3.1 绝缘电阻</w:t>
      </w:r>
      <w:bookmarkEnd w:id="31"/>
    </w:p>
    <w:p>
      <w:pPr>
        <w:ind w:firstLine="420" w:firstLineChars="200"/>
        <w:rPr>
          <w:rFonts w:ascii="Times New Roman" w:hAnsi="Times New Roman" w:cs="宋体"/>
          <w:sz w:val="21"/>
          <w:szCs w:val="21"/>
        </w:rPr>
      </w:pPr>
      <w:r>
        <w:rPr>
          <w:rFonts w:hint="eastAsia" w:ascii="Times New Roman" w:hAnsi="Times New Roman" w:cs="宋体"/>
          <w:sz w:val="21"/>
          <w:szCs w:val="21"/>
        </w:rPr>
        <w:t>使用交流电源时，设备的电源相、中联线对地的绝缘电阻应不小于</w:t>
      </w:r>
      <w:r>
        <w:rPr>
          <w:rFonts w:hint="eastAsia" w:ascii="宋体" w:hAnsi="宋体" w:cs="宋体"/>
          <w:sz w:val="21"/>
          <w:szCs w:val="21"/>
        </w:rPr>
        <w:t>20</w:t>
      </w:r>
      <w:r>
        <w:rPr>
          <w:rFonts w:ascii="Times New Roman" w:hAnsi="Times New Roman"/>
          <w:sz w:val="21"/>
          <w:szCs w:val="21"/>
        </w:rPr>
        <w:t>MΩ</w:t>
      </w:r>
      <w:r>
        <w:rPr>
          <w:rFonts w:hint="eastAsia" w:ascii="Times New Roman" w:hAnsi="Times New Roman" w:cs="宋体"/>
          <w:sz w:val="21"/>
          <w:szCs w:val="21"/>
        </w:rPr>
        <w:t>。</w:t>
      </w:r>
    </w:p>
    <w:p>
      <w:pPr>
        <w:spacing w:before="156" w:beforeLines="50" w:after="156" w:afterLines="50"/>
        <w:outlineLvl w:val="0"/>
        <w:rPr>
          <w:rFonts w:ascii="黑体" w:hAnsi="黑体" w:eastAsia="黑体" w:cs="黑体"/>
          <w:sz w:val="21"/>
          <w:szCs w:val="21"/>
        </w:rPr>
      </w:pPr>
      <w:bookmarkStart w:id="32" w:name="_Toc6934"/>
      <w:r>
        <w:rPr>
          <w:rFonts w:hint="eastAsia" w:ascii="黑体" w:hAnsi="黑体" w:eastAsia="黑体" w:cs="黑体"/>
          <w:sz w:val="21"/>
          <w:szCs w:val="21"/>
        </w:rPr>
        <w:t>4.2.3.2 绝缘强度</w:t>
      </w:r>
      <w:bookmarkEnd w:id="32"/>
    </w:p>
    <w:p>
      <w:pPr>
        <w:ind w:firstLine="420" w:firstLineChars="200"/>
        <w:rPr>
          <w:rFonts w:ascii="宋体" w:hAnsi="宋体" w:cs="宋体"/>
          <w:sz w:val="21"/>
          <w:szCs w:val="21"/>
        </w:rPr>
      </w:pPr>
      <w:r>
        <w:rPr>
          <w:rFonts w:hint="eastAsia" w:ascii="宋体" w:hAnsi="宋体" w:cs="宋体"/>
          <w:sz w:val="21"/>
          <w:szCs w:val="21"/>
        </w:rPr>
        <w:t>使用交流电源时，设备电源相、中联线对地的绝缘强度，应能承受交流电压1.5</w:t>
      </w:r>
      <w:r>
        <w:rPr>
          <w:rFonts w:ascii="Times New Roman" w:hAnsi="Times New Roman"/>
          <w:sz w:val="21"/>
          <w:szCs w:val="21"/>
        </w:rPr>
        <w:t>kV</w:t>
      </w:r>
      <w:r>
        <w:rPr>
          <w:rFonts w:hint="eastAsia" w:ascii="宋体" w:hAnsi="宋体" w:cs="宋体"/>
          <w:sz w:val="21"/>
          <w:szCs w:val="21"/>
        </w:rPr>
        <w:t>、50</w:t>
      </w:r>
      <w:r>
        <w:rPr>
          <w:rFonts w:hint="eastAsia" w:ascii="Times New Roman" w:hAnsi="Times New Roman"/>
          <w:sz w:val="21"/>
          <w:szCs w:val="21"/>
        </w:rPr>
        <w:t>Hz</w:t>
      </w:r>
      <w:r>
        <w:rPr>
          <w:rFonts w:hint="eastAsia" w:ascii="宋体" w:hAnsi="宋体" w:cs="宋体"/>
          <w:sz w:val="21"/>
          <w:szCs w:val="21"/>
        </w:rPr>
        <w:t>，历时1</w:t>
      </w:r>
      <w:r>
        <w:rPr>
          <w:rFonts w:hint="eastAsia" w:ascii="Times New Roman" w:hAnsi="Times New Roman"/>
          <w:sz w:val="21"/>
          <w:szCs w:val="21"/>
        </w:rPr>
        <w:t>min</w:t>
      </w:r>
      <w:r>
        <w:rPr>
          <w:rFonts w:hint="eastAsia" w:ascii="宋体" w:hAnsi="宋体" w:cs="宋体"/>
          <w:sz w:val="21"/>
          <w:szCs w:val="21"/>
        </w:rPr>
        <w:t>实验，无飞弧和击穿现象。</w:t>
      </w:r>
    </w:p>
    <w:p>
      <w:pPr>
        <w:spacing w:before="156" w:beforeLines="50" w:after="156" w:afterLines="50"/>
        <w:outlineLvl w:val="0"/>
        <w:rPr>
          <w:rFonts w:ascii="黑体" w:hAnsi="黑体" w:eastAsia="黑体" w:cs="黑体"/>
          <w:sz w:val="21"/>
          <w:szCs w:val="21"/>
        </w:rPr>
      </w:pPr>
      <w:r>
        <w:rPr>
          <w:rFonts w:hint="eastAsia" w:ascii="黑体" w:hAnsi="黑体" w:eastAsia="黑体" w:cs="黑体"/>
          <w:sz w:val="21"/>
          <w:szCs w:val="21"/>
        </w:rPr>
        <w:t>4.2.3.</w:t>
      </w:r>
      <w:r>
        <w:rPr>
          <w:rFonts w:ascii="黑体" w:hAnsi="黑体" w:eastAsia="黑体" w:cs="黑体"/>
          <w:sz w:val="21"/>
          <w:szCs w:val="21"/>
        </w:rPr>
        <w:t xml:space="preserve">3 </w:t>
      </w:r>
      <w:r>
        <w:rPr>
          <w:rFonts w:hint="eastAsia" w:ascii="黑体" w:hAnsi="黑体" w:eastAsia="黑体" w:cs="黑体"/>
          <w:sz w:val="21"/>
          <w:szCs w:val="21"/>
        </w:rPr>
        <w:t>β射线源安全</w:t>
      </w:r>
    </w:p>
    <w:p>
      <w:pPr>
        <w:ind w:firstLine="420" w:firstLineChars="200"/>
        <w:rPr>
          <w:rFonts w:ascii="宋体" w:hAnsi="宋体" w:cs="宋体"/>
          <w:sz w:val="21"/>
          <w:szCs w:val="21"/>
        </w:rPr>
      </w:pPr>
      <w:r>
        <w:rPr>
          <w:rFonts w:hint="eastAsia" w:ascii="宋体" w:hAnsi="宋体" w:cs="宋体"/>
          <w:sz w:val="21"/>
          <w:szCs w:val="21"/>
        </w:rPr>
        <w:t>P</w:t>
      </w:r>
      <w:r>
        <w:rPr>
          <w:rFonts w:ascii="宋体" w:hAnsi="宋体" w:cs="宋体"/>
          <w:sz w:val="21"/>
          <w:szCs w:val="21"/>
        </w:rPr>
        <w:t>M</w:t>
      </w:r>
      <w:r>
        <w:rPr>
          <w:rFonts w:ascii="宋体" w:hAnsi="宋体" w:cs="宋体"/>
          <w:sz w:val="21"/>
          <w:szCs w:val="21"/>
          <w:vertAlign w:val="subscript"/>
        </w:rPr>
        <w:t>10</w:t>
      </w:r>
      <w:r>
        <w:rPr>
          <w:rFonts w:hint="eastAsia" w:ascii="宋体" w:hAnsi="宋体" w:cs="宋体"/>
          <w:sz w:val="21"/>
          <w:szCs w:val="21"/>
        </w:rPr>
        <w:t>连续</w:t>
      </w:r>
      <w:r>
        <w:rPr>
          <w:rFonts w:ascii="宋体" w:hAnsi="宋体" w:cs="宋体"/>
          <w:sz w:val="21"/>
          <w:szCs w:val="21"/>
        </w:rPr>
        <w:t>监测系统所配置监测仪器的测量方法为β射线吸收法时</w:t>
      </w:r>
      <w:r>
        <w:rPr>
          <w:rFonts w:hint="eastAsia" w:ascii="宋体" w:hAnsi="宋体" w:cs="宋体"/>
          <w:sz w:val="21"/>
          <w:szCs w:val="21"/>
        </w:rPr>
        <w:t>，</w:t>
      </w:r>
      <w:r>
        <w:rPr>
          <w:rFonts w:ascii="宋体" w:hAnsi="宋体" w:cs="宋体"/>
          <w:sz w:val="21"/>
          <w:szCs w:val="21"/>
        </w:rPr>
        <w:t>使用的β射线源应符合放射性安全标准</w:t>
      </w:r>
      <w:r>
        <w:rPr>
          <w:rFonts w:hint="eastAsia" w:ascii="宋体" w:hAnsi="宋体" w:cs="宋体"/>
          <w:sz w:val="21"/>
          <w:szCs w:val="21"/>
        </w:rPr>
        <w:t>。</w:t>
      </w:r>
    </w:p>
    <w:p>
      <w:pPr>
        <w:spacing w:before="156" w:beforeLines="50" w:after="156" w:afterLines="50"/>
        <w:outlineLvl w:val="0"/>
        <w:rPr>
          <w:rFonts w:ascii="黑体" w:hAnsi="黑体" w:eastAsia="黑体" w:cs="黑体"/>
          <w:sz w:val="21"/>
          <w:szCs w:val="21"/>
        </w:rPr>
      </w:pPr>
      <w:bookmarkStart w:id="33" w:name="_Toc17824"/>
      <w:r>
        <w:rPr>
          <w:rFonts w:hint="eastAsia" w:ascii="黑体" w:hAnsi="黑体" w:eastAsia="黑体" w:cs="黑体"/>
          <w:sz w:val="21"/>
          <w:szCs w:val="21"/>
        </w:rPr>
        <w:t>4.2.4 视频监控单元</w:t>
      </w:r>
      <w:bookmarkEnd w:id="33"/>
    </w:p>
    <w:p>
      <w:pPr>
        <w:ind w:firstLine="420" w:firstLineChars="200"/>
        <w:rPr>
          <w:rFonts w:ascii="宋体" w:hAnsi="宋体" w:cs="宋体"/>
          <w:sz w:val="21"/>
          <w:szCs w:val="21"/>
        </w:rPr>
      </w:pPr>
      <w:r>
        <w:rPr>
          <w:rFonts w:hint="eastAsia" w:ascii="宋体" w:hAnsi="宋体" w:cs="宋体"/>
          <w:sz w:val="21"/>
          <w:szCs w:val="21"/>
        </w:rPr>
        <w:t>视频监控单元应符合相应技术标准，且与雄安新区</w:t>
      </w:r>
      <w:r>
        <w:rPr>
          <w:rFonts w:hint="eastAsia" w:ascii="宋体" w:hAnsi="宋体" w:cs="宋体"/>
          <w:sz w:val="21"/>
          <w:szCs w:val="21"/>
          <w:lang w:val="en-US" w:eastAsia="zh-CN"/>
        </w:rPr>
        <w:t>相关</w:t>
      </w:r>
      <w:r>
        <w:rPr>
          <w:rFonts w:hint="eastAsia" w:ascii="宋体" w:hAnsi="宋体" w:cs="宋体"/>
          <w:sz w:val="21"/>
          <w:szCs w:val="21"/>
        </w:rPr>
        <w:t>管理</w:t>
      </w:r>
      <w:r>
        <w:rPr>
          <w:rFonts w:hint="eastAsia" w:ascii="宋体" w:hAnsi="宋体" w:cs="宋体"/>
          <w:sz w:val="21"/>
          <w:szCs w:val="21"/>
          <w:lang w:val="en-US" w:eastAsia="zh-CN"/>
        </w:rPr>
        <w:t>部门</w:t>
      </w:r>
      <w:r>
        <w:rPr>
          <w:rFonts w:hint="eastAsia" w:ascii="宋体" w:hAnsi="宋体" w:cs="宋体"/>
          <w:sz w:val="21"/>
          <w:szCs w:val="21"/>
        </w:rPr>
        <w:t>平台相匹配，应带有360°摄像头，能观察监测场地实时状况，并可根据需要对现场环境进行定时视频抓拍或监测浓度超限报警视频抓拍。</w:t>
      </w:r>
    </w:p>
    <w:p>
      <w:pPr>
        <w:spacing w:before="156" w:beforeLines="50" w:after="156" w:afterLines="50"/>
        <w:outlineLvl w:val="0"/>
        <w:rPr>
          <w:rFonts w:ascii="黑体" w:hAnsi="黑体" w:eastAsia="黑体" w:cs="黑体"/>
          <w:sz w:val="21"/>
          <w:szCs w:val="21"/>
        </w:rPr>
      </w:pPr>
      <w:bookmarkStart w:id="34" w:name="_Toc14417"/>
      <w:r>
        <w:rPr>
          <w:rFonts w:hint="eastAsia" w:ascii="黑体" w:hAnsi="黑体" w:eastAsia="黑体" w:cs="黑体"/>
          <w:sz w:val="21"/>
          <w:szCs w:val="21"/>
        </w:rPr>
        <w:t>4.2.5 气象传感器</w:t>
      </w:r>
      <w:bookmarkEnd w:id="34"/>
    </w:p>
    <w:p>
      <w:pPr>
        <w:ind w:firstLine="420" w:firstLineChars="200"/>
        <w:rPr>
          <w:rFonts w:ascii="宋体" w:hAnsi="宋体" w:cs="宋体"/>
          <w:sz w:val="21"/>
          <w:szCs w:val="21"/>
        </w:rPr>
      </w:pPr>
      <w:r>
        <w:rPr>
          <w:rFonts w:hint="eastAsia" w:ascii="宋体" w:hAnsi="宋体" w:cs="宋体"/>
          <w:sz w:val="21"/>
          <w:szCs w:val="21"/>
        </w:rPr>
        <w:t>气象传感器主要用于记录监测点位的风向风速等气象环境，可用于分析该污染源对周边环境的影响。</w:t>
      </w:r>
    </w:p>
    <w:p>
      <w:pPr>
        <w:spacing w:before="156" w:beforeLines="50" w:after="156" w:afterLines="50"/>
        <w:outlineLvl w:val="0"/>
        <w:rPr>
          <w:rFonts w:ascii="黑体" w:hAnsi="黑体" w:eastAsia="黑体" w:cs="黑体"/>
          <w:sz w:val="21"/>
          <w:szCs w:val="21"/>
        </w:rPr>
      </w:pPr>
      <w:bookmarkStart w:id="35" w:name="_Toc26174"/>
      <w:bookmarkStart w:id="36" w:name="_Toc30785"/>
      <w:bookmarkStart w:id="37" w:name="_Toc8089"/>
      <w:r>
        <w:rPr>
          <w:rFonts w:hint="eastAsia" w:ascii="黑体" w:hAnsi="黑体" w:eastAsia="黑体" w:cs="黑体"/>
          <w:sz w:val="21"/>
          <w:szCs w:val="21"/>
        </w:rPr>
        <w:t>4.3 数据处理单元</w:t>
      </w:r>
      <w:bookmarkEnd w:id="35"/>
      <w:bookmarkEnd w:id="36"/>
      <w:bookmarkEnd w:id="37"/>
    </w:p>
    <w:p>
      <w:pPr>
        <w:ind w:firstLine="420" w:firstLineChars="200"/>
        <w:rPr>
          <w:rFonts w:ascii="宋体" w:hAnsi="宋体" w:cs="宋体"/>
          <w:sz w:val="21"/>
          <w:szCs w:val="21"/>
        </w:rPr>
      </w:pPr>
      <w:r>
        <w:rPr>
          <w:rFonts w:hint="eastAsia" w:ascii="宋体" w:hAnsi="宋体" w:cs="宋体"/>
          <w:sz w:val="21"/>
          <w:szCs w:val="21"/>
        </w:rPr>
        <w:t>数据处理单元由数据采集、数据传输和数据存储等组成。采集、存储各种监测数据，并按后台服务器指令定时向后台服务器传输在线监测数据和设备的工作状态。</w:t>
      </w:r>
    </w:p>
    <w:p>
      <w:pPr>
        <w:spacing w:before="156" w:beforeLines="50" w:after="156" w:afterLines="50"/>
        <w:outlineLvl w:val="0"/>
        <w:rPr>
          <w:rFonts w:ascii="黑体" w:hAnsi="黑体" w:eastAsia="黑体" w:cs="黑体"/>
          <w:sz w:val="21"/>
          <w:szCs w:val="21"/>
        </w:rPr>
      </w:pPr>
      <w:bookmarkStart w:id="38" w:name="_Toc13543"/>
      <w:bookmarkStart w:id="39" w:name="_Toc13433"/>
      <w:bookmarkStart w:id="40" w:name="_Toc25497"/>
      <w:r>
        <w:rPr>
          <w:rFonts w:hint="eastAsia" w:ascii="黑体" w:hAnsi="黑体" w:eastAsia="黑体" w:cs="黑体"/>
          <w:sz w:val="21"/>
          <w:szCs w:val="21"/>
        </w:rPr>
        <w:t>4.4 数据应用单元</w:t>
      </w:r>
      <w:bookmarkEnd w:id="38"/>
      <w:bookmarkEnd w:id="39"/>
      <w:bookmarkEnd w:id="40"/>
    </w:p>
    <w:p>
      <w:pPr>
        <w:ind w:firstLine="420" w:firstLineChars="200"/>
        <w:rPr>
          <w:rFonts w:ascii="宋体" w:hAnsi="宋体" w:cs="宋体"/>
          <w:sz w:val="21"/>
          <w:szCs w:val="21"/>
        </w:rPr>
      </w:pPr>
      <w:r>
        <w:rPr>
          <w:rFonts w:hint="eastAsia" w:ascii="宋体" w:hAnsi="宋体" w:cs="宋体"/>
          <w:sz w:val="21"/>
          <w:szCs w:val="21"/>
        </w:rPr>
        <w:t>数据应用单元由监控平台和移动</w:t>
      </w:r>
      <w:r>
        <w:rPr>
          <w:rFonts w:hint="eastAsia" w:ascii="Times New Roman" w:hAnsi="Times New Roman"/>
          <w:sz w:val="21"/>
          <w:szCs w:val="21"/>
        </w:rPr>
        <w:t>端</w:t>
      </w:r>
      <w:r>
        <w:rPr>
          <w:rFonts w:hint="eastAsia" w:ascii="宋体" w:hAnsi="宋体" w:cs="宋体"/>
          <w:sz w:val="21"/>
          <w:szCs w:val="21"/>
        </w:rPr>
        <w:t>等组成。用于扬尘等各类监测数据的信息存储，并对监测结果进行判别、检查、存储、统计分析与处理的信息化系统。</w:t>
      </w:r>
    </w:p>
    <w:p>
      <w:pPr>
        <w:pStyle w:val="4"/>
        <w:spacing w:before="312" w:after="312"/>
      </w:pPr>
      <w:bookmarkStart w:id="41" w:name="_Toc1675"/>
      <w:r>
        <w:t>5 监测点位与设备安装</w:t>
      </w:r>
      <w:bookmarkEnd w:id="41"/>
    </w:p>
    <w:p>
      <w:pPr>
        <w:spacing w:before="156" w:beforeLines="50" w:after="156" w:afterLines="50"/>
        <w:outlineLvl w:val="0"/>
        <w:rPr>
          <w:rFonts w:ascii="黑体" w:hAnsi="黑体" w:eastAsia="黑体" w:cs="黑体"/>
          <w:sz w:val="21"/>
          <w:szCs w:val="21"/>
        </w:rPr>
      </w:pPr>
      <w:bookmarkStart w:id="42" w:name="_Toc31602"/>
      <w:bookmarkStart w:id="43" w:name="_Toc26437"/>
      <w:bookmarkStart w:id="44" w:name="_Toc11391"/>
      <w:r>
        <w:rPr>
          <w:rFonts w:hint="eastAsia" w:ascii="黑体" w:hAnsi="黑体" w:eastAsia="黑体" w:cs="黑体"/>
          <w:sz w:val="21"/>
          <w:szCs w:val="21"/>
        </w:rPr>
        <w:t>5.1 点位设置要求</w:t>
      </w:r>
      <w:bookmarkEnd w:id="42"/>
      <w:bookmarkEnd w:id="43"/>
      <w:bookmarkEnd w:id="44"/>
    </w:p>
    <w:p>
      <w:pPr>
        <w:spacing w:before="156" w:beforeLines="50" w:after="156" w:afterLines="50"/>
        <w:outlineLvl w:val="0"/>
        <w:rPr>
          <w:rFonts w:ascii="黑体" w:hAnsi="黑体" w:eastAsia="黑体" w:cs="黑体"/>
          <w:sz w:val="21"/>
          <w:szCs w:val="21"/>
        </w:rPr>
      </w:pPr>
      <w:bookmarkStart w:id="45" w:name="_Toc7542"/>
      <w:r>
        <w:rPr>
          <w:rFonts w:hint="eastAsia" w:ascii="黑体" w:hAnsi="黑体" w:eastAsia="黑体" w:cs="黑体"/>
          <w:sz w:val="21"/>
          <w:szCs w:val="21"/>
        </w:rPr>
        <w:t>5.1.1 房屋建设工程监测点位设置要求</w:t>
      </w:r>
      <w:bookmarkEnd w:id="45"/>
    </w:p>
    <w:p>
      <w:pPr>
        <w:rPr>
          <w:rFonts w:ascii="宋体" w:hAnsi="宋体" w:cs="宋体"/>
          <w:sz w:val="21"/>
          <w:szCs w:val="21"/>
        </w:rPr>
      </w:pPr>
      <w:r>
        <w:rPr>
          <w:rFonts w:hint="eastAsia" w:ascii="黑体" w:hAnsi="黑体" w:eastAsia="黑体" w:cs="黑体"/>
          <w:sz w:val="21"/>
          <w:szCs w:val="21"/>
        </w:rPr>
        <w:t xml:space="preserve">5.1.1.1 </w:t>
      </w:r>
      <w:r>
        <w:rPr>
          <w:rFonts w:hint="eastAsia" w:ascii="宋体" w:hAnsi="宋体" w:cs="宋体"/>
          <w:sz w:val="21"/>
          <w:szCs w:val="21"/>
        </w:rPr>
        <w:t>根据房屋建设工程占地面积确定监测点数量，监测点数量应符合表2的要求。</w:t>
      </w:r>
    </w:p>
    <w:p>
      <w:pPr>
        <w:pStyle w:val="6"/>
        <w:spacing w:before="156" w:beforeLines="50" w:after="156" w:afterLines="50"/>
        <w:jc w:val="center"/>
        <w:rPr>
          <w:rFonts w:ascii="黑体" w:hAnsi="黑体" w:eastAsia="黑体" w:cs="黑体"/>
          <w:sz w:val="21"/>
        </w:rPr>
      </w:pPr>
      <w:r>
        <w:rPr>
          <w:rFonts w:hint="eastAsia" w:ascii="黑体" w:hAnsi="黑体" w:eastAsia="黑体" w:cs="黑体"/>
          <w:sz w:val="21"/>
        </w:rPr>
        <w:t>表2 施工场地扬尘监测点数量设置</w:t>
      </w:r>
    </w:p>
    <w:tbl>
      <w:tblPr>
        <w:tblStyle w:val="13"/>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6"/>
        <w:gridCol w:w="6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2" w:type="pct"/>
          </w:tcPr>
          <w:p>
            <w:pPr>
              <w:jc w:val="center"/>
              <w:rPr>
                <w:rFonts w:ascii="Times New Roman" w:hAnsi="Times New Roman" w:cs="宋体"/>
                <w:sz w:val="18"/>
                <w:szCs w:val="18"/>
              </w:rPr>
            </w:pPr>
            <w:r>
              <w:rPr>
                <w:rFonts w:hint="eastAsia" w:ascii="Times New Roman" w:hAnsi="Times New Roman" w:cs="宋体"/>
                <w:sz w:val="18"/>
                <w:szCs w:val="18"/>
              </w:rPr>
              <w:t>占地面积S（m</w:t>
            </w:r>
            <w:r>
              <w:rPr>
                <w:rFonts w:hint="eastAsia" w:ascii="Times New Roman" w:hAnsi="Times New Roman" w:cs="宋体"/>
                <w:sz w:val="18"/>
                <w:szCs w:val="18"/>
                <w:vertAlign w:val="superscript"/>
              </w:rPr>
              <w:t>2</w:t>
            </w:r>
            <w:r>
              <w:rPr>
                <w:rFonts w:hint="eastAsia" w:ascii="Times New Roman" w:hAnsi="Times New Roman" w:cs="宋体"/>
                <w:sz w:val="18"/>
                <w:szCs w:val="18"/>
              </w:rPr>
              <w:t>）</w:t>
            </w:r>
          </w:p>
        </w:tc>
        <w:tc>
          <w:tcPr>
            <w:tcW w:w="3197" w:type="pct"/>
          </w:tcPr>
          <w:p>
            <w:pPr>
              <w:jc w:val="center"/>
              <w:rPr>
                <w:rFonts w:ascii="Times New Roman" w:hAnsi="Times New Roman" w:cs="宋体"/>
                <w:sz w:val="18"/>
                <w:szCs w:val="18"/>
              </w:rPr>
            </w:pPr>
            <w:r>
              <w:rPr>
                <w:rFonts w:hint="eastAsia" w:ascii="Times New Roman" w:hAnsi="Times New Roman" w:cs="宋体"/>
                <w:sz w:val="18"/>
                <w:szCs w:val="18"/>
              </w:rPr>
              <w:t>监测点数量（个）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2" w:type="pct"/>
            <w:vAlign w:val="center"/>
          </w:tcPr>
          <w:p>
            <w:pPr>
              <w:jc w:val="center"/>
              <w:rPr>
                <w:rFonts w:ascii="Times New Roman" w:hAnsi="Times New Roman" w:cs="宋体"/>
                <w:sz w:val="18"/>
                <w:szCs w:val="18"/>
              </w:rPr>
            </w:pPr>
            <w:r>
              <w:rPr>
                <w:rFonts w:hint="eastAsia" w:ascii="Times New Roman" w:hAnsi="Times New Roman" w:cs="宋体"/>
                <w:sz w:val="18"/>
                <w:szCs w:val="18"/>
              </w:rPr>
              <w:t>S≤</w:t>
            </w:r>
            <w:r>
              <w:rPr>
                <w:rFonts w:hint="eastAsia" w:ascii="宋体" w:hAnsi="宋体" w:cs="宋体"/>
                <w:sz w:val="18"/>
                <w:szCs w:val="18"/>
              </w:rPr>
              <w:t>5000</w:t>
            </w:r>
          </w:p>
        </w:tc>
        <w:tc>
          <w:tcPr>
            <w:tcW w:w="3197" w:type="pct"/>
          </w:tcPr>
          <w:p>
            <w:pPr>
              <w:jc w:val="center"/>
              <w:rPr>
                <w:rFonts w:ascii="Times New Roman" w:hAnsi="Times New Roman" w:cs="宋体"/>
                <w:sz w:val="18"/>
                <w:szCs w:val="18"/>
              </w:rPr>
            </w:pPr>
            <w:r>
              <w:rPr>
                <w:rFonts w:hint="eastAsia" w:ascii="Times New Roman" w:hAnsi="Times New Roman" w:cs="宋体"/>
                <w:sz w:val="18"/>
                <w:szCs w:val="18"/>
              </w:rPr>
              <w:t>≥</w:t>
            </w: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2" w:type="pct"/>
            <w:vAlign w:val="center"/>
          </w:tcPr>
          <w:p>
            <w:pPr>
              <w:jc w:val="center"/>
              <w:rPr>
                <w:rFonts w:ascii="Times New Roman" w:hAnsi="Times New Roman" w:cs="宋体"/>
                <w:sz w:val="18"/>
                <w:szCs w:val="18"/>
              </w:rPr>
            </w:pPr>
            <w:r>
              <w:rPr>
                <w:rFonts w:hint="eastAsia" w:ascii="宋体" w:hAnsi="宋体" w:cs="宋体"/>
                <w:sz w:val="18"/>
                <w:szCs w:val="18"/>
              </w:rPr>
              <w:t>5000</w:t>
            </w:r>
            <w:r>
              <w:rPr>
                <w:rFonts w:hint="eastAsia" w:ascii="Times New Roman" w:hAnsi="Times New Roman" w:cs="宋体"/>
                <w:sz w:val="18"/>
                <w:szCs w:val="18"/>
              </w:rPr>
              <w:t>＜S≤</w:t>
            </w:r>
            <w:r>
              <w:rPr>
                <w:rFonts w:hint="eastAsia" w:ascii="宋体" w:hAnsi="宋体" w:cs="宋体"/>
                <w:sz w:val="18"/>
                <w:szCs w:val="18"/>
              </w:rPr>
              <w:t>10000</w:t>
            </w:r>
          </w:p>
        </w:tc>
        <w:tc>
          <w:tcPr>
            <w:tcW w:w="3197" w:type="pct"/>
          </w:tcPr>
          <w:p>
            <w:pPr>
              <w:jc w:val="center"/>
              <w:rPr>
                <w:rFonts w:ascii="Times New Roman" w:hAnsi="Times New Roman" w:cs="宋体"/>
                <w:sz w:val="18"/>
                <w:szCs w:val="18"/>
              </w:rPr>
            </w:pPr>
            <w:r>
              <w:rPr>
                <w:rFonts w:hint="eastAsia" w:ascii="Times New Roman" w:hAnsi="Times New Roman" w:cs="宋体"/>
                <w:sz w:val="18"/>
                <w:szCs w:val="18"/>
              </w:rPr>
              <w:t>≥</w:t>
            </w: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2" w:type="pct"/>
            <w:vAlign w:val="center"/>
          </w:tcPr>
          <w:p>
            <w:pPr>
              <w:jc w:val="center"/>
              <w:rPr>
                <w:rFonts w:ascii="Times New Roman" w:hAnsi="Times New Roman" w:cs="宋体"/>
                <w:sz w:val="18"/>
                <w:szCs w:val="18"/>
              </w:rPr>
            </w:pPr>
            <w:r>
              <w:rPr>
                <w:rFonts w:hint="eastAsia" w:ascii="宋体" w:hAnsi="宋体" w:cs="宋体"/>
                <w:sz w:val="18"/>
                <w:szCs w:val="18"/>
              </w:rPr>
              <w:t>10000</w:t>
            </w:r>
            <w:r>
              <w:rPr>
                <w:rFonts w:hint="eastAsia" w:ascii="Times New Roman" w:hAnsi="Times New Roman" w:cs="宋体"/>
                <w:sz w:val="18"/>
                <w:szCs w:val="18"/>
              </w:rPr>
              <w:t>＜S≤</w:t>
            </w:r>
            <w:r>
              <w:rPr>
                <w:rFonts w:hint="eastAsia" w:ascii="宋体" w:hAnsi="宋体" w:cs="宋体"/>
                <w:sz w:val="18"/>
                <w:szCs w:val="18"/>
              </w:rPr>
              <w:t>100000</w:t>
            </w:r>
          </w:p>
        </w:tc>
        <w:tc>
          <w:tcPr>
            <w:tcW w:w="3197" w:type="pct"/>
          </w:tcPr>
          <w:p>
            <w:pPr>
              <w:jc w:val="center"/>
              <w:rPr>
                <w:rFonts w:ascii="Times New Roman" w:hAnsi="Times New Roman" w:cs="宋体"/>
                <w:sz w:val="18"/>
                <w:szCs w:val="18"/>
              </w:rPr>
            </w:pPr>
            <w:r>
              <w:rPr>
                <w:rFonts w:hint="eastAsia" w:ascii="Times New Roman" w:hAnsi="Times New Roman" w:cs="宋体"/>
                <w:sz w:val="18"/>
                <w:szCs w:val="18"/>
              </w:rPr>
              <w:t>≥</w:t>
            </w: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2" w:type="pct"/>
            <w:vAlign w:val="center"/>
          </w:tcPr>
          <w:p>
            <w:pPr>
              <w:jc w:val="center"/>
              <w:rPr>
                <w:rFonts w:ascii="Times New Roman" w:hAnsi="Times New Roman" w:cs="宋体"/>
                <w:sz w:val="18"/>
                <w:szCs w:val="18"/>
              </w:rPr>
            </w:pPr>
            <w:r>
              <w:rPr>
                <w:rFonts w:hint="eastAsia" w:ascii="Times New Roman" w:hAnsi="Times New Roman" w:cs="宋体"/>
                <w:sz w:val="18"/>
                <w:szCs w:val="18"/>
              </w:rPr>
              <w:t>S＞</w:t>
            </w:r>
            <w:r>
              <w:rPr>
                <w:rFonts w:hint="eastAsia" w:ascii="宋体" w:hAnsi="宋体" w:cs="宋体"/>
                <w:sz w:val="18"/>
                <w:szCs w:val="18"/>
              </w:rPr>
              <w:t>100000</w:t>
            </w:r>
          </w:p>
        </w:tc>
        <w:tc>
          <w:tcPr>
            <w:tcW w:w="3197" w:type="pct"/>
          </w:tcPr>
          <w:p>
            <w:pPr>
              <w:rPr>
                <w:rFonts w:ascii="Times New Roman" w:hAnsi="Times New Roman" w:cs="宋体"/>
                <w:sz w:val="18"/>
                <w:szCs w:val="18"/>
              </w:rPr>
            </w:pPr>
            <w:r>
              <w:rPr>
                <w:rFonts w:hint="eastAsia" w:ascii="Times New Roman" w:hAnsi="Times New Roman" w:cs="宋体"/>
                <w:sz w:val="18"/>
                <w:szCs w:val="18"/>
              </w:rPr>
              <w:t>在</w:t>
            </w:r>
            <w:r>
              <w:rPr>
                <w:rFonts w:hint="eastAsia" w:ascii="宋体" w:hAnsi="宋体" w:cs="宋体"/>
                <w:sz w:val="18"/>
                <w:szCs w:val="18"/>
              </w:rPr>
              <w:t>10</w:t>
            </w:r>
            <w:r>
              <w:rPr>
                <w:rFonts w:hint="eastAsia" w:ascii="Times New Roman" w:hAnsi="Times New Roman" w:cs="宋体"/>
                <w:sz w:val="18"/>
                <w:szCs w:val="18"/>
              </w:rPr>
              <w:t>万平方米最少设置</w:t>
            </w:r>
            <w:r>
              <w:rPr>
                <w:rFonts w:hint="eastAsia" w:ascii="宋体" w:hAnsi="宋体" w:cs="宋体"/>
                <w:sz w:val="18"/>
                <w:szCs w:val="18"/>
              </w:rPr>
              <w:t>4</w:t>
            </w:r>
            <w:r>
              <w:rPr>
                <w:rFonts w:hint="eastAsia" w:ascii="Times New Roman" w:hAnsi="Times New Roman" w:cs="宋体"/>
                <w:sz w:val="18"/>
                <w:szCs w:val="18"/>
              </w:rPr>
              <w:t>个监测点的基础上，每增加</w:t>
            </w:r>
            <w:r>
              <w:rPr>
                <w:rFonts w:hint="eastAsia" w:ascii="宋体" w:hAnsi="宋体" w:cs="宋体"/>
                <w:sz w:val="18"/>
                <w:szCs w:val="18"/>
              </w:rPr>
              <w:t>10</w:t>
            </w:r>
            <w:r>
              <w:rPr>
                <w:rFonts w:hint="eastAsia" w:ascii="Times New Roman" w:hAnsi="Times New Roman" w:cs="宋体"/>
                <w:sz w:val="18"/>
                <w:szCs w:val="18"/>
              </w:rPr>
              <w:t>万平方米最少增设</w:t>
            </w:r>
            <w:r>
              <w:rPr>
                <w:rFonts w:hint="eastAsia" w:ascii="宋体" w:hAnsi="宋体" w:cs="宋体"/>
                <w:sz w:val="18"/>
                <w:szCs w:val="18"/>
              </w:rPr>
              <w:t>1</w:t>
            </w:r>
            <w:r>
              <w:rPr>
                <w:rFonts w:hint="eastAsia" w:ascii="Times New Roman" w:hAnsi="Times New Roman" w:cs="宋体"/>
                <w:sz w:val="18"/>
                <w:szCs w:val="18"/>
              </w:rPr>
              <w:t>个监测点(不足</w:t>
            </w:r>
            <w:r>
              <w:rPr>
                <w:rFonts w:hint="eastAsia" w:ascii="宋体" w:hAnsi="宋体" w:cs="宋体"/>
                <w:sz w:val="18"/>
                <w:szCs w:val="18"/>
              </w:rPr>
              <w:t>10</w:t>
            </w:r>
            <w:r>
              <w:rPr>
                <w:rFonts w:hint="eastAsia" w:ascii="Times New Roman" w:hAnsi="Times New Roman" w:cs="宋体"/>
                <w:sz w:val="18"/>
                <w:szCs w:val="18"/>
              </w:rPr>
              <w:t>万平方米的部分按</w:t>
            </w:r>
            <w:r>
              <w:rPr>
                <w:rFonts w:hint="eastAsia" w:ascii="宋体" w:hAnsi="宋体" w:cs="宋体"/>
                <w:sz w:val="18"/>
                <w:szCs w:val="18"/>
              </w:rPr>
              <w:t>10</w:t>
            </w:r>
            <w:r>
              <w:rPr>
                <w:rFonts w:hint="eastAsia" w:ascii="Times New Roman" w:hAnsi="Times New Roman" w:cs="宋体"/>
                <w:sz w:val="18"/>
                <w:szCs w:val="18"/>
              </w:rPr>
              <w:t>万平方米计)。</w:t>
            </w:r>
          </w:p>
        </w:tc>
      </w:tr>
    </w:tbl>
    <w:p>
      <w:pPr>
        <w:spacing w:before="156" w:beforeLines="50"/>
        <w:rPr>
          <w:rFonts w:ascii="Times New Roman" w:hAnsi="Times New Roman"/>
          <w:sz w:val="21"/>
          <w:szCs w:val="21"/>
        </w:rPr>
      </w:pPr>
      <w:r>
        <w:rPr>
          <w:rFonts w:hint="eastAsia" w:ascii="黑体" w:hAnsi="黑体" w:eastAsia="黑体" w:cs="黑体"/>
          <w:sz w:val="21"/>
          <w:szCs w:val="21"/>
        </w:rPr>
        <w:t>5.1.1.2</w:t>
      </w:r>
      <w:r>
        <w:rPr>
          <w:rFonts w:hint="eastAsia" w:ascii="Times New Roman" w:hAnsi="Times New Roman"/>
          <w:sz w:val="21"/>
          <w:szCs w:val="21"/>
        </w:rPr>
        <w:t xml:space="preserve"> </w:t>
      </w:r>
      <w:r>
        <w:rPr>
          <w:rFonts w:ascii="Times New Roman" w:hAnsi="Times New Roman"/>
          <w:sz w:val="21"/>
          <w:szCs w:val="21"/>
        </w:rPr>
        <w:t>监测点位应设置于施工区域围栏安全范围内，可直接监控施工场地主要施工活动。监测点位不宜轻易变动，以保证监测的连续性和数据的可比性。</w:t>
      </w:r>
    </w:p>
    <w:p>
      <w:pPr>
        <w:rPr>
          <w:rFonts w:ascii="Times New Roman" w:hAnsi="Times New Roman"/>
          <w:sz w:val="21"/>
          <w:szCs w:val="21"/>
        </w:rPr>
      </w:pPr>
      <w:r>
        <w:rPr>
          <w:rFonts w:hint="eastAsia" w:ascii="黑体" w:hAnsi="黑体" w:eastAsia="黑体" w:cs="黑体"/>
          <w:sz w:val="21"/>
          <w:szCs w:val="21"/>
        </w:rPr>
        <w:t>5.1.1.3</w:t>
      </w:r>
      <w:r>
        <w:rPr>
          <w:rFonts w:hint="eastAsia" w:ascii="Times New Roman" w:hAnsi="Times New Roman"/>
          <w:sz w:val="21"/>
          <w:szCs w:val="21"/>
        </w:rPr>
        <w:t xml:space="preserve"> </w:t>
      </w:r>
      <w:r>
        <w:rPr>
          <w:rFonts w:ascii="Times New Roman" w:hAnsi="Times New Roman"/>
          <w:sz w:val="21"/>
          <w:szCs w:val="21"/>
        </w:rPr>
        <w:t>监测点位应优先设置于车辆进出口处，监测点位数量多于车辆进出口数量时，其它监测点位应结合常年主导风向，设置在工地所在区域主导风向下风向的施工场地边界，兼顾扬尘最大落地浓度。</w:t>
      </w:r>
    </w:p>
    <w:p>
      <w:pPr>
        <w:rPr>
          <w:rFonts w:ascii="Times New Roman" w:hAnsi="Times New Roman"/>
          <w:sz w:val="21"/>
          <w:szCs w:val="21"/>
        </w:rPr>
      </w:pPr>
      <w:r>
        <w:rPr>
          <w:rFonts w:hint="eastAsia" w:ascii="黑体" w:hAnsi="黑体" w:eastAsia="黑体" w:cs="黑体"/>
          <w:sz w:val="21"/>
          <w:szCs w:val="21"/>
        </w:rPr>
        <w:t>5.1.1.4</w:t>
      </w:r>
      <w:r>
        <w:rPr>
          <w:rFonts w:hint="eastAsia" w:ascii="Times New Roman" w:hAnsi="Times New Roman"/>
          <w:sz w:val="21"/>
          <w:szCs w:val="21"/>
        </w:rPr>
        <w:t xml:space="preserve"> </w:t>
      </w:r>
      <w:r>
        <w:rPr>
          <w:rFonts w:ascii="Times New Roman" w:hAnsi="Times New Roman"/>
          <w:sz w:val="21"/>
          <w:szCs w:val="21"/>
        </w:rPr>
        <w:t>当与其他建筑工地相邻或施工场地外侧是交通道路且受道路扬尘影响较大时，应避开在相邻边界处设置监测点。</w:t>
      </w:r>
    </w:p>
    <w:p>
      <w:pPr>
        <w:rPr>
          <w:rFonts w:ascii="黑体" w:hAnsi="黑体" w:eastAsia="黑体" w:cs="黑体"/>
          <w:sz w:val="21"/>
          <w:szCs w:val="21"/>
        </w:rPr>
      </w:pPr>
      <w:r>
        <w:rPr>
          <w:rFonts w:hint="eastAsia" w:ascii="黑体" w:hAnsi="黑体" w:eastAsia="黑体" w:cs="黑体"/>
          <w:sz w:val="21"/>
          <w:szCs w:val="21"/>
        </w:rPr>
        <w:t>5.1.1.</w:t>
      </w:r>
      <w:r>
        <w:rPr>
          <w:rFonts w:ascii="黑体" w:hAnsi="黑体" w:eastAsia="黑体" w:cs="黑体"/>
          <w:sz w:val="21"/>
          <w:szCs w:val="21"/>
        </w:rPr>
        <w:t>5</w:t>
      </w:r>
      <w:r>
        <w:rPr>
          <w:rFonts w:hint="eastAsia" w:ascii="黑体" w:hAnsi="黑体" w:eastAsia="黑体" w:cs="黑体"/>
          <w:sz w:val="21"/>
          <w:szCs w:val="21"/>
        </w:rPr>
        <w:t>施工现场如有物料堆场，监测点设置于物料堆场边界范围内，且可直接监控散体物料堆场主要生产活动。</w:t>
      </w:r>
    </w:p>
    <w:p>
      <w:pPr>
        <w:spacing w:before="156" w:beforeLines="50" w:after="156" w:afterLines="50"/>
        <w:outlineLvl w:val="0"/>
        <w:rPr>
          <w:rFonts w:ascii="黑体" w:hAnsi="黑体" w:eastAsia="黑体" w:cs="黑体"/>
          <w:sz w:val="21"/>
          <w:szCs w:val="21"/>
        </w:rPr>
      </w:pPr>
      <w:bookmarkStart w:id="46" w:name="_Toc10101"/>
      <w:r>
        <w:rPr>
          <w:rFonts w:hint="eastAsia" w:ascii="黑体" w:hAnsi="黑体" w:eastAsia="黑体" w:cs="黑体"/>
          <w:sz w:val="21"/>
          <w:szCs w:val="21"/>
        </w:rPr>
        <w:t>5.1.2 市政工程、公路工程、铁路工程等监测点位设置要求</w:t>
      </w:r>
      <w:bookmarkEnd w:id="46"/>
    </w:p>
    <w:p>
      <w:pPr>
        <w:rPr>
          <w:rFonts w:ascii="Times New Roman" w:hAnsi="Times New Roman"/>
          <w:sz w:val="21"/>
          <w:szCs w:val="21"/>
        </w:rPr>
      </w:pPr>
      <w:r>
        <w:rPr>
          <w:rFonts w:hint="eastAsia" w:ascii="黑体" w:hAnsi="黑体" w:eastAsia="黑体" w:cs="黑体"/>
          <w:sz w:val="21"/>
          <w:szCs w:val="21"/>
        </w:rPr>
        <w:t>5.1.2.1</w:t>
      </w:r>
      <w:r>
        <w:rPr>
          <w:rFonts w:ascii="Times New Roman" w:hAnsi="Times New Roman"/>
          <w:sz w:val="21"/>
          <w:szCs w:val="21"/>
        </w:rPr>
        <w:t xml:space="preserve"> 非线性工程的市政建设施工根据其占地面积确定监测点数量，监测点数量应符</w:t>
      </w:r>
      <w:r>
        <w:rPr>
          <w:rFonts w:hint="eastAsia" w:ascii="宋体" w:hAnsi="宋体" w:cs="宋体"/>
          <w:sz w:val="21"/>
          <w:szCs w:val="21"/>
        </w:rPr>
        <w:t>合表2要</w:t>
      </w:r>
      <w:r>
        <w:rPr>
          <w:rFonts w:ascii="Times New Roman" w:hAnsi="Times New Roman"/>
          <w:sz w:val="21"/>
          <w:szCs w:val="21"/>
        </w:rPr>
        <w:t>求。</w:t>
      </w:r>
    </w:p>
    <w:p>
      <w:pPr>
        <w:rPr>
          <w:rFonts w:ascii="Times New Roman" w:hAnsi="Times New Roman"/>
          <w:sz w:val="21"/>
          <w:szCs w:val="21"/>
        </w:rPr>
      </w:pPr>
      <w:r>
        <w:rPr>
          <w:rFonts w:hint="eastAsia" w:ascii="黑体" w:hAnsi="黑体" w:eastAsia="黑体" w:cs="黑体"/>
          <w:sz w:val="21"/>
          <w:szCs w:val="21"/>
        </w:rPr>
        <w:t>5.1.2.2</w:t>
      </w:r>
      <w:r>
        <w:rPr>
          <w:rFonts w:ascii="Times New Roman" w:hAnsi="Times New Roman"/>
          <w:sz w:val="21"/>
          <w:szCs w:val="21"/>
        </w:rPr>
        <w:t xml:space="preserve"> 市政建设施工、公路施工、铁路建设工程等线性工程每个标段</w:t>
      </w:r>
      <w:r>
        <w:rPr>
          <w:rFonts w:hint="eastAsia" w:ascii="宋体" w:hAnsi="宋体" w:cs="宋体"/>
          <w:sz w:val="21"/>
          <w:szCs w:val="21"/>
        </w:rPr>
        <w:t>应至少设置1</w:t>
      </w:r>
      <w:r>
        <w:rPr>
          <w:rFonts w:ascii="Times New Roman" w:hAnsi="Times New Roman"/>
          <w:sz w:val="21"/>
          <w:szCs w:val="21"/>
        </w:rPr>
        <w:t>个监测点位。</w:t>
      </w:r>
    </w:p>
    <w:p>
      <w:pPr>
        <w:rPr>
          <w:rFonts w:ascii="Times New Roman" w:hAnsi="Times New Roman"/>
          <w:sz w:val="21"/>
          <w:szCs w:val="21"/>
        </w:rPr>
      </w:pPr>
      <w:r>
        <w:rPr>
          <w:rFonts w:hint="eastAsia" w:ascii="黑体" w:hAnsi="黑体" w:eastAsia="黑体" w:cs="黑体"/>
          <w:sz w:val="21"/>
          <w:szCs w:val="21"/>
        </w:rPr>
        <w:t>5.1.2.3</w:t>
      </w:r>
      <w:r>
        <w:rPr>
          <w:rFonts w:ascii="Times New Roman" w:hAnsi="Times New Roman"/>
          <w:sz w:val="21"/>
          <w:szCs w:val="21"/>
        </w:rPr>
        <w:t xml:space="preserve"> 监测点位应设置于施工区域围栏安全范围内，可直接监控施工场地主要施工活动。监测点位不宜轻易变动，以保证监测的连续性和数据的可比性。</w:t>
      </w:r>
    </w:p>
    <w:p>
      <w:pPr>
        <w:rPr>
          <w:rFonts w:ascii="Times New Roman" w:hAnsi="Times New Roman"/>
          <w:sz w:val="21"/>
          <w:szCs w:val="21"/>
        </w:rPr>
      </w:pPr>
      <w:r>
        <w:rPr>
          <w:rFonts w:hint="eastAsia" w:ascii="黑体" w:hAnsi="黑体" w:eastAsia="黑体" w:cs="黑体"/>
          <w:sz w:val="21"/>
          <w:szCs w:val="21"/>
        </w:rPr>
        <w:t>5.1.2.4</w:t>
      </w:r>
      <w:r>
        <w:rPr>
          <w:rFonts w:ascii="Times New Roman" w:hAnsi="Times New Roman"/>
          <w:sz w:val="21"/>
          <w:szCs w:val="21"/>
        </w:rPr>
        <w:t xml:space="preserve"> 监测点位应优先设置于车辆进出口处，监测点数量多于车辆进出口数量时，其它监测点位应结合常年主导风向，设置在工地所在区域主导风向下风向的施工场地边界，兼顾扬尘最大落地浓度。</w:t>
      </w:r>
    </w:p>
    <w:p>
      <w:pPr>
        <w:rPr>
          <w:rFonts w:ascii="Times New Roman" w:hAnsi="Times New Roman"/>
          <w:sz w:val="21"/>
          <w:szCs w:val="21"/>
        </w:rPr>
      </w:pPr>
      <w:r>
        <w:rPr>
          <w:rFonts w:hint="eastAsia" w:ascii="黑体" w:hAnsi="黑体" w:eastAsia="黑体" w:cs="黑体"/>
          <w:sz w:val="21"/>
          <w:szCs w:val="21"/>
        </w:rPr>
        <w:t>5.1.2.5</w:t>
      </w:r>
      <w:r>
        <w:rPr>
          <w:rFonts w:ascii="Times New Roman" w:hAnsi="Times New Roman"/>
          <w:sz w:val="21"/>
          <w:szCs w:val="21"/>
        </w:rPr>
        <w:t xml:space="preserve"> 当与其他建设工程相邻或施工场地外侧是交通道路且受交通道路扬尘影响较大时，应避开在相邻边界处设置监测点。</w:t>
      </w:r>
    </w:p>
    <w:p>
      <w:pPr>
        <w:spacing w:before="156" w:beforeLines="50" w:after="156" w:afterLines="50"/>
        <w:outlineLvl w:val="0"/>
        <w:rPr>
          <w:rFonts w:ascii="黑体" w:hAnsi="黑体" w:eastAsia="黑体" w:cs="黑体"/>
          <w:sz w:val="21"/>
          <w:szCs w:val="21"/>
        </w:rPr>
      </w:pPr>
      <w:r>
        <w:rPr>
          <w:rFonts w:hint="eastAsia" w:ascii="黑体" w:hAnsi="黑体" w:eastAsia="黑体" w:cs="黑体"/>
          <w:sz w:val="21"/>
          <w:szCs w:val="21"/>
        </w:rPr>
        <w:t>5.1.5 监测点周围环境和采样口设置</w:t>
      </w:r>
    </w:p>
    <w:p>
      <w:pPr>
        <w:ind w:firstLine="420" w:firstLineChars="200"/>
        <w:rPr>
          <w:rFonts w:ascii="Times New Roman" w:hAnsi="Times New Roman"/>
          <w:sz w:val="21"/>
          <w:szCs w:val="21"/>
        </w:rPr>
      </w:pPr>
      <w:r>
        <w:rPr>
          <w:rFonts w:ascii="Times New Roman" w:hAnsi="Times New Roman"/>
          <w:sz w:val="21"/>
          <w:szCs w:val="21"/>
        </w:rPr>
        <w:t>具体要求见</w:t>
      </w:r>
      <w:r>
        <w:rPr>
          <w:rFonts w:hint="eastAsia" w:ascii="宋体" w:hAnsi="宋体" w:cs="宋体"/>
          <w:sz w:val="21"/>
          <w:szCs w:val="21"/>
        </w:rPr>
        <w:t>附录</w:t>
      </w:r>
      <w:r>
        <w:rPr>
          <w:rFonts w:hint="eastAsia" w:ascii="Times New Roman" w:hAnsi="Times New Roman"/>
          <w:sz w:val="21"/>
          <w:szCs w:val="21"/>
        </w:rPr>
        <w:t>A</w:t>
      </w:r>
      <w:r>
        <w:rPr>
          <w:rFonts w:ascii="Times New Roman" w:hAnsi="Times New Roman"/>
          <w:sz w:val="21"/>
          <w:szCs w:val="21"/>
        </w:rPr>
        <w:t>。</w:t>
      </w:r>
    </w:p>
    <w:p>
      <w:pPr>
        <w:spacing w:before="156" w:beforeLines="50" w:after="156" w:afterLines="50"/>
        <w:outlineLvl w:val="0"/>
        <w:rPr>
          <w:rFonts w:ascii="黑体" w:hAnsi="黑体" w:eastAsia="黑体" w:cs="黑体"/>
          <w:sz w:val="21"/>
          <w:szCs w:val="21"/>
        </w:rPr>
      </w:pPr>
      <w:bookmarkStart w:id="47" w:name="_Toc29593"/>
      <w:bookmarkStart w:id="48" w:name="_Toc4246"/>
      <w:bookmarkStart w:id="49" w:name="_Toc9373"/>
      <w:r>
        <w:rPr>
          <w:rFonts w:hint="eastAsia" w:ascii="黑体" w:hAnsi="黑体" w:eastAsia="黑体" w:cs="黑体"/>
          <w:sz w:val="21"/>
          <w:szCs w:val="21"/>
        </w:rPr>
        <w:t>5.2 设备安装要求</w:t>
      </w:r>
      <w:bookmarkEnd w:id="47"/>
      <w:bookmarkEnd w:id="48"/>
      <w:bookmarkEnd w:id="49"/>
    </w:p>
    <w:p>
      <w:pPr>
        <w:rPr>
          <w:rFonts w:ascii="Times New Roman" w:hAnsi="Times New Roman"/>
          <w:sz w:val="21"/>
          <w:szCs w:val="21"/>
        </w:rPr>
      </w:pPr>
      <w:r>
        <w:rPr>
          <w:rFonts w:hint="eastAsia" w:ascii="黑体" w:hAnsi="黑体" w:eastAsia="黑体" w:cs="黑体"/>
          <w:sz w:val="21"/>
          <w:szCs w:val="21"/>
        </w:rPr>
        <w:t>5.2.1</w:t>
      </w:r>
      <w:r>
        <w:rPr>
          <w:rFonts w:ascii="Times New Roman" w:hAnsi="Times New Roman"/>
          <w:sz w:val="21"/>
          <w:szCs w:val="21"/>
        </w:rPr>
        <w:t xml:space="preserve"> 施工现场应做好扬尘在线监测仪的地基及护栏建设。</w:t>
      </w:r>
    </w:p>
    <w:p>
      <w:pPr>
        <w:rPr>
          <w:rFonts w:ascii="Times New Roman" w:hAnsi="Times New Roman"/>
          <w:sz w:val="21"/>
          <w:szCs w:val="21"/>
        </w:rPr>
      </w:pPr>
      <w:r>
        <w:rPr>
          <w:rFonts w:hint="eastAsia" w:ascii="黑体" w:hAnsi="黑体" w:eastAsia="黑体" w:cs="黑体"/>
          <w:sz w:val="21"/>
          <w:szCs w:val="21"/>
        </w:rPr>
        <w:t>5.2.2</w:t>
      </w:r>
      <w:r>
        <w:rPr>
          <w:rFonts w:ascii="Times New Roman" w:hAnsi="Times New Roman"/>
          <w:sz w:val="21"/>
          <w:szCs w:val="21"/>
        </w:rPr>
        <w:t xml:space="preserve"> 监测设备的</w:t>
      </w:r>
      <w:r>
        <w:rPr>
          <w:rFonts w:hint="eastAsia" w:ascii="宋体" w:hAnsi="宋体" w:cs="宋体"/>
          <w:sz w:val="21"/>
          <w:szCs w:val="21"/>
        </w:rPr>
        <w:t>采样口距离任何反射面应大于3.5</w:t>
      </w:r>
      <w:r>
        <w:rPr>
          <w:rFonts w:ascii="Times New Roman" w:hAnsi="Times New Roman"/>
          <w:sz w:val="21"/>
          <w:szCs w:val="21"/>
        </w:rPr>
        <w:t>m。</w:t>
      </w:r>
    </w:p>
    <w:p>
      <w:pPr>
        <w:rPr>
          <w:rFonts w:ascii="宋体" w:hAnsi="宋体" w:cs="宋体"/>
          <w:sz w:val="21"/>
          <w:szCs w:val="21"/>
        </w:rPr>
      </w:pPr>
      <w:r>
        <w:rPr>
          <w:rFonts w:hint="eastAsia" w:ascii="黑体" w:hAnsi="黑体" w:eastAsia="黑体" w:cs="黑体"/>
          <w:sz w:val="21"/>
          <w:szCs w:val="21"/>
        </w:rPr>
        <w:t>5.2.3</w:t>
      </w:r>
      <w:r>
        <w:rPr>
          <w:rFonts w:ascii="Times New Roman" w:hAnsi="Times New Roman"/>
          <w:sz w:val="21"/>
          <w:szCs w:val="21"/>
        </w:rPr>
        <w:t xml:space="preserve"> 施工现场应提供在线监测仪所需电源，</w:t>
      </w:r>
      <w:r>
        <w:rPr>
          <w:rFonts w:hint="eastAsia" w:ascii="宋体" w:hAnsi="宋体" w:cs="宋体"/>
          <w:sz w:val="21"/>
          <w:szCs w:val="21"/>
        </w:rPr>
        <w:t>技术指标按</w:t>
      </w:r>
      <w:r>
        <w:rPr>
          <w:rFonts w:ascii="Times New Roman" w:hAnsi="Times New Roman"/>
          <w:sz w:val="21"/>
          <w:szCs w:val="21"/>
        </w:rPr>
        <w:t xml:space="preserve">GB </w:t>
      </w:r>
      <w:r>
        <w:rPr>
          <w:rFonts w:hint="eastAsia" w:ascii="宋体" w:hAnsi="宋体" w:cs="宋体"/>
          <w:sz w:val="21"/>
          <w:szCs w:val="21"/>
        </w:rPr>
        <w:t>50194</w:t>
      </w:r>
      <w:r>
        <w:rPr>
          <w:rFonts w:ascii="Times New Roman" w:hAnsi="Times New Roman"/>
          <w:sz w:val="21"/>
          <w:szCs w:val="21"/>
        </w:rPr>
        <w:t xml:space="preserve">和JGJ </w:t>
      </w:r>
      <w:r>
        <w:rPr>
          <w:rFonts w:ascii="宋体" w:hAnsi="宋体" w:cs="宋体"/>
          <w:sz w:val="21"/>
          <w:szCs w:val="21"/>
        </w:rPr>
        <w:t>46</w:t>
      </w:r>
      <w:r>
        <w:rPr>
          <w:rFonts w:ascii="Times New Roman" w:hAnsi="Times New Roman"/>
          <w:sz w:val="21"/>
          <w:szCs w:val="21"/>
        </w:rPr>
        <w:t>的</w:t>
      </w:r>
      <w:r>
        <w:rPr>
          <w:rFonts w:hint="eastAsia" w:ascii="宋体" w:hAnsi="宋体" w:cs="宋体"/>
          <w:sz w:val="21"/>
          <w:szCs w:val="21"/>
        </w:rPr>
        <w:t>相关要求。</w:t>
      </w:r>
    </w:p>
    <w:p>
      <w:pPr>
        <w:rPr>
          <w:rFonts w:ascii="Times New Roman" w:hAnsi="Times New Roman"/>
          <w:sz w:val="21"/>
          <w:szCs w:val="21"/>
        </w:rPr>
      </w:pPr>
      <w:r>
        <w:rPr>
          <w:rFonts w:hint="eastAsia" w:ascii="黑体" w:hAnsi="黑体" w:eastAsia="黑体" w:cs="黑体"/>
          <w:sz w:val="21"/>
          <w:szCs w:val="21"/>
        </w:rPr>
        <w:t>5.2.</w:t>
      </w:r>
      <w:r>
        <w:rPr>
          <w:rFonts w:ascii="黑体" w:hAnsi="黑体" w:eastAsia="黑体" w:cs="黑体"/>
          <w:sz w:val="21"/>
          <w:szCs w:val="21"/>
        </w:rPr>
        <w:t>4</w:t>
      </w:r>
      <w:r>
        <w:rPr>
          <w:rFonts w:ascii="Times New Roman" w:hAnsi="Times New Roman"/>
          <w:sz w:val="21"/>
          <w:szCs w:val="21"/>
        </w:rPr>
        <w:t xml:space="preserve"> 施工现场应落实现场责任人员，做好安全防护。</w:t>
      </w:r>
    </w:p>
    <w:p>
      <w:pPr>
        <w:rPr>
          <w:rFonts w:ascii="宋体" w:hAnsi="宋体" w:cs="宋体"/>
          <w:sz w:val="21"/>
          <w:szCs w:val="21"/>
        </w:rPr>
      </w:pPr>
      <w:r>
        <w:rPr>
          <w:rFonts w:hint="eastAsia" w:ascii="黑体" w:hAnsi="黑体" w:eastAsia="黑体" w:cs="黑体"/>
          <w:sz w:val="21"/>
          <w:szCs w:val="21"/>
        </w:rPr>
        <w:t>5.2.</w:t>
      </w:r>
      <w:r>
        <w:rPr>
          <w:rFonts w:ascii="黑体" w:hAnsi="黑体" w:eastAsia="黑体" w:cs="黑体"/>
          <w:sz w:val="21"/>
          <w:szCs w:val="21"/>
        </w:rPr>
        <w:t>5</w:t>
      </w:r>
      <w:r>
        <w:rPr>
          <w:rFonts w:ascii="Times New Roman" w:hAnsi="Times New Roman"/>
          <w:sz w:val="21"/>
          <w:szCs w:val="21"/>
        </w:rPr>
        <w:t xml:space="preserve"> </w:t>
      </w:r>
      <w:r>
        <w:rPr>
          <w:rFonts w:hint="eastAsia" w:ascii="宋体" w:hAnsi="宋体" w:cs="宋体"/>
          <w:sz w:val="21"/>
          <w:szCs w:val="21"/>
        </w:rPr>
        <w:t>监测点设备防雷应符合</w:t>
      </w:r>
      <w:r>
        <w:rPr>
          <w:rFonts w:ascii="Times New Roman" w:hAnsi="Times New Roman"/>
          <w:sz w:val="21"/>
          <w:szCs w:val="21"/>
        </w:rPr>
        <w:t xml:space="preserve">GB </w:t>
      </w:r>
      <w:r>
        <w:rPr>
          <w:rFonts w:hint="eastAsia" w:ascii="宋体" w:hAnsi="宋体" w:cs="宋体"/>
          <w:sz w:val="21"/>
          <w:szCs w:val="21"/>
        </w:rPr>
        <w:t>50348</w:t>
      </w:r>
      <w:r>
        <w:rPr>
          <w:rFonts w:ascii="Times New Roman" w:hAnsi="Times New Roman"/>
          <w:sz w:val="21"/>
          <w:szCs w:val="21"/>
        </w:rPr>
        <w:t xml:space="preserve">、GB </w:t>
      </w:r>
      <w:r>
        <w:rPr>
          <w:rFonts w:hint="eastAsia" w:ascii="宋体" w:hAnsi="宋体" w:cs="宋体"/>
          <w:sz w:val="21"/>
          <w:szCs w:val="21"/>
        </w:rPr>
        <w:t>50343</w:t>
      </w:r>
      <w:r>
        <w:rPr>
          <w:rFonts w:ascii="Times New Roman" w:hAnsi="Times New Roman"/>
          <w:sz w:val="21"/>
          <w:szCs w:val="21"/>
        </w:rPr>
        <w:t xml:space="preserve">、GA/T </w:t>
      </w:r>
      <w:r>
        <w:rPr>
          <w:rFonts w:ascii="宋体" w:hAnsi="宋体" w:cs="宋体"/>
          <w:sz w:val="21"/>
          <w:szCs w:val="21"/>
        </w:rPr>
        <w:t>670</w:t>
      </w:r>
      <w:r>
        <w:rPr>
          <w:rFonts w:ascii="Times New Roman" w:hAnsi="Times New Roman"/>
          <w:sz w:val="21"/>
          <w:szCs w:val="21"/>
        </w:rPr>
        <w:t xml:space="preserve">和 JGJ/T </w:t>
      </w:r>
      <w:r>
        <w:rPr>
          <w:rFonts w:ascii="宋体" w:hAnsi="宋体" w:cs="宋体"/>
          <w:sz w:val="21"/>
          <w:szCs w:val="21"/>
        </w:rPr>
        <w:t>16</w:t>
      </w:r>
      <w:r>
        <w:rPr>
          <w:rFonts w:ascii="Times New Roman" w:hAnsi="Times New Roman"/>
          <w:sz w:val="21"/>
          <w:szCs w:val="21"/>
        </w:rPr>
        <w:t>的</w:t>
      </w:r>
      <w:r>
        <w:rPr>
          <w:rFonts w:hint="eastAsia" w:ascii="宋体" w:hAnsi="宋体" w:cs="宋体"/>
          <w:sz w:val="21"/>
          <w:szCs w:val="21"/>
        </w:rPr>
        <w:t>相关要求。</w:t>
      </w:r>
    </w:p>
    <w:p>
      <w:pPr>
        <w:rPr>
          <w:rFonts w:cs="黑体" w:asciiTheme="minorEastAsia" w:hAnsiTheme="minorEastAsia" w:eastAsiaTheme="minorEastAsia"/>
          <w:sz w:val="21"/>
          <w:szCs w:val="21"/>
        </w:rPr>
      </w:pPr>
      <w:r>
        <w:rPr>
          <w:rFonts w:hint="eastAsia" w:ascii="黑体" w:hAnsi="黑体" w:eastAsia="黑体" w:cs="黑体"/>
          <w:sz w:val="21"/>
          <w:szCs w:val="21"/>
        </w:rPr>
        <w:t>5.2.</w:t>
      </w:r>
      <w:r>
        <w:rPr>
          <w:rFonts w:ascii="黑体" w:hAnsi="黑体" w:eastAsia="黑体" w:cs="黑体"/>
          <w:sz w:val="21"/>
          <w:szCs w:val="21"/>
        </w:rPr>
        <w:t>6</w:t>
      </w:r>
      <w:r>
        <w:rPr>
          <w:rFonts w:hint="eastAsia" w:ascii="黑体" w:hAnsi="黑体" w:eastAsia="黑体" w:cs="黑体"/>
          <w:sz w:val="21"/>
          <w:szCs w:val="21"/>
        </w:rPr>
        <w:t xml:space="preserve"> </w:t>
      </w:r>
      <w:r>
        <w:rPr>
          <w:rFonts w:hint="eastAsia" w:cs="黑体" w:asciiTheme="minorEastAsia" w:hAnsiTheme="minorEastAsia" w:eastAsiaTheme="minorEastAsia"/>
          <w:sz w:val="21"/>
          <w:szCs w:val="21"/>
        </w:rPr>
        <w:t>监测点周围环境状况相对稳定，地质条件长期稳定和足够坚实，安全和防火措施有保障。</w:t>
      </w:r>
    </w:p>
    <w:p>
      <w:pPr>
        <w:rPr>
          <w:rFonts w:ascii="黑体" w:hAnsi="黑体" w:eastAsia="黑体" w:cs="黑体"/>
          <w:sz w:val="21"/>
          <w:szCs w:val="21"/>
        </w:rPr>
      </w:pPr>
      <w:r>
        <w:rPr>
          <w:rFonts w:hint="eastAsia" w:ascii="黑体" w:hAnsi="黑体" w:eastAsia="黑体" w:cs="黑体"/>
          <w:sz w:val="21"/>
          <w:szCs w:val="21"/>
        </w:rPr>
        <w:t>5.2.</w:t>
      </w:r>
      <w:r>
        <w:rPr>
          <w:rFonts w:ascii="黑体" w:hAnsi="黑体" w:eastAsia="黑体" w:cs="黑体"/>
          <w:sz w:val="21"/>
          <w:szCs w:val="21"/>
        </w:rPr>
        <w:t>7</w:t>
      </w:r>
      <w:r>
        <w:rPr>
          <w:rFonts w:hint="eastAsia" w:ascii="黑体" w:hAnsi="黑体" w:eastAsia="黑体" w:cs="黑体"/>
          <w:sz w:val="21"/>
          <w:szCs w:val="21"/>
        </w:rPr>
        <w:t xml:space="preserve"> </w:t>
      </w:r>
      <w:r>
        <w:rPr>
          <w:rFonts w:hint="eastAsia" w:cs="黑体" w:asciiTheme="minorEastAsia" w:hAnsiTheme="minorEastAsia" w:eastAsiaTheme="minorEastAsia"/>
          <w:sz w:val="21"/>
          <w:szCs w:val="21"/>
        </w:rPr>
        <w:t>在监测点周围，不能有高大建筑物、树木或其他障碍物阻碍环境空气流通。从监测点采样口到附近最高障碍物之间的水平距离，至少是该障碍物高出采样口垂直距离的两倍以上。</w:t>
      </w:r>
    </w:p>
    <w:p>
      <w:pPr>
        <w:rPr>
          <w:rFonts w:cs="黑体" w:asciiTheme="minorEastAsia" w:hAnsiTheme="minorEastAsia" w:eastAsiaTheme="minorEastAsia"/>
          <w:sz w:val="21"/>
          <w:szCs w:val="21"/>
        </w:rPr>
      </w:pPr>
      <w:r>
        <w:rPr>
          <w:rFonts w:hint="eastAsia" w:ascii="黑体" w:hAnsi="黑体" w:eastAsia="黑体" w:cs="黑体"/>
          <w:sz w:val="21"/>
          <w:szCs w:val="21"/>
        </w:rPr>
        <w:t>5.2.</w:t>
      </w:r>
      <w:r>
        <w:rPr>
          <w:rFonts w:ascii="黑体" w:hAnsi="黑体" w:eastAsia="黑体" w:cs="黑体"/>
          <w:sz w:val="21"/>
          <w:szCs w:val="21"/>
        </w:rPr>
        <w:t>8</w:t>
      </w:r>
      <w:r>
        <w:rPr>
          <w:rFonts w:hint="eastAsia" w:cs="黑体" w:asciiTheme="minorEastAsia" w:hAnsiTheme="minorEastAsia" w:eastAsiaTheme="minorEastAsia"/>
          <w:sz w:val="21"/>
          <w:szCs w:val="21"/>
        </w:rPr>
        <w:t>监测点周围应有稳定可靠</w:t>
      </w:r>
      <w:r>
        <w:rPr>
          <w:rFonts w:ascii="Times New Roman" w:hAnsi="Times New Roman" w:eastAsiaTheme="minorEastAsia"/>
          <w:sz w:val="21"/>
          <w:szCs w:val="21"/>
        </w:rPr>
        <w:t>AC</w:t>
      </w:r>
      <w:r>
        <w:rPr>
          <w:rFonts w:cs="黑体" w:asciiTheme="minorEastAsia" w:hAnsiTheme="minorEastAsia" w:eastAsiaTheme="minorEastAsia"/>
          <w:sz w:val="21"/>
          <w:szCs w:val="21"/>
        </w:rPr>
        <w:t>220</w:t>
      </w:r>
      <w:r>
        <w:rPr>
          <w:rFonts w:ascii="Times New Roman" w:hAnsi="Times New Roman" w:eastAsiaTheme="minorEastAsia"/>
          <w:sz w:val="21"/>
          <w:szCs w:val="21"/>
        </w:rPr>
        <w:t>V</w:t>
      </w:r>
      <w:r>
        <w:rPr>
          <w:rFonts w:hint="eastAsia" w:cs="黑体" w:asciiTheme="minorEastAsia" w:hAnsiTheme="minorEastAsia" w:eastAsiaTheme="minorEastAsia"/>
          <w:sz w:val="21"/>
          <w:szCs w:val="21"/>
        </w:rPr>
        <w:t>电力供应和避雷设施，通信线路容易安装和检修。</w:t>
      </w:r>
    </w:p>
    <w:p>
      <w:pPr>
        <w:rPr>
          <w:rFonts w:cs="黑体" w:asciiTheme="minorEastAsia" w:hAnsiTheme="minorEastAsia" w:eastAsiaTheme="minorEastAsia"/>
          <w:sz w:val="21"/>
          <w:szCs w:val="21"/>
        </w:rPr>
      </w:pPr>
      <w:r>
        <w:rPr>
          <w:rFonts w:hint="eastAsia" w:ascii="黑体" w:hAnsi="黑体" w:eastAsia="黑体" w:cs="黑体"/>
          <w:sz w:val="21"/>
          <w:szCs w:val="21"/>
        </w:rPr>
        <w:t>5.2.</w:t>
      </w:r>
      <w:r>
        <w:rPr>
          <w:rFonts w:ascii="黑体" w:hAnsi="黑体" w:eastAsia="黑体" w:cs="黑体"/>
          <w:sz w:val="21"/>
          <w:szCs w:val="21"/>
        </w:rPr>
        <w:t>9</w:t>
      </w:r>
      <w:r>
        <w:rPr>
          <w:rFonts w:hint="eastAsia" w:ascii="黑体" w:hAnsi="黑体" w:eastAsia="黑体" w:cs="黑体"/>
          <w:sz w:val="21"/>
          <w:szCs w:val="21"/>
        </w:rPr>
        <w:t xml:space="preserve"> </w:t>
      </w:r>
      <w:r>
        <w:rPr>
          <w:rFonts w:hint="eastAsia" w:cs="黑体" w:asciiTheme="minorEastAsia" w:hAnsiTheme="minorEastAsia" w:eastAsiaTheme="minorEastAsia"/>
          <w:sz w:val="21"/>
          <w:szCs w:val="21"/>
        </w:rPr>
        <w:t>监测点位附近应避免强电磁干扰。</w:t>
      </w:r>
    </w:p>
    <w:p>
      <w:pPr>
        <w:pStyle w:val="4"/>
        <w:spacing w:before="312" w:after="312"/>
      </w:pPr>
      <w:bookmarkStart w:id="50" w:name="_Toc26904"/>
      <w:r>
        <w:t>6 数据采集传输、存储要求</w:t>
      </w:r>
      <w:bookmarkEnd w:id="50"/>
    </w:p>
    <w:p>
      <w:pPr>
        <w:spacing w:before="156" w:beforeLines="50" w:after="156" w:afterLines="50"/>
        <w:outlineLvl w:val="0"/>
        <w:rPr>
          <w:rFonts w:ascii="黑体" w:hAnsi="黑体" w:eastAsia="黑体" w:cs="黑体"/>
          <w:sz w:val="21"/>
          <w:szCs w:val="21"/>
        </w:rPr>
      </w:pPr>
      <w:bookmarkStart w:id="51" w:name="_Toc3794"/>
      <w:bookmarkStart w:id="52" w:name="_Toc20450"/>
      <w:bookmarkStart w:id="53" w:name="_Toc10470"/>
      <w:r>
        <w:rPr>
          <w:rFonts w:hint="eastAsia" w:ascii="黑体" w:hAnsi="黑体" w:eastAsia="黑体" w:cs="黑体"/>
          <w:sz w:val="21"/>
          <w:szCs w:val="21"/>
        </w:rPr>
        <w:t>6.1 数据采集传输</w:t>
      </w:r>
      <w:bookmarkEnd w:id="51"/>
      <w:bookmarkEnd w:id="52"/>
      <w:bookmarkEnd w:id="53"/>
    </w:p>
    <w:p>
      <w:pPr>
        <w:rPr>
          <w:rFonts w:ascii="Times New Roman" w:hAnsi="Times New Roman"/>
          <w:sz w:val="21"/>
          <w:szCs w:val="21"/>
        </w:rPr>
      </w:pPr>
      <w:r>
        <w:rPr>
          <w:rFonts w:hint="eastAsia" w:ascii="黑体" w:hAnsi="黑体" w:eastAsia="黑体" w:cs="黑体"/>
          <w:sz w:val="21"/>
          <w:szCs w:val="21"/>
        </w:rPr>
        <w:t>6.1.1</w:t>
      </w:r>
      <w:r>
        <w:rPr>
          <w:rFonts w:ascii="Times New Roman" w:hAnsi="Times New Roman"/>
          <w:sz w:val="21"/>
          <w:szCs w:val="21"/>
        </w:rPr>
        <w:t xml:space="preserve"> 应按传输指令要求实现数据传输与反控，应满足多台在线监测仪的并发数据传输需求。</w:t>
      </w:r>
      <w:r>
        <w:rPr>
          <w:rFonts w:hint="eastAsia" w:ascii="Times New Roman" w:hAnsi="Times New Roman"/>
          <w:sz w:val="21"/>
          <w:szCs w:val="21"/>
        </w:rPr>
        <w:t>数据传输应采用设备直连平台，不允许数据进行平台转发。</w:t>
      </w:r>
    </w:p>
    <w:p>
      <w:pPr>
        <w:rPr>
          <w:rFonts w:ascii="Times New Roman" w:hAnsi="Times New Roman"/>
          <w:sz w:val="21"/>
          <w:szCs w:val="21"/>
        </w:rPr>
      </w:pPr>
      <w:r>
        <w:rPr>
          <w:rFonts w:hint="eastAsia" w:ascii="黑体" w:hAnsi="黑体" w:eastAsia="黑体" w:cs="黑体"/>
          <w:sz w:val="21"/>
          <w:szCs w:val="21"/>
        </w:rPr>
        <w:t xml:space="preserve">6.1.2 </w:t>
      </w:r>
      <w:r>
        <w:rPr>
          <w:rFonts w:ascii="Times New Roman" w:hAnsi="Times New Roman"/>
          <w:sz w:val="21"/>
          <w:szCs w:val="21"/>
        </w:rPr>
        <w:t>在线监测系统应具备自动或手动数据补传功能。</w:t>
      </w:r>
    </w:p>
    <w:p>
      <w:pPr>
        <w:rPr>
          <w:rFonts w:ascii="Times New Roman" w:hAnsi="Times New Roman"/>
          <w:sz w:val="21"/>
          <w:szCs w:val="21"/>
        </w:rPr>
      </w:pPr>
      <w:r>
        <w:rPr>
          <w:rFonts w:hint="eastAsia" w:ascii="黑体" w:hAnsi="黑体" w:eastAsia="黑体" w:cs="黑体"/>
          <w:sz w:val="21"/>
          <w:szCs w:val="21"/>
        </w:rPr>
        <w:t>6.1.3</w:t>
      </w:r>
      <w:r>
        <w:rPr>
          <w:rFonts w:ascii="Times New Roman" w:hAnsi="Times New Roman"/>
          <w:sz w:val="21"/>
          <w:szCs w:val="21"/>
        </w:rPr>
        <w:t xml:space="preserve"> 在线监测系统应按管理要求上报在线监测数据。</w:t>
      </w:r>
    </w:p>
    <w:p>
      <w:pPr>
        <w:rPr>
          <w:rFonts w:ascii="宋体" w:hAnsi="宋体" w:cs="宋体"/>
          <w:sz w:val="21"/>
          <w:szCs w:val="21"/>
        </w:rPr>
      </w:pPr>
      <w:r>
        <w:rPr>
          <w:rFonts w:hint="eastAsia" w:ascii="黑体" w:hAnsi="黑体" w:eastAsia="黑体" w:cs="黑体"/>
          <w:sz w:val="21"/>
          <w:szCs w:val="21"/>
        </w:rPr>
        <w:t>6.1.4</w:t>
      </w:r>
      <w:r>
        <w:rPr>
          <w:rFonts w:ascii="Times New Roman" w:hAnsi="Times New Roman"/>
          <w:sz w:val="21"/>
          <w:szCs w:val="21"/>
        </w:rPr>
        <w:t xml:space="preserve"> </w:t>
      </w:r>
      <w:r>
        <w:rPr>
          <w:rFonts w:hint="eastAsia" w:ascii="Times New Roman" w:hAnsi="Times New Roman"/>
          <w:sz w:val="21"/>
          <w:szCs w:val="21"/>
        </w:rPr>
        <w:t>应执行 HJ 212 相关要求。</w:t>
      </w:r>
    </w:p>
    <w:p>
      <w:pPr>
        <w:spacing w:before="156" w:beforeLines="50" w:after="156" w:afterLines="50"/>
        <w:outlineLvl w:val="0"/>
        <w:rPr>
          <w:rFonts w:ascii="黑体" w:hAnsi="黑体" w:eastAsia="黑体" w:cs="黑体"/>
          <w:sz w:val="21"/>
          <w:szCs w:val="21"/>
        </w:rPr>
      </w:pPr>
      <w:bookmarkStart w:id="54" w:name="_Toc28372"/>
      <w:bookmarkStart w:id="55" w:name="_Toc24785"/>
      <w:bookmarkStart w:id="56" w:name="_Toc10215"/>
      <w:r>
        <w:rPr>
          <w:rFonts w:hint="eastAsia" w:ascii="黑体" w:hAnsi="黑体" w:eastAsia="黑体" w:cs="黑体"/>
          <w:sz w:val="21"/>
          <w:szCs w:val="21"/>
        </w:rPr>
        <w:t>6.2 数据存储</w:t>
      </w:r>
      <w:bookmarkEnd w:id="54"/>
      <w:bookmarkEnd w:id="55"/>
      <w:bookmarkEnd w:id="56"/>
    </w:p>
    <w:p>
      <w:pPr>
        <w:spacing w:before="156" w:beforeLines="50" w:after="156" w:afterLines="50"/>
        <w:outlineLvl w:val="0"/>
        <w:rPr>
          <w:rFonts w:ascii="黑体" w:hAnsi="黑体" w:eastAsia="黑体" w:cs="黑体"/>
          <w:sz w:val="21"/>
          <w:szCs w:val="21"/>
        </w:rPr>
      </w:pPr>
      <w:bookmarkStart w:id="57" w:name="_Toc6960"/>
      <w:r>
        <w:rPr>
          <w:rFonts w:hint="eastAsia" w:ascii="黑体" w:hAnsi="黑体" w:eastAsia="黑体" w:cs="黑体"/>
          <w:sz w:val="21"/>
          <w:szCs w:val="21"/>
        </w:rPr>
        <w:t>6.2.1 数据有效性要求</w:t>
      </w:r>
      <w:bookmarkEnd w:id="57"/>
    </w:p>
    <w:p>
      <w:pPr>
        <w:ind w:firstLine="420" w:firstLineChars="200"/>
        <w:rPr>
          <w:rFonts w:ascii="宋体" w:hAnsi="宋体" w:cs="宋体"/>
          <w:sz w:val="21"/>
          <w:szCs w:val="21"/>
        </w:rPr>
      </w:pPr>
      <w:r>
        <w:rPr>
          <w:rFonts w:hint="eastAsia" w:ascii="宋体" w:hAnsi="宋体" w:cs="宋体"/>
          <w:sz w:val="21"/>
          <w:szCs w:val="21"/>
        </w:rPr>
        <w:t>数据有效性应符合以下要求：</w:t>
      </w:r>
    </w:p>
    <w:p>
      <w:pPr>
        <w:ind w:firstLine="420" w:firstLineChars="200"/>
        <w:rPr>
          <w:rFonts w:ascii="宋体" w:hAnsi="宋体" w:cs="宋体"/>
          <w:sz w:val="21"/>
          <w:szCs w:val="21"/>
        </w:rPr>
      </w:pPr>
      <w:r>
        <w:rPr>
          <w:rFonts w:hint="eastAsia" w:ascii="宋体" w:hAnsi="宋体" w:cs="宋体"/>
          <w:sz w:val="21"/>
          <w:szCs w:val="21"/>
        </w:rPr>
        <w:t>a)连续运行至少15</w:t>
      </w:r>
      <w:r>
        <w:rPr>
          <w:rFonts w:hint="eastAsia" w:ascii="Times New Roman" w:hAnsi="Times New Roman" w:eastAsiaTheme="minorEastAsia"/>
          <w:sz w:val="21"/>
          <w:szCs w:val="21"/>
        </w:rPr>
        <w:t>d</w:t>
      </w:r>
      <w:r>
        <w:rPr>
          <w:rFonts w:hint="eastAsia" w:ascii="宋体" w:hAnsi="宋体" w:cs="宋体"/>
          <w:sz w:val="21"/>
          <w:szCs w:val="21"/>
        </w:rPr>
        <w:t>，有效数据率不低于85%；</w:t>
      </w:r>
    </w:p>
    <w:p>
      <w:pPr>
        <w:ind w:firstLine="420" w:firstLineChars="200"/>
        <w:rPr>
          <w:rFonts w:ascii="宋体" w:hAnsi="宋体" w:cs="宋体"/>
          <w:sz w:val="21"/>
          <w:szCs w:val="21"/>
        </w:rPr>
      </w:pPr>
      <w:r>
        <w:rPr>
          <w:rFonts w:hint="eastAsia" w:ascii="宋体" w:hAnsi="宋体" w:cs="宋体"/>
          <w:sz w:val="21"/>
          <w:szCs w:val="21"/>
        </w:rPr>
        <w:t>b)每小时至少有45</w:t>
      </w:r>
      <w:r>
        <w:rPr>
          <w:rFonts w:hint="eastAsia" w:ascii="Times New Roman" w:hAnsi="Times New Roman" w:eastAsiaTheme="minorEastAsia"/>
          <w:sz w:val="21"/>
          <w:szCs w:val="21"/>
        </w:rPr>
        <w:t>min</w:t>
      </w:r>
      <w:r>
        <w:rPr>
          <w:rFonts w:hint="eastAsia" w:ascii="宋体" w:hAnsi="宋体" w:cs="宋体"/>
          <w:sz w:val="21"/>
          <w:szCs w:val="21"/>
        </w:rPr>
        <w:t>的采样时间；</w:t>
      </w:r>
    </w:p>
    <w:p>
      <w:pPr>
        <w:ind w:firstLine="420" w:firstLineChars="200"/>
        <w:rPr>
          <w:rFonts w:ascii="宋体" w:hAnsi="宋体" w:cs="宋体"/>
          <w:sz w:val="21"/>
          <w:szCs w:val="21"/>
        </w:rPr>
      </w:pPr>
      <w:r>
        <w:rPr>
          <w:rFonts w:hint="eastAsia" w:ascii="宋体" w:hAnsi="宋体" w:cs="宋体"/>
          <w:sz w:val="21"/>
          <w:szCs w:val="21"/>
        </w:rPr>
        <w:t>c)每日至少有20</w:t>
      </w:r>
      <w:r>
        <w:rPr>
          <w:rFonts w:hint="eastAsia" w:ascii="Times New Roman" w:hAnsi="Times New Roman" w:eastAsiaTheme="minorEastAsia"/>
          <w:sz w:val="21"/>
          <w:szCs w:val="21"/>
        </w:rPr>
        <w:t>h</w:t>
      </w:r>
      <w:r>
        <w:rPr>
          <w:rFonts w:hint="eastAsia" w:ascii="宋体" w:hAnsi="宋体" w:cs="宋体"/>
          <w:sz w:val="21"/>
          <w:szCs w:val="21"/>
        </w:rPr>
        <w:t>平均浓度值或采样时间。</w:t>
      </w:r>
    </w:p>
    <w:p>
      <w:pPr>
        <w:spacing w:before="156" w:beforeLines="50" w:after="156" w:afterLines="50"/>
        <w:outlineLvl w:val="0"/>
        <w:rPr>
          <w:rFonts w:ascii="黑体" w:hAnsi="黑体" w:eastAsia="黑体" w:cs="黑体"/>
          <w:sz w:val="21"/>
          <w:szCs w:val="21"/>
        </w:rPr>
      </w:pPr>
      <w:bookmarkStart w:id="58" w:name="_Toc12582"/>
      <w:r>
        <w:rPr>
          <w:rFonts w:hint="eastAsia" w:ascii="黑体" w:hAnsi="黑体" w:eastAsia="黑体" w:cs="黑体"/>
          <w:sz w:val="21"/>
          <w:szCs w:val="21"/>
        </w:rPr>
        <w:t>6.2.2 数据精确</w:t>
      </w:r>
      <w:bookmarkEnd w:id="58"/>
      <w:r>
        <w:rPr>
          <w:rFonts w:hint="eastAsia" w:ascii="黑体" w:hAnsi="黑体" w:eastAsia="黑体" w:cs="黑体"/>
          <w:sz w:val="21"/>
          <w:szCs w:val="21"/>
        </w:rPr>
        <w:t>度要求</w:t>
      </w:r>
    </w:p>
    <w:p>
      <w:pPr>
        <w:ind w:firstLine="420" w:firstLineChars="200"/>
        <w:rPr>
          <w:rFonts w:ascii="Times New Roman" w:hAnsi="Times New Roman"/>
          <w:sz w:val="21"/>
          <w:szCs w:val="21"/>
        </w:rPr>
      </w:pPr>
      <w:r>
        <w:rPr>
          <w:rFonts w:ascii="Times New Roman" w:hAnsi="Times New Roman"/>
          <w:sz w:val="21"/>
          <w:szCs w:val="21"/>
        </w:rPr>
        <w:t>监测仪数</w:t>
      </w:r>
      <w:r>
        <w:rPr>
          <w:rFonts w:hint="eastAsia" w:ascii="宋体" w:hAnsi="宋体" w:cs="宋体"/>
          <w:sz w:val="21"/>
          <w:szCs w:val="21"/>
        </w:rPr>
        <w:t>据精确至1</w:t>
      </w:r>
      <w:r>
        <w:rPr>
          <w:rFonts w:ascii="Times New Roman" w:hAnsi="Times New Roman"/>
          <w:sz w:val="21"/>
          <w:szCs w:val="21"/>
        </w:rPr>
        <w:t>μg</w:t>
      </w:r>
      <w:r>
        <w:rPr>
          <w:rFonts w:hint="eastAsia" w:ascii="宋体" w:hAnsi="宋体" w:cs="宋体"/>
          <w:sz w:val="21"/>
          <w:szCs w:val="21"/>
        </w:rPr>
        <w:t>/</w:t>
      </w:r>
      <w:r>
        <w:rPr>
          <w:rFonts w:ascii="Times New Roman" w:hAnsi="Times New Roman"/>
          <w:sz w:val="21"/>
          <w:szCs w:val="21"/>
        </w:rPr>
        <w:t>m</w:t>
      </w:r>
      <w:r>
        <w:rPr>
          <w:rFonts w:ascii="Times New Roman" w:hAnsi="Times New Roman"/>
          <w:sz w:val="21"/>
          <w:szCs w:val="21"/>
          <w:vertAlign w:val="superscript"/>
        </w:rPr>
        <w:t>3</w:t>
      </w:r>
      <w:r>
        <w:rPr>
          <w:rFonts w:hint="eastAsia" w:ascii="宋体" w:hAnsi="宋体" w:cs="宋体"/>
          <w:sz w:val="21"/>
          <w:szCs w:val="21"/>
        </w:rPr>
        <w:t>。</w:t>
      </w:r>
    </w:p>
    <w:p>
      <w:pPr>
        <w:spacing w:before="156" w:beforeLines="50"/>
        <w:outlineLvl w:val="0"/>
        <w:rPr>
          <w:rFonts w:ascii="黑体" w:hAnsi="黑体" w:eastAsia="黑体" w:cs="黑体"/>
          <w:sz w:val="21"/>
          <w:szCs w:val="21"/>
        </w:rPr>
      </w:pPr>
      <w:bookmarkStart w:id="59" w:name="_Toc23960"/>
      <w:r>
        <w:rPr>
          <w:rFonts w:hint="eastAsia" w:ascii="黑体" w:hAnsi="黑体" w:eastAsia="黑体" w:cs="黑体"/>
          <w:sz w:val="21"/>
          <w:szCs w:val="21"/>
        </w:rPr>
        <w:t>6.2.3 异常值取舍</w:t>
      </w:r>
      <w:bookmarkEnd w:id="59"/>
    </w:p>
    <w:p>
      <w:pPr>
        <w:rPr>
          <w:rFonts w:ascii="Times New Roman" w:hAnsi="Times New Roman"/>
          <w:sz w:val="21"/>
          <w:szCs w:val="21"/>
        </w:rPr>
      </w:pPr>
      <w:r>
        <w:rPr>
          <w:rFonts w:hint="eastAsia" w:ascii="黑体" w:hAnsi="黑体" w:eastAsia="黑体" w:cs="黑体"/>
          <w:sz w:val="21"/>
          <w:szCs w:val="21"/>
        </w:rPr>
        <w:t>6.2.3.1</w:t>
      </w:r>
      <w:r>
        <w:rPr>
          <w:rFonts w:ascii="Times New Roman" w:hAnsi="Times New Roman"/>
          <w:sz w:val="21"/>
          <w:szCs w:val="21"/>
        </w:rPr>
        <w:t xml:space="preserve"> 监测仪校准期间（含校准膜和校准流量）的所有数据应标注为无效数据。</w:t>
      </w:r>
    </w:p>
    <w:p>
      <w:pPr>
        <w:rPr>
          <w:rFonts w:ascii="Times New Roman" w:hAnsi="Times New Roman"/>
          <w:sz w:val="21"/>
          <w:szCs w:val="21"/>
        </w:rPr>
      </w:pPr>
      <w:r>
        <w:rPr>
          <w:rFonts w:hint="eastAsia" w:ascii="黑体" w:hAnsi="黑体" w:eastAsia="黑体" w:cs="黑体"/>
          <w:sz w:val="21"/>
          <w:szCs w:val="21"/>
        </w:rPr>
        <w:t>6.2.3.2</w:t>
      </w:r>
      <w:r>
        <w:rPr>
          <w:rFonts w:ascii="Times New Roman" w:hAnsi="Times New Roman"/>
          <w:sz w:val="21"/>
          <w:szCs w:val="21"/>
        </w:rPr>
        <w:t xml:space="preserve"> 当发生临时断电时，从断电时起至恢复供电后仪器正常运行止，该时段内的监测数据均标注为无效数据。不得人为擅自断电。</w:t>
      </w:r>
    </w:p>
    <w:p>
      <w:pPr>
        <w:rPr>
          <w:rFonts w:ascii="Times New Roman" w:hAnsi="Times New Roman"/>
          <w:sz w:val="21"/>
          <w:szCs w:val="21"/>
        </w:rPr>
      </w:pPr>
      <w:r>
        <w:rPr>
          <w:rFonts w:hint="eastAsia" w:ascii="黑体" w:hAnsi="黑体" w:eastAsia="黑体" w:cs="黑体"/>
          <w:sz w:val="21"/>
          <w:szCs w:val="21"/>
        </w:rPr>
        <w:t>6.2.3.3</w:t>
      </w:r>
      <w:r>
        <w:rPr>
          <w:rFonts w:ascii="Times New Roman" w:hAnsi="Times New Roman"/>
          <w:sz w:val="21"/>
          <w:szCs w:val="21"/>
        </w:rPr>
        <w:t xml:space="preserve"> 所有无效数据均应标注标示符，不参加统计，但应在原始数据库中予以保留。</w:t>
      </w:r>
    </w:p>
    <w:p>
      <w:pPr>
        <w:spacing w:before="156" w:beforeLines="50"/>
        <w:outlineLvl w:val="0"/>
        <w:rPr>
          <w:rFonts w:ascii="黑体" w:hAnsi="黑体" w:eastAsia="黑体" w:cs="黑体"/>
          <w:sz w:val="21"/>
          <w:szCs w:val="21"/>
        </w:rPr>
      </w:pPr>
      <w:bookmarkStart w:id="60" w:name="_Toc3829"/>
      <w:r>
        <w:rPr>
          <w:rFonts w:hint="eastAsia" w:ascii="黑体" w:hAnsi="黑体" w:eastAsia="黑体" w:cs="黑体"/>
          <w:sz w:val="21"/>
          <w:szCs w:val="21"/>
        </w:rPr>
        <w:t>6.2.4 现场端存储</w:t>
      </w:r>
      <w:bookmarkEnd w:id="60"/>
    </w:p>
    <w:p>
      <w:pPr>
        <w:ind w:firstLine="420" w:firstLineChars="200"/>
        <w:rPr>
          <w:rFonts w:ascii="Times New Roman" w:hAnsi="Times New Roman"/>
          <w:sz w:val="21"/>
          <w:szCs w:val="21"/>
        </w:rPr>
      </w:pPr>
      <w:r>
        <w:rPr>
          <w:rFonts w:ascii="Times New Roman" w:hAnsi="Times New Roman"/>
          <w:sz w:val="21"/>
          <w:szCs w:val="21"/>
        </w:rPr>
        <w:t>β射线法监测仪现场端在线监测原始数据存储时间不少</w:t>
      </w:r>
      <w:r>
        <w:rPr>
          <w:rFonts w:hint="eastAsia" w:ascii="宋体" w:hAnsi="宋体" w:cs="宋体"/>
          <w:sz w:val="21"/>
          <w:szCs w:val="21"/>
        </w:rPr>
        <w:t>于1年</w:t>
      </w:r>
      <w:r>
        <w:rPr>
          <w:rFonts w:ascii="Times New Roman" w:hAnsi="Times New Roman"/>
          <w:sz w:val="21"/>
          <w:szCs w:val="21"/>
        </w:rPr>
        <w:t>。</w:t>
      </w:r>
    </w:p>
    <w:p>
      <w:pPr>
        <w:spacing w:before="156" w:beforeLines="50"/>
        <w:outlineLvl w:val="0"/>
        <w:rPr>
          <w:rFonts w:ascii="黑体" w:hAnsi="黑体" w:eastAsia="黑体" w:cs="黑体"/>
          <w:sz w:val="21"/>
          <w:szCs w:val="21"/>
        </w:rPr>
      </w:pPr>
      <w:bookmarkStart w:id="61" w:name="_Toc4536"/>
      <w:r>
        <w:rPr>
          <w:rFonts w:hint="eastAsia" w:ascii="黑体" w:hAnsi="黑体" w:eastAsia="黑体" w:cs="黑体"/>
          <w:sz w:val="21"/>
          <w:szCs w:val="21"/>
        </w:rPr>
        <w:t>6.2.5 中心端存储</w:t>
      </w:r>
      <w:bookmarkEnd w:id="61"/>
    </w:p>
    <w:p>
      <w:pPr>
        <w:ind w:firstLine="420" w:firstLineChars="200"/>
        <w:rPr>
          <w:rFonts w:ascii="Times New Roman" w:hAnsi="Times New Roman"/>
          <w:sz w:val="21"/>
          <w:szCs w:val="21"/>
        </w:rPr>
      </w:pPr>
      <w:r>
        <w:rPr>
          <w:rFonts w:ascii="Times New Roman" w:hAnsi="Times New Roman"/>
          <w:sz w:val="21"/>
          <w:szCs w:val="21"/>
        </w:rPr>
        <w:t>中心端在线监测原始数据（分钟值和小时值）存储时间不少于</w:t>
      </w:r>
      <w:r>
        <w:rPr>
          <w:rFonts w:hint="eastAsia" w:ascii="宋体" w:hAnsi="宋体" w:cs="宋体"/>
          <w:sz w:val="21"/>
          <w:szCs w:val="21"/>
        </w:rPr>
        <w:t>5年</w:t>
      </w:r>
      <w:r>
        <w:rPr>
          <w:rFonts w:ascii="Times New Roman" w:hAnsi="Times New Roman"/>
          <w:sz w:val="21"/>
          <w:szCs w:val="21"/>
        </w:rPr>
        <w:t>。存储扬尘监测点位的能力不少于</w:t>
      </w:r>
      <w:r>
        <w:rPr>
          <w:rFonts w:hint="eastAsia" w:ascii="宋体" w:hAnsi="宋体" w:cs="宋体"/>
          <w:sz w:val="21"/>
          <w:szCs w:val="21"/>
        </w:rPr>
        <w:t>5000</w:t>
      </w:r>
      <w:r>
        <w:rPr>
          <w:rFonts w:ascii="Times New Roman" w:hAnsi="Times New Roman"/>
          <w:sz w:val="21"/>
          <w:szCs w:val="21"/>
        </w:rPr>
        <w:t>个。</w:t>
      </w:r>
    </w:p>
    <w:p>
      <w:pPr>
        <w:pStyle w:val="4"/>
        <w:spacing w:before="312" w:after="312"/>
      </w:pPr>
      <w:bookmarkStart w:id="62" w:name="_Toc21520"/>
      <w:r>
        <w:t xml:space="preserve">7 </w:t>
      </w:r>
      <w:bookmarkEnd w:id="62"/>
      <w:r>
        <w:t>系统功能</w:t>
      </w:r>
    </w:p>
    <w:p>
      <w:pPr>
        <w:spacing w:before="156" w:beforeLines="50"/>
        <w:outlineLvl w:val="0"/>
        <w:rPr>
          <w:rFonts w:ascii="黑体" w:hAnsi="黑体" w:eastAsia="黑体" w:cs="黑体"/>
          <w:sz w:val="21"/>
          <w:szCs w:val="21"/>
        </w:rPr>
      </w:pPr>
      <w:bookmarkStart w:id="63" w:name="_Toc16273"/>
      <w:bookmarkStart w:id="64" w:name="_Toc15753"/>
      <w:bookmarkStart w:id="65" w:name="_Toc19353"/>
      <w:r>
        <w:rPr>
          <w:rFonts w:hint="eastAsia" w:ascii="黑体" w:hAnsi="黑体" w:eastAsia="黑体" w:cs="黑体"/>
          <w:sz w:val="21"/>
          <w:szCs w:val="21"/>
        </w:rPr>
        <w:t>7.1 概述</w:t>
      </w:r>
      <w:bookmarkEnd w:id="63"/>
      <w:bookmarkEnd w:id="64"/>
      <w:bookmarkEnd w:id="65"/>
    </w:p>
    <w:p>
      <w:pPr>
        <w:ind w:firstLine="420" w:firstLineChars="200"/>
        <w:rPr>
          <w:rFonts w:ascii="Times New Roman" w:hAnsi="Times New Roman"/>
          <w:sz w:val="21"/>
          <w:szCs w:val="21"/>
        </w:rPr>
      </w:pPr>
      <w:r>
        <w:rPr>
          <w:rFonts w:ascii="Times New Roman" w:hAnsi="Times New Roman"/>
          <w:sz w:val="21"/>
          <w:szCs w:val="21"/>
        </w:rPr>
        <w:t>可通过基于</w:t>
      </w:r>
      <w:r>
        <w:rPr>
          <w:rFonts w:hint="eastAsia" w:ascii="Times New Roman" w:hAnsi="Times New Roman"/>
          <w:sz w:val="21"/>
          <w:szCs w:val="21"/>
        </w:rPr>
        <w:t>B</w:t>
      </w:r>
      <w:r>
        <w:rPr>
          <w:rFonts w:hint="eastAsia" w:ascii="宋体" w:hAnsi="宋体" w:cs="宋体"/>
          <w:sz w:val="21"/>
          <w:szCs w:val="21"/>
        </w:rPr>
        <w:t>/</w:t>
      </w:r>
      <w:r>
        <w:rPr>
          <w:rFonts w:hint="eastAsia" w:ascii="Times New Roman" w:hAnsi="Times New Roman"/>
          <w:sz w:val="21"/>
          <w:szCs w:val="21"/>
        </w:rPr>
        <w:t>S</w:t>
      </w:r>
      <w:r>
        <w:rPr>
          <w:rFonts w:hint="eastAsia" w:ascii="宋体" w:hAnsi="宋体" w:cs="宋体"/>
          <w:sz w:val="21"/>
          <w:szCs w:val="21"/>
        </w:rPr>
        <w:t>技术架构的监控平台、手机移动端进</w:t>
      </w:r>
      <w:r>
        <w:rPr>
          <w:rFonts w:ascii="Times New Roman" w:hAnsi="Times New Roman"/>
          <w:sz w:val="21"/>
          <w:szCs w:val="21"/>
        </w:rPr>
        <w:t>行数据查询和分析。</w:t>
      </w:r>
    </w:p>
    <w:p>
      <w:pPr>
        <w:spacing w:before="156" w:beforeLines="50"/>
        <w:outlineLvl w:val="0"/>
        <w:rPr>
          <w:rFonts w:ascii="黑体" w:hAnsi="黑体" w:eastAsia="黑体" w:cs="黑体"/>
          <w:sz w:val="21"/>
          <w:szCs w:val="21"/>
        </w:rPr>
      </w:pPr>
      <w:bookmarkStart w:id="66" w:name="_Toc13863"/>
      <w:bookmarkStart w:id="67" w:name="_Toc28190"/>
      <w:bookmarkStart w:id="68" w:name="_Toc24369"/>
      <w:r>
        <w:rPr>
          <w:rFonts w:hint="eastAsia" w:ascii="黑体" w:hAnsi="黑体" w:eastAsia="黑体" w:cs="黑体"/>
          <w:sz w:val="21"/>
          <w:szCs w:val="21"/>
        </w:rPr>
        <w:t>7.2 数据有效性判别</w:t>
      </w:r>
      <w:bookmarkEnd w:id="66"/>
      <w:bookmarkEnd w:id="67"/>
      <w:bookmarkEnd w:id="68"/>
    </w:p>
    <w:p>
      <w:pPr>
        <w:ind w:firstLine="420" w:firstLineChars="200"/>
        <w:rPr>
          <w:rFonts w:ascii="Times New Roman" w:hAnsi="Times New Roman"/>
          <w:sz w:val="21"/>
          <w:szCs w:val="21"/>
        </w:rPr>
      </w:pPr>
      <w:r>
        <w:rPr>
          <w:rFonts w:ascii="Times New Roman" w:hAnsi="Times New Roman"/>
          <w:sz w:val="21"/>
          <w:szCs w:val="21"/>
        </w:rPr>
        <w:t>监控平台能够根据采</w:t>
      </w:r>
      <w:r>
        <w:rPr>
          <w:rFonts w:hint="eastAsia" w:ascii="宋体" w:hAnsi="宋体" w:cs="宋体"/>
          <w:sz w:val="21"/>
          <w:szCs w:val="21"/>
        </w:rPr>
        <w:t>用</w:t>
      </w:r>
      <w:r>
        <w:rPr>
          <w:rFonts w:ascii="Times New Roman" w:hAnsi="Times New Roman"/>
          <w:sz w:val="21"/>
          <w:szCs w:val="21"/>
        </w:rPr>
        <w:t>β</w:t>
      </w:r>
      <w:r>
        <w:rPr>
          <w:rFonts w:hint="eastAsia" w:ascii="宋体" w:hAnsi="宋体" w:cs="宋体"/>
          <w:sz w:val="21"/>
          <w:szCs w:val="21"/>
        </w:rPr>
        <w:t>射线</w:t>
      </w:r>
      <w:r>
        <w:rPr>
          <w:rFonts w:ascii="Times New Roman" w:hAnsi="Times New Roman"/>
          <w:sz w:val="21"/>
          <w:szCs w:val="21"/>
        </w:rPr>
        <w:t>法监测仪器的监测数据，对监测数据质量进行分析判别。</w:t>
      </w:r>
    </w:p>
    <w:p>
      <w:pPr>
        <w:spacing w:before="156" w:beforeLines="50"/>
        <w:outlineLvl w:val="0"/>
        <w:rPr>
          <w:rFonts w:ascii="黑体" w:hAnsi="黑体" w:eastAsia="黑体" w:cs="黑体"/>
          <w:sz w:val="21"/>
          <w:szCs w:val="21"/>
        </w:rPr>
      </w:pPr>
      <w:bookmarkStart w:id="69" w:name="_Toc2928"/>
      <w:bookmarkStart w:id="70" w:name="_Toc13621"/>
      <w:bookmarkStart w:id="71" w:name="_Toc11040"/>
      <w:r>
        <w:rPr>
          <w:rFonts w:hint="eastAsia" w:ascii="黑体" w:hAnsi="黑体" w:eastAsia="黑体" w:cs="黑体"/>
          <w:sz w:val="21"/>
          <w:szCs w:val="21"/>
        </w:rPr>
        <w:t>7.3 数据查询与分析</w:t>
      </w:r>
      <w:bookmarkEnd w:id="69"/>
      <w:bookmarkEnd w:id="70"/>
      <w:bookmarkEnd w:id="71"/>
    </w:p>
    <w:p>
      <w:pPr>
        <w:ind w:firstLine="420" w:firstLineChars="200"/>
        <w:rPr>
          <w:rFonts w:ascii="Times New Roman" w:hAnsi="Times New Roman"/>
          <w:sz w:val="21"/>
          <w:szCs w:val="21"/>
        </w:rPr>
      </w:pPr>
      <w:r>
        <w:rPr>
          <w:rFonts w:ascii="Times New Roman" w:hAnsi="Times New Roman"/>
          <w:sz w:val="21"/>
          <w:szCs w:val="21"/>
        </w:rPr>
        <w:t>通过监控平台对单个扬尘监测点查询实时数据、历史数据、曲线趋势分析，可对任意多个扬尘监测点同时查询、数据对比、排名分析、多图表（折线图、柱状图、饼图）分析。</w:t>
      </w:r>
    </w:p>
    <w:p>
      <w:pPr>
        <w:spacing w:before="156" w:beforeLines="50"/>
        <w:outlineLvl w:val="0"/>
        <w:rPr>
          <w:rFonts w:ascii="黑体" w:hAnsi="黑体" w:eastAsia="黑体" w:cs="黑体"/>
          <w:sz w:val="21"/>
          <w:szCs w:val="21"/>
        </w:rPr>
      </w:pPr>
      <w:bookmarkStart w:id="72" w:name="_Toc13800"/>
      <w:bookmarkStart w:id="73" w:name="_Toc24285"/>
      <w:bookmarkStart w:id="74" w:name="_Toc19418"/>
      <w:r>
        <w:rPr>
          <w:rFonts w:hint="eastAsia" w:ascii="黑体" w:hAnsi="黑体" w:eastAsia="黑体" w:cs="黑体"/>
          <w:sz w:val="21"/>
          <w:szCs w:val="21"/>
        </w:rPr>
        <w:t>7.4 自动报警</w:t>
      </w:r>
      <w:bookmarkEnd w:id="72"/>
      <w:bookmarkEnd w:id="73"/>
      <w:bookmarkEnd w:id="74"/>
    </w:p>
    <w:p>
      <w:pPr>
        <w:ind w:firstLine="420" w:firstLineChars="200"/>
        <w:rPr>
          <w:rFonts w:ascii="Times New Roman" w:hAnsi="Times New Roman"/>
          <w:sz w:val="21"/>
          <w:szCs w:val="21"/>
        </w:rPr>
      </w:pPr>
      <w:r>
        <w:rPr>
          <w:rFonts w:ascii="Times New Roman" w:hAnsi="Times New Roman"/>
          <w:sz w:val="21"/>
          <w:szCs w:val="21"/>
        </w:rPr>
        <w:t>可根据环境管理的要求，设定自动报警限值，当监测点扬尘小时平均浓度值超过报警限值，监控平台自动报警，通知相关管理部门。</w:t>
      </w:r>
    </w:p>
    <w:p>
      <w:pPr>
        <w:spacing w:before="156" w:beforeLines="50"/>
        <w:outlineLvl w:val="0"/>
        <w:rPr>
          <w:rFonts w:ascii="黑体" w:hAnsi="黑体" w:eastAsia="黑体" w:cs="黑体"/>
          <w:sz w:val="21"/>
          <w:szCs w:val="21"/>
        </w:rPr>
      </w:pPr>
      <w:bookmarkStart w:id="75" w:name="_Toc14838"/>
      <w:bookmarkStart w:id="76" w:name="_Toc4285"/>
      <w:bookmarkStart w:id="77" w:name="_Toc1883"/>
      <w:r>
        <w:rPr>
          <w:rFonts w:hint="eastAsia" w:ascii="黑体" w:hAnsi="黑体" w:eastAsia="黑体" w:cs="黑体"/>
          <w:sz w:val="21"/>
          <w:szCs w:val="21"/>
        </w:rPr>
        <w:t>7.5 移动端</w:t>
      </w:r>
      <w:bookmarkEnd w:id="75"/>
      <w:bookmarkEnd w:id="76"/>
      <w:bookmarkEnd w:id="77"/>
    </w:p>
    <w:p>
      <w:pPr>
        <w:ind w:firstLine="420" w:firstLineChars="200"/>
        <w:rPr>
          <w:rFonts w:ascii="Times New Roman" w:hAnsi="Times New Roman"/>
          <w:sz w:val="21"/>
          <w:szCs w:val="21"/>
        </w:rPr>
      </w:pPr>
      <w:r>
        <w:rPr>
          <w:rFonts w:ascii="Times New Roman" w:hAnsi="Times New Roman"/>
          <w:sz w:val="21"/>
          <w:szCs w:val="21"/>
        </w:rPr>
        <w:t>具备手机移动端数据访问功能。可</w:t>
      </w:r>
      <w:r>
        <w:rPr>
          <w:rFonts w:hint="eastAsia" w:ascii="宋体" w:hAnsi="宋体" w:cs="宋体"/>
          <w:sz w:val="21"/>
          <w:szCs w:val="21"/>
        </w:rPr>
        <w:t>查看扬尘点位的</w:t>
      </w:r>
      <w:r>
        <w:rPr>
          <w:rFonts w:ascii="Times New Roman" w:hAnsi="Times New Roman"/>
          <w:sz w:val="21"/>
          <w:szCs w:val="21"/>
        </w:rPr>
        <w:t>GIS</w:t>
      </w:r>
      <w:r>
        <w:rPr>
          <w:rFonts w:hint="eastAsia" w:ascii="宋体" w:hAnsi="宋体" w:cs="宋体"/>
          <w:sz w:val="21"/>
          <w:szCs w:val="21"/>
        </w:rPr>
        <w:t>位置</w:t>
      </w:r>
      <w:r>
        <w:rPr>
          <w:rFonts w:ascii="Times New Roman" w:hAnsi="Times New Roman"/>
          <w:sz w:val="21"/>
          <w:szCs w:val="21"/>
        </w:rPr>
        <w:t>、扬尘数据的查询与分析，自动接收报警，并可随时进行报警信息处置反馈。</w:t>
      </w:r>
    </w:p>
    <w:p>
      <w:pPr>
        <w:pStyle w:val="4"/>
        <w:spacing w:before="312" w:after="312"/>
      </w:pPr>
      <w:bookmarkStart w:id="78" w:name="_Toc22543"/>
      <w:r>
        <w:t>8 系统验收</w:t>
      </w:r>
      <w:bookmarkEnd w:id="78"/>
    </w:p>
    <w:p>
      <w:pPr>
        <w:outlineLvl w:val="0"/>
        <w:rPr>
          <w:rFonts w:ascii="黑体" w:hAnsi="黑体" w:eastAsia="黑体" w:cs="黑体"/>
          <w:sz w:val="21"/>
          <w:szCs w:val="21"/>
        </w:rPr>
      </w:pPr>
      <w:bookmarkStart w:id="79" w:name="_Toc6881"/>
      <w:bookmarkStart w:id="80" w:name="_Toc16832"/>
      <w:bookmarkStart w:id="81" w:name="_Toc6080"/>
      <w:r>
        <w:rPr>
          <w:rFonts w:hint="eastAsia" w:ascii="黑体" w:hAnsi="黑体" w:eastAsia="黑体" w:cs="黑体"/>
          <w:sz w:val="21"/>
          <w:szCs w:val="21"/>
        </w:rPr>
        <w:t>8.1 验收条件</w:t>
      </w:r>
      <w:bookmarkEnd w:id="79"/>
      <w:bookmarkEnd w:id="80"/>
      <w:bookmarkEnd w:id="81"/>
    </w:p>
    <w:p>
      <w:pPr>
        <w:ind w:firstLine="420" w:firstLineChars="200"/>
        <w:rPr>
          <w:rFonts w:ascii="Times New Roman" w:hAnsi="Times New Roman"/>
          <w:sz w:val="21"/>
          <w:szCs w:val="21"/>
        </w:rPr>
      </w:pPr>
      <w:r>
        <w:rPr>
          <w:rFonts w:ascii="Times New Roman" w:hAnsi="Times New Roman"/>
          <w:sz w:val="21"/>
          <w:szCs w:val="21"/>
        </w:rPr>
        <w:t>系统验收应满足以下条件：</w:t>
      </w:r>
    </w:p>
    <w:p>
      <w:pPr>
        <w:ind w:firstLine="420" w:firstLineChars="200"/>
        <w:rPr>
          <w:rFonts w:ascii="Times New Roman" w:hAnsi="Times New Roman"/>
          <w:sz w:val="21"/>
          <w:szCs w:val="21"/>
        </w:rPr>
      </w:pPr>
      <w:r>
        <w:rPr>
          <w:rFonts w:hint="eastAsia" w:ascii="宋体" w:hAnsi="宋体" w:cs="宋体"/>
          <w:sz w:val="21"/>
          <w:szCs w:val="21"/>
        </w:rPr>
        <w:t>a）建设方在相应点位进行核实，所安装监测设备应按合同清单核查无误，并完成安装调试；</w:t>
      </w:r>
    </w:p>
    <w:p>
      <w:pPr>
        <w:ind w:firstLine="420" w:firstLineChars="200"/>
        <w:rPr>
          <w:rFonts w:ascii="宋体" w:hAnsi="宋体" w:cs="宋体"/>
          <w:sz w:val="21"/>
          <w:szCs w:val="21"/>
        </w:rPr>
      </w:pPr>
      <w:r>
        <w:rPr>
          <w:rFonts w:hint="eastAsia" w:ascii="宋体" w:hAnsi="宋体" w:cs="宋体"/>
          <w:sz w:val="21"/>
          <w:szCs w:val="21"/>
        </w:rPr>
        <w:t>b）系统应连续稳定运行15d以上，并完成联网测试；</w:t>
      </w:r>
    </w:p>
    <w:p>
      <w:pPr>
        <w:ind w:firstLine="420" w:firstLineChars="200"/>
        <w:rPr>
          <w:rFonts w:ascii="宋体" w:hAnsi="宋体" w:cs="宋体"/>
          <w:sz w:val="21"/>
          <w:szCs w:val="21"/>
        </w:rPr>
      </w:pPr>
      <w:r>
        <w:rPr>
          <w:rFonts w:hint="eastAsia" w:ascii="宋体" w:hAnsi="宋体" w:cs="宋体"/>
          <w:sz w:val="21"/>
          <w:szCs w:val="21"/>
        </w:rPr>
        <w:t>c）监测设备应具有设备出厂检验合格报告、合格证等文件；</w:t>
      </w:r>
    </w:p>
    <w:p>
      <w:pPr>
        <w:ind w:firstLine="420" w:firstLineChars="200"/>
        <w:rPr>
          <w:rFonts w:ascii="宋体" w:hAnsi="宋体" w:cs="宋体"/>
          <w:sz w:val="21"/>
          <w:szCs w:val="21"/>
        </w:rPr>
      </w:pPr>
      <w:r>
        <w:rPr>
          <w:rFonts w:hint="eastAsia" w:ascii="宋体" w:hAnsi="宋体" w:cs="宋体"/>
          <w:sz w:val="21"/>
          <w:szCs w:val="21"/>
        </w:rPr>
        <w:t>d）应具有监测设备现场安装信息表、监测设备验收表；</w:t>
      </w:r>
    </w:p>
    <w:p>
      <w:pPr>
        <w:ind w:firstLine="420" w:firstLineChars="200"/>
        <w:rPr>
          <w:rFonts w:ascii="宋体" w:hAnsi="宋体" w:cs="宋体"/>
          <w:sz w:val="21"/>
          <w:szCs w:val="21"/>
        </w:rPr>
      </w:pPr>
      <w:r>
        <w:rPr>
          <w:rFonts w:hint="eastAsia" w:ascii="宋体" w:hAnsi="宋体" w:cs="宋体"/>
          <w:sz w:val="21"/>
          <w:szCs w:val="21"/>
        </w:rPr>
        <w:t>e）运维单位根据相关技术要求提供相应的质量控制措施，保障数据符合规范要求；</w:t>
      </w:r>
    </w:p>
    <w:p>
      <w:pPr>
        <w:ind w:firstLine="420" w:firstLineChars="200"/>
        <w:rPr>
          <w:rFonts w:ascii="宋体" w:hAnsi="宋体" w:cs="宋体"/>
          <w:sz w:val="21"/>
          <w:szCs w:val="21"/>
        </w:rPr>
      </w:pPr>
      <w:r>
        <w:rPr>
          <w:rFonts w:hint="eastAsia" w:ascii="宋体" w:hAnsi="宋体" w:cs="宋体"/>
          <w:sz w:val="21"/>
          <w:szCs w:val="21"/>
        </w:rPr>
        <w:t>f）运维单位提供系统运行维护方案；</w:t>
      </w:r>
    </w:p>
    <w:p>
      <w:pPr>
        <w:ind w:firstLine="420" w:firstLineChars="200"/>
        <w:rPr>
          <w:rFonts w:ascii="宋体" w:hAnsi="宋体" w:cs="宋体"/>
          <w:sz w:val="21"/>
          <w:szCs w:val="21"/>
        </w:rPr>
      </w:pPr>
      <w:r>
        <w:rPr>
          <w:rFonts w:hint="eastAsia" w:ascii="宋体" w:hAnsi="宋体" w:cs="宋体"/>
          <w:sz w:val="21"/>
          <w:szCs w:val="21"/>
        </w:rPr>
        <w:t>g）提供完整的监测系统技术档案。</w:t>
      </w:r>
    </w:p>
    <w:p>
      <w:pPr>
        <w:spacing w:before="156" w:beforeLines="50" w:after="156" w:afterLines="50"/>
        <w:outlineLvl w:val="0"/>
        <w:rPr>
          <w:rFonts w:ascii="黑体" w:hAnsi="黑体" w:eastAsia="黑体" w:cs="黑体"/>
          <w:sz w:val="21"/>
          <w:szCs w:val="21"/>
        </w:rPr>
      </w:pPr>
      <w:bookmarkStart w:id="82" w:name="_Toc116"/>
      <w:bookmarkStart w:id="83" w:name="_Toc28797"/>
      <w:bookmarkStart w:id="84" w:name="_Toc9938"/>
      <w:r>
        <w:rPr>
          <w:rFonts w:hint="eastAsia" w:ascii="黑体" w:hAnsi="黑体" w:eastAsia="黑体" w:cs="黑体"/>
          <w:sz w:val="21"/>
          <w:szCs w:val="21"/>
        </w:rPr>
        <w:t>8.2 验收要求</w:t>
      </w:r>
      <w:bookmarkEnd w:id="82"/>
      <w:bookmarkEnd w:id="83"/>
      <w:bookmarkEnd w:id="84"/>
    </w:p>
    <w:p>
      <w:pPr>
        <w:spacing w:before="156" w:beforeLines="50" w:after="156" w:afterLines="50"/>
        <w:outlineLvl w:val="0"/>
        <w:rPr>
          <w:rFonts w:ascii="黑体" w:hAnsi="黑体" w:eastAsia="黑体" w:cs="黑体"/>
          <w:sz w:val="21"/>
          <w:szCs w:val="21"/>
        </w:rPr>
      </w:pPr>
      <w:bookmarkStart w:id="85" w:name="_Toc22386"/>
      <w:r>
        <w:rPr>
          <w:rFonts w:hint="eastAsia" w:ascii="黑体" w:hAnsi="黑体" w:eastAsia="黑体" w:cs="黑体"/>
          <w:sz w:val="21"/>
          <w:szCs w:val="21"/>
        </w:rPr>
        <w:t>8.2.1 验收申请</w:t>
      </w:r>
      <w:bookmarkEnd w:id="85"/>
    </w:p>
    <w:p>
      <w:pPr>
        <w:ind w:firstLine="420" w:firstLineChars="200"/>
        <w:rPr>
          <w:rFonts w:ascii="Times New Roman" w:hAnsi="Times New Roman"/>
          <w:sz w:val="21"/>
          <w:szCs w:val="21"/>
        </w:rPr>
      </w:pPr>
      <w:r>
        <w:rPr>
          <w:rFonts w:ascii="Times New Roman" w:hAnsi="Times New Roman"/>
          <w:sz w:val="21"/>
          <w:szCs w:val="21"/>
        </w:rPr>
        <w:t>建设方在系统满足验收条件后，提出验收申请，验收申请材料上报相关主管单位或招投标单位受理，经核准符合验收条件，由相关主管单位或招投标单位实施验收。</w:t>
      </w:r>
    </w:p>
    <w:p>
      <w:pPr>
        <w:spacing w:before="156" w:beforeLines="50" w:after="156" w:afterLines="50"/>
        <w:outlineLvl w:val="0"/>
        <w:rPr>
          <w:rFonts w:ascii="黑体" w:hAnsi="黑体" w:eastAsia="黑体" w:cs="黑体"/>
          <w:sz w:val="21"/>
          <w:szCs w:val="21"/>
        </w:rPr>
      </w:pPr>
      <w:bookmarkStart w:id="86" w:name="_Toc17881"/>
      <w:r>
        <w:rPr>
          <w:rFonts w:hint="eastAsia" w:ascii="黑体" w:hAnsi="黑体" w:eastAsia="黑体" w:cs="黑体"/>
          <w:sz w:val="21"/>
          <w:szCs w:val="21"/>
        </w:rPr>
        <w:t>8.2.2 验收指标</w:t>
      </w:r>
      <w:bookmarkEnd w:id="86"/>
    </w:p>
    <w:p>
      <w:pPr>
        <w:rPr>
          <w:rFonts w:ascii="黑体" w:hAnsi="黑体" w:eastAsia="黑体" w:cs="黑体"/>
          <w:sz w:val="21"/>
          <w:szCs w:val="21"/>
        </w:rPr>
      </w:pPr>
      <w:r>
        <w:rPr>
          <w:rFonts w:hint="eastAsia" w:ascii="黑体" w:hAnsi="黑体" w:eastAsia="黑体" w:cs="黑体"/>
          <w:sz w:val="21"/>
          <w:szCs w:val="21"/>
        </w:rPr>
        <w:t>8.2.2.1 关键技术指标要求</w:t>
      </w:r>
    </w:p>
    <w:p>
      <w:pPr>
        <w:ind w:firstLine="420" w:firstLineChars="200"/>
        <w:rPr>
          <w:rFonts w:ascii="Times New Roman" w:hAnsi="Times New Roman"/>
          <w:sz w:val="21"/>
          <w:szCs w:val="21"/>
        </w:rPr>
      </w:pPr>
      <w:r>
        <w:rPr>
          <w:rFonts w:ascii="Times New Roman" w:hAnsi="Times New Roman"/>
          <w:sz w:val="21"/>
          <w:szCs w:val="21"/>
        </w:rPr>
        <w:t>验收时应确保监测设备性能指标、联网测试技术指标等关键技术指标符合本规范技术要求。</w:t>
      </w:r>
    </w:p>
    <w:p>
      <w:pPr>
        <w:spacing w:before="156" w:beforeLines="50" w:after="156" w:afterLines="50"/>
        <w:outlineLvl w:val="0"/>
        <w:rPr>
          <w:rFonts w:ascii="黑体" w:hAnsi="黑体" w:eastAsia="黑体" w:cs="黑体"/>
          <w:sz w:val="21"/>
          <w:szCs w:val="21"/>
        </w:rPr>
      </w:pPr>
      <w:r>
        <w:rPr>
          <w:rFonts w:hint="eastAsia" w:ascii="黑体" w:hAnsi="黑体" w:eastAsia="黑体" w:cs="黑体"/>
          <w:sz w:val="21"/>
          <w:szCs w:val="21"/>
        </w:rPr>
        <w:t>8.2.2.2 监测设备验收</w:t>
      </w:r>
    </w:p>
    <w:p>
      <w:pPr>
        <w:rPr>
          <w:rFonts w:ascii="Times New Roman" w:hAnsi="Times New Roman"/>
          <w:sz w:val="21"/>
          <w:szCs w:val="21"/>
        </w:rPr>
      </w:pPr>
      <w:r>
        <w:rPr>
          <w:rFonts w:hint="eastAsia" w:ascii="黑体" w:hAnsi="黑体" w:eastAsia="黑体" w:cs="黑体"/>
          <w:sz w:val="21"/>
          <w:szCs w:val="21"/>
        </w:rPr>
        <w:t xml:space="preserve">8.2.2.2.1 </w:t>
      </w:r>
      <w:r>
        <w:rPr>
          <w:rFonts w:ascii="Times New Roman" w:hAnsi="Times New Roman"/>
          <w:sz w:val="21"/>
          <w:szCs w:val="21"/>
        </w:rPr>
        <w:t>监测设备在验收时应采用抽样检验的方式，抽样原则见表3。</w:t>
      </w:r>
    </w:p>
    <w:p>
      <w:pPr>
        <w:spacing w:before="156" w:beforeLines="50" w:after="156" w:afterLines="50"/>
        <w:jc w:val="center"/>
        <w:rPr>
          <w:rFonts w:ascii="Times New Roman" w:hAnsi="Times New Roman"/>
          <w:sz w:val="21"/>
          <w:szCs w:val="21"/>
        </w:rPr>
      </w:pPr>
      <w:r>
        <w:rPr>
          <w:rFonts w:hint="eastAsia" w:ascii="黑体" w:hAnsi="黑体" w:eastAsia="黑体" w:cs="黑体"/>
          <w:sz w:val="21"/>
          <w:szCs w:val="21"/>
        </w:rPr>
        <w:t>表3 验收数量及抽样原则</w:t>
      </w:r>
    </w:p>
    <w:tbl>
      <w:tblPr>
        <w:tblStyle w:val="12"/>
        <w:tblW w:w="4999" w:type="pct"/>
        <w:jc w:val="center"/>
        <w:tblLayout w:type="autofit"/>
        <w:tblCellMar>
          <w:top w:w="0" w:type="dxa"/>
          <w:left w:w="0" w:type="dxa"/>
          <w:bottom w:w="0" w:type="dxa"/>
          <w:right w:w="0" w:type="dxa"/>
        </w:tblCellMar>
      </w:tblPr>
      <w:tblGrid>
        <w:gridCol w:w="2047"/>
        <w:gridCol w:w="7326"/>
      </w:tblGrid>
      <w:tr>
        <w:tblPrEx>
          <w:tblCellMar>
            <w:top w:w="0" w:type="dxa"/>
            <w:left w:w="0" w:type="dxa"/>
            <w:bottom w:w="0" w:type="dxa"/>
            <w:right w:w="0" w:type="dxa"/>
          </w:tblCellMar>
        </w:tblPrEx>
        <w:trPr>
          <w:trHeight w:val="312" w:hRule="atLeast"/>
          <w:jc w:val="center"/>
        </w:trPr>
        <w:tc>
          <w:tcPr>
            <w:tcW w:w="1092" w:type="pct"/>
            <w:tcBorders>
              <w:top w:val="single" w:color="000000" w:sz="8" w:space="0"/>
              <w:left w:val="single" w:color="000000" w:sz="8" w:space="0"/>
              <w:bottom w:val="single" w:color="000000" w:sz="8"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总数量（台）</w:t>
            </w:r>
          </w:p>
        </w:tc>
        <w:tc>
          <w:tcPr>
            <w:tcW w:w="3907" w:type="pct"/>
            <w:tcBorders>
              <w:top w:val="single" w:color="000000" w:sz="8" w:space="0"/>
              <w:left w:val="single" w:color="000000" w:sz="4" w:space="0"/>
              <w:bottom w:val="single" w:color="000000" w:sz="8" w:space="0"/>
              <w:right w:val="single" w:color="000000" w:sz="8"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抽样原则</w:t>
            </w:r>
          </w:p>
        </w:tc>
      </w:tr>
      <w:tr>
        <w:tblPrEx>
          <w:tblCellMar>
            <w:top w:w="0" w:type="dxa"/>
            <w:left w:w="0" w:type="dxa"/>
            <w:bottom w:w="0" w:type="dxa"/>
            <w:right w:w="0" w:type="dxa"/>
          </w:tblCellMar>
        </w:tblPrEx>
        <w:trPr>
          <w:trHeight w:val="312" w:hRule="atLeast"/>
          <w:jc w:val="center"/>
        </w:trPr>
        <w:tc>
          <w:tcPr>
            <w:tcW w:w="1092" w:type="pct"/>
            <w:tcBorders>
              <w:top w:val="single" w:color="000000" w:sz="8" w:space="0"/>
              <w:left w:val="single" w:color="000000" w:sz="8" w:space="0"/>
              <w:bottom w:val="single" w:color="000000" w:sz="8"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≤10</w:t>
            </w:r>
          </w:p>
        </w:tc>
        <w:tc>
          <w:tcPr>
            <w:tcW w:w="3907" w:type="pct"/>
            <w:tcBorders>
              <w:top w:val="single" w:color="000000" w:sz="8" w:space="0"/>
              <w:left w:val="single" w:color="000000" w:sz="4" w:space="0"/>
              <w:bottom w:val="single" w:color="000000" w:sz="8" w:space="0"/>
              <w:right w:val="single" w:color="000000" w:sz="8"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全检</w:t>
            </w:r>
          </w:p>
        </w:tc>
      </w:tr>
      <w:tr>
        <w:tblPrEx>
          <w:tblCellMar>
            <w:top w:w="0" w:type="dxa"/>
            <w:left w:w="0" w:type="dxa"/>
            <w:bottom w:w="0" w:type="dxa"/>
            <w:right w:w="0" w:type="dxa"/>
          </w:tblCellMar>
        </w:tblPrEx>
        <w:trPr>
          <w:trHeight w:val="312" w:hRule="atLeast"/>
          <w:jc w:val="center"/>
        </w:trPr>
        <w:tc>
          <w:tcPr>
            <w:tcW w:w="1092" w:type="pct"/>
            <w:tcBorders>
              <w:top w:val="single" w:color="000000" w:sz="8" w:space="0"/>
              <w:left w:val="single" w:color="000000" w:sz="8" w:space="0"/>
              <w:bottom w:val="single" w:color="000000" w:sz="4"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＞10</w:t>
            </w:r>
            <w:r>
              <w:rPr>
                <w:rFonts w:hint="eastAsia" w:ascii="宋体" w:hAnsi="宋体" w:cs="宋体"/>
                <w:bCs/>
                <w:color w:val="000000"/>
                <w:spacing w:val="-4"/>
                <w:w w:val="103"/>
                <w:kern w:val="0"/>
                <w:sz w:val="18"/>
                <w:szCs w:val="18"/>
              </w:rPr>
              <w:t>且</w:t>
            </w:r>
            <w:r>
              <w:rPr>
                <w:rFonts w:hint="eastAsia" w:ascii="宋体" w:hAnsi="宋体" w:cs="宋体"/>
                <w:bCs/>
                <w:color w:val="000000"/>
                <w:kern w:val="0"/>
                <w:sz w:val="18"/>
                <w:szCs w:val="18"/>
              </w:rPr>
              <w:t>≤50</w:t>
            </w:r>
          </w:p>
        </w:tc>
        <w:tc>
          <w:tcPr>
            <w:tcW w:w="3907" w:type="pct"/>
            <w:tcBorders>
              <w:top w:val="single" w:color="000000" w:sz="8" w:space="0"/>
              <w:left w:val="single" w:color="000000" w:sz="4" w:space="0"/>
              <w:bottom w:val="single" w:color="000000" w:sz="4" w:space="0"/>
              <w:right w:val="single" w:color="000000" w:sz="8"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抽样10</w:t>
            </w:r>
            <w:r>
              <w:rPr>
                <w:rFonts w:hint="eastAsia" w:ascii="宋体" w:hAnsi="宋体" w:cs="宋体"/>
                <w:bCs/>
                <w:color w:val="000000"/>
                <w:spacing w:val="-7"/>
                <w:w w:val="105"/>
                <w:kern w:val="0"/>
                <w:sz w:val="18"/>
                <w:szCs w:val="18"/>
              </w:rPr>
              <w:t>台</w:t>
            </w:r>
          </w:p>
        </w:tc>
      </w:tr>
      <w:tr>
        <w:tblPrEx>
          <w:tblCellMar>
            <w:top w:w="0" w:type="dxa"/>
            <w:left w:w="0" w:type="dxa"/>
            <w:bottom w:w="0" w:type="dxa"/>
            <w:right w:w="0" w:type="dxa"/>
          </w:tblCellMar>
        </w:tblPrEx>
        <w:trPr>
          <w:trHeight w:val="23" w:hRule="atLeast"/>
          <w:jc w:val="center"/>
        </w:trPr>
        <w:tc>
          <w:tcPr>
            <w:tcW w:w="1092" w:type="pct"/>
            <w:tcBorders>
              <w:top w:val="single" w:color="000000" w:sz="4" w:space="0"/>
              <w:left w:val="single" w:color="000000" w:sz="8" w:space="0"/>
              <w:bottom w:val="single" w:color="000000" w:sz="4"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＞50</w:t>
            </w:r>
          </w:p>
        </w:tc>
        <w:tc>
          <w:tcPr>
            <w:tcW w:w="3907" w:type="pct"/>
            <w:tcBorders>
              <w:top w:val="single" w:color="000000" w:sz="4" w:space="0"/>
              <w:left w:val="single" w:color="000000" w:sz="4" w:space="0"/>
              <w:bottom w:val="single" w:color="000000" w:sz="4" w:space="0"/>
              <w:right w:val="single" w:color="000000" w:sz="8"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抽样比例</w:t>
            </w:r>
            <w:r>
              <w:rPr>
                <w:rFonts w:hint="eastAsia" w:ascii="宋体" w:hAnsi="宋体" w:cs="宋体"/>
                <w:bCs/>
                <w:color w:val="000000"/>
                <w:spacing w:val="1"/>
                <w:kern w:val="0"/>
                <w:sz w:val="18"/>
                <w:szCs w:val="18"/>
              </w:rPr>
              <w:t>≥</w:t>
            </w:r>
            <w:r>
              <w:rPr>
                <w:rFonts w:hint="eastAsia" w:ascii="宋体" w:hAnsi="宋体" w:cs="宋体"/>
                <w:bCs/>
                <w:color w:val="000000"/>
                <w:kern w:val="0"/>
                <w:sz w:val="18"/>
                <w:szCs w:val="18"/>
              </w:rPr>
              <w:t>20%</w:t>
            </w:r>
          </w:p>
        </w:tc>
      </w:tr>
    </w:tbl>
    <w:p>
      <w:pPr>
        <w:rPr>
          <w:rFonts w:ascii="Times New Roman" w:hAnsi="Times New Roman"/>
          <w:sz w:val="21"/>
          <w:szCs w:val="21"/>
        </w:rPr>
      </w:pPr>
      <w:r>
        <w:rPr>
          <w:rFonts w:hint="eastAsia" w:ascii="黑体" w:hAnsi="黑体" w:eastAsia="黑体" w:cs="黑体"/>
          <w:sz w:val="21"/>
          <w:szCs w:val="21"/>
        </w:rPr>
        <w:t xml:space="preserve">8.2.2.2.2 </w:t>
      </w:r>
      <w:r>
        <w:rPr>
          <w:rFonts w:hint="eastAsia" w:ascii="宋体" w:hAnsi="宋体" w:cs="宋体"/>
          <w:sz w:val="21"/>
          <w:szCs w:val="21"/>
        </w:rPr>
        <w:t>对抽检的</w:t>
      </w:r>
      <w:r>
        <w:rPr>
          <w:rFonts w:ascii="Times New Roman" w:hAnsi="Times New Roman"/>
          <w:sz w:val="21"/>
          <w:szCs w:val="21"/>
        </w:rPr>
        <w:t>β</w:t>
      </w:r>
      <w:r>
        <w:rPr>
          <w:rFonts w:hint="eastAsia" w:ascii="宋体" w:hAnsi="宋体" w:cs="宋体"/>
          <w:sz w:val="21"/>
          <w:szCs w:val="21"/>
        </w:rPr>
        <w:t>射线法设备与手工监测法进行比对测试。比对测试期间，在线监测仪与手工监测法的相关系数应≥0.95，斜率1±0.15，截距（0±10）</w:t>
      </w:r>
      <w:r>
        <w:rPr>
          <w:rFonts w:ascii="Times New Roman" w:hAnsi="Times New Roman"/>
          <w:sz w:val="21"/>
          <w:szCs w:val="21"/>
        </w:rPr>
        <w:t>μg</w:t>
      </w:r>
      <w:r>
        <w:rPr>
          <w:rFonts w:hint="eastAsia" w:ascii="Times New Roman" w:hAnsi="Times New Roman"/>
          <w:sz w:val="21"/>
          <w:szCs w:val="21"/>
        </w:rPr>
        <w:t>/m</w:t>
      </w:r>
      <w:r>
        <w:rPr>
          <w:rFonts w:ascii="Times New Roman" w:hAnsi="Times New Roman"/>
          <w:sz w:val="21"/>
          <w:szCs w:val="21"/>
        </w:rPr>
        <w:t>。</w:t>
      </w:r>
    </w:p>
    <w:p>
      <w:pPr>
        <w:rPr>
          <w:rFonts w:ascii="Times New Roman" w:hAnsi="Times New Roman"/>
          <w:sz w:val="21"/>
          <w:szCs w:val="21"/>
        </w:rPr>
      </w:pPr>
      <w:r>
        <w:rPr>
          <w:rFonts w:hint="eastAsia" w:ascii="黑体" w:hAnsi="黑体" w:eastAsia="黑体" w:cs="黑体"/>
          <w:sz w:val="21"/>
          <w:szCs w:val="21"/>
        </w:rPr>
        <w:t xml:space="preserve">8.2.2.2.3 </w:t>
      </w:r>
      <w:r>
        <w:rPr>
          <w:rFonts w:ascii="Times New Roman" w:hAnsi="Times New Roman"/>
          <w:sz w:val="21"/>
          <w:szCs w:val="21"/>
        </w:rPr>
        <w:t>监测设备检测不合格时应重新检测，仍不合格的为本次验收测试不合格。</w:t>
      </w:r>
    </w:p>
    <w:p>
      <w:pPr>
        <w:spacing w:before="156" w:beforeLines="50" w:after="156" w:afterLines="50"/>
        <w:outlineLvl w:val="0"/>
        <w:rPr>
          <w:rFonts w:ascii="黑体" w:hAnsi="黑体" w:eastAsia="黑体" w:cs="黑体"/>
          <w:sz w:val="21"/>
          <w:szCs w:val="21"/>
        </w:rPr>
      </w:pPr>
      <w:r>
        <w:rPr>
          <w:rFonts w:hint="eastAsia" w:ascii="黑体" w:hAnsi="黑体" w:eastAsia="黑体" w:cs="黑体"/>
          <w:sz w:val="21"/>
          <w:szCs w:val="21"/>
        </w:rPr>
        <w:t>8.2.2.3 联网测试技术指标</w:t>
      </w:r>
    </w:p>
    <w:p>
      <w:pPr>
        <w:ind w:firstLine="420" w:firstLineChars="200"/>
        <w:rPr>
          <w:rFonts w:ascii="Times New Roman" w:hAnsi="Times New Roman"/>
          <w:sz w:val="21"/>
          <w:szCs w:val="21"/>
        </w:rPr>
      </w:pPr>
      <w:r>
        <w:rPr>
          <w:rFonts w:ascii="Times New Roman" w:hAnsi="Times New Roman"/>
          <w:sz w:val="21"/>
          <w:szCs w:val="21"/>
        </w:rPr>
        <w:t>联网测试技术指标见表</w:t>
      </w:r>
      <w:r>
        <w:rPr>
          <w:rFonts w:hint="eastAsia" w:ascii="宋体" w:hAnsi="宋体" w:cs="宋体"/>
          <w:sz w:val="21"/>
          <w:szCs w:val="21"/>
        </w:rPr>
        <w:t>4。</w:t>
      </w:r>
    </w:p>
    <w:p>
      <w:pPr>
        <w:spacing w:before="156" w:beforeLines="50" w:after="156" w:afterLines="50"/>
        <w:jc w:val="center"/>
        <w:rPr>
          <w:rFonts w:ascii="黑体" w:hAnsi="黑体" w:eastAsia="黑体" w:cs="黑体"/>
          <w:sz w:val="21"/>
          <w:szCs w:val="21"/>
        </w:rPr>
      </w:pPr>
      <w:r>
        <w:rPr>
          <w:rFonts w:hint="eastAsia" w:ascii="黑体" w:hAnsi="黑体" w:eastAsia="黑体" w:cs="黑体"/>
          <w:sz w:val="21"/>
          <w:szCs w:val="21"/>
        </w:rPr>
        <w:t>表 4 系统联网验收技术指标</w:t>
      </w:r>
    </w:p>
    <w:tbl>
      <w:tblPr>
        <w:tblStyle w:val="12"/>
        <w:tblW w:w="5029" w:type="pct"/>
        <w:tblInd w:w="0" w:type="dxa"/>
        <w:tblLayout w:type="autofit"/>
        <w:tblCellMar>
          <w:top w:w="0" w:type="dxa"/>
          <w:left w:w="0" w:type="dxa"/>
          <w:bottom w:w="0" w:type="dxa"/>
          <w:right w:w="0" w:type="dxa"/>
        </w:tblCellMar>
      </w:tblPr>
      <w:tblGrid>
        <w:gridCol w:w="1547"/>
        <w:gridCol w:w="7882"/>
      </w:tblGrid>
      <w:tr>
        <w:tblPrEx>
          <w:tblCellMar>
            <w:top w:w="0" w:type="dxa"/>
            <w:left w:w="0" w:type="dxa"/>
            <w:bottom w:w="0" w:type="dxa"/>
            <w:right w:w="0" w:type="dxa"/>
          </w:tblCellMar>
        </w:tblPrEx>
        <w:tc>
          <w:tcPr>
            <w:tcW w:w="820" w:type="pct"/>
            <w:tcBorders>
              <w:top w:val="single" w:color="000000" w:sz="8" w:space="0"/>
              <w:left w:val="single" w:color="000000" w:sz="8" w:space="0"/>
              <w:bottom w:val="single" w:color="000000" w:sz="8"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检测项目</w:t>
            </w:r>
          </w:p>
        </w:tc>
        <w:tc>
          <w:tcPr>
            <w:tcW w:w="4179" w:type="pct"/>
            <w:tcBorders>
              <w:top w:val="single" w:color="000000" w:sz="8" w:space="0"/>
              <w:left w:val="single" w:color="000000" w:sz="4" w:space="0"/>
              <w:bottom w:val="single" w:color="000000" w:sz="8" w:space="0"/>
              <w:right w:val="single" w:color="000000" w:sz="8"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考核指标</w:t>
            </w:r>
          </w:p>
        </w:tc>
      </w:tr>
      <w:tr>
        <w:tblPrEx>
          <w:tblCellMar>
            <w:top w:w="0" w:type="dxa"/>
            <w:left w:w="0" w:type="dxa"/>
            <w:bottom w:w="0" w:type="dxa"/>
            <w:right w:w="0" w:type="dxa"/>
          </w:tblCellMar>
        </w:tblPrEx>
        <w:trPr>
          <w:trHeight w:val="312" w:hRule="atLeast"/>
        </w:trPr>
        <w:tc>
          <w:tcPr>
            <w:tcW w:w="820" w:type="pct"/>
            <w:tcBorders>
              <w:top w:val="single" w:color="000000" w:sz="8" w:space="0"/>
              <w:left w:val="single" w:color="000000" w:sz="8" w:space="0"/>
              <w:bottom w:val="single" w:color="000000" w:sz="8"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通信稳定性</w:t>
            </w:r>
          </w:p>
        </w:tc>
        <w:tc>
          <w:tcPr>
            <w:tcW w:w="4179" w:type="pct"/>
            <w:tcBorders>
              <w:top w:val="single" w:color="000000" w:sz="8" w:space="0"/>
              <w:left w:val="single" w:color="000000" w:sz="4" w:space="0"/>
              <w:bottom w:val="single" w:color="000000" w:sz="8" w:space="0"/>
              <w:right w:val="single" w:color="000000" w:sz="8" w:space="0"/>
            </w:tcBorders>
            <w:vAlign w:val="center"/>
          </w:tcPr>
          <w:p>
            <w:pPr>
              <w:autoSpaceDE w:val="0"/>
              <w:autoSpaceDN w:val="0"/>
              <w:ind w:firstLine="180" w:firstLineChars="100"/>
              <w:rPr>
                <w:rFonts w:ascii="宋体" w:hAnsi="宋体" w:cs="宋体"/>
                <w:sz w:val="18"/>
                <w:szCs w:val="18"/>
              </w:rPr>
            </w:pPr>
            <w:r>
              <w:rPr>
                <w:rFonts w:hint="eastAsia" w:ascii="宋体" w:hAnsi="宋体" w:cs="宋体"/>
                <w:bCs/>
                <w:color w:val="000000"/>
                <w:kern w:val="0"/>
                <w:sz w:val="18"/>
                <w:szCs w:val="18"/>
              </w:rPr>
              <w:t>1.现场设备在线率达</w:t>
            </w:r>
            <w:r>
              <w:rPr>
                <w:rFonts w:hint="eastAsia" w:ascii="宋体" w:hAnsi="宋体" w:cs="宋体"/>
                <w:bCs/>
                <w:color w:val="000000"/>
                <w:spacing w:val="-2"/>
                <w:kern w:val="0"/>
                <w:sz w:val="18"/>
                <w:szCs w:val="18"/>
              </w:rPr>
              <w:t>到</w:t>
            </w:r>
            <w:r>
              <w:rPr>
                <w:rFonts w:hint="eastAsia" w:ascii="宋体" w:hAnsi="宋体" w:cs="宋体"/>
                <w:bCs/>
                <w:color w:val="000000"/>
                <w:kern w:val="0"/>
                <w:sz w:val="18"/>
                <w:szCs w:val="18"/>
              </w:rPr>
              <w:t>90</w:t>
            </w:r>
            <w:r>
              <w:rPr>
                <w:rFonts w:hint="eastAsia" w:ascii="Times New Roman" w:hAnsi="Times New Roman"/>
                <w:sz w:val="21"/>
                <w:szCs w:val="21"/>
              </w:rPr>
              <w:t>%</w:t>
            </w:r>
            <w:r>
              <w:rPr>
                <w:rFonts w:hint="eastAsia" w:ascii="宋体" w:hAnsi="宋体" w:cs="宋体"/>
                <w:bCs/>
                <w:color w:val="000000"/>
                <w:spacing w:val="-2"/>
                <w:kern w:val="0"/>
                <w:sz w:val="18"/>
                <w:szCs w:val="18"/>
              </w:rPr>
              <w:t>以</w:t>
            </w:r>
            <w:r>
              <w:rPr>
                <w:rFonts w:hint="eastAsia" w:ascii="宋体" w:hAnsi="宋体" w:cs="宋体"/>
                <w:bCs/>
                <w:color w:val="000000"/>
                <w:kern w:val="0"/>
                <w:sz w:val="18"/>
                <w:szCs w:val="18"/>
              </w:rPr>
              <w:t>上；</w:t>
            </w:r>
          </w:p>
          <w:p>
            <w:pPr>
              <w:autoSpaceDE w:val="0"/>
              <w:autoSpaceDN w:val="0"/>
              <w:ind w:firstLine="180" w:firstLineChars="100"/>
              <w:rPr>
                <w:rFonts w:ascii="宋体" w:hAnsi="宋体" w:cs="宋体"/>
                <w:sz w:val="18"/>
                <w:szCs w:val="18"/>
              </w:rPr>
            </w:pPr>
            <w:r>
              <w:rPr>
                <w:rFonts w:hint="eastAsia" w:ascii="宋体" w:hAnsi="宋体" w:cs="宋体"/>
                <w:bCs/>
                <w:color w:val="000000"/>
                <w:kern w:val="0"/>
                <w:sz w:val="18"/>
                <w:szCs w:val="18"/>
              </w:rPr>
              <w:t>2.正常情况下，掉线后，应</w:t>
            </w:r>
            <w:r>
              <w:rPr>
                <w:rFonts w:hint="eastAsia" w:ascii="宋体" w:hAnsi="宋体" w:cs="宋体"/>
                <w:bCs/>
                <w:color w:val="000000"/>
                <w:spacing w:val="-3"/>
                <w:kern w:val="0"/>
                <w:sz w:val="18"/>
                <w:szCs w:val="18"/>
              </w:rPr>
              <w:t>在</w:t>
            </w:r>
            <w:r>
              <w:rPr>
                <w:rFonts w:hint="eastAsia" w:ascii="宋体" w:hAnsi="宋体" w:cs="宋体"/>
                <w:bCs/>
                <w:color w:val="000000"/>
                <w:kern w:val="0"/>
                <w:sz w:val="18"/>
                <w:szCs w:val="18"/>
              </w:rPr>
              <w:t>1</w:t>
            </w:r>
            <w:r>
              <w:rPr>
                <w:rFonts w:hint="eastAsia" w:ascii="宋体" w:hAnsi="宋体" w:cs="宋体"/>
                <w:bCs/>
                <w:color w:val="000000"/>
                <w:spacing w:val="-4"/>
                <w:w w:val="105"/>
                <w:kern w:val="0"/>
                <w:sz w:val="18"/>
                <w:szCs w:val="18"/>
              </w:rPr>
              <w:t>5</w:t>
            </w:r>
            <w:r>
              <w:rPr>
                <w:rFonts w:hint="eastAsia" w:ascii="Times New Roman" w:hAnsi="Times New Roman"/>
                <w:sz w:val="21"/>
                <w:szCs w:val="21"/>
              </w:rPr>
              <w:t>min</w:t>
            </w:r>
            <w:r>
              <w:rPr>
                <w:rFonts w:hint="eastAsia" w:ascii="宋体" w:hAnsi="宋体" w:cs="宋体"/>
                <w:bCs/>
                <w:color w:val="000000"/>
                <w:spacing w:val="-2"/>
                <w:w w:val="102"/>
                <w:kern w:val="0"/>
                <w:sz w:val="18"/>
                <w:szCs w:val="18"/>
              </w:rPr>
              <w:t>之</w:t>
            </w:r>
            <w:r>
              <w:rPr>
                <w:rFonts w:hint="eastAsia" w:ascii="宋体" w:hAnsi="宋体" w:cs="宋体"/>
                <w:bCs/>
                <w:color w:val="000000"/>
                <w:kern w:val="0"/>
                <w:sz w:val="18"/>
                <w:szCs w:val="18"/>
              </w:rPr>
              <w:t>内重新上线；</w:t>
            </w:r>
          </w:p>
        </w:tc>
      </w:tr>
      <w:tr>
        <w:tblPrEx>
          <w:tblCellMar>
            <w:top w:w="0" w:type="dxa"/>
            <w:left w:w="0" w:type="dxa"/>
            <w:bottom w:w="0" w:type="dxa"/>
            <w:right w:w="0" w:type="dxa"/>
          </w:tblCellMar>
        </w:tblPrEx>
        <w:trPr>
          <w:trHeight w:val="312" w:hRule="atLeast"/>
        </w:trPr>
        <w:tc>
          <w:tcPr>
            <w:tcW w:w="820" w:type="pct"/>
            <w:tcBorders>
              <w:top w:val="single" w:color="000000" w:sz="8" w:space="0"/>
              <w:left w:val="single" w:color="000000" w:sz="8" w:space="0"/>
              <w:bottom w:val="single" w:color="000000" w:sz="4"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数据传输安全性</w:t>
            </w:r>
          </w:p>
        </w:tc>
        <w:tc>
          <w:tcPr>
            <w:tcW w:w="4179" w:type="pct"/>
            <w:tcBorders>
              <w:top w:val="single" w:color="000000" w:sz="8" w:space="0"/>
              <w:left w:val="single" w:color="000000" w:sz="4" w:space="0"/>
              <w:bottom w:val="single" w:color="000000" w:sz="4" w:space="0"/>
              <w:right w:val="single" w:color="000000" w:sz="8" w:space="0"/>
            </w:tcBorders>
            <w:vAlign w:val="center"/>
          </w:tcPr>
          <w:p>
            <w:pPr>
              <w:autoSpaceDE w:val="0"/>
              <w:autoSpaceDN w:val="0"/>
              <w:ind w:firstLine="180" w:firstLineChars="100"/>
              <w:rPr>
                <w:rFonts w:ascii="宋体" w:hAnsi="宋体" w:cs="宋体"/>
                <w:bCs/>
                <w:color w:val="000000"/>
                <w:kern w:val="0"/>
                <w:sz w:val="18"/>
                <w:szCs w:val="18"/>
              </w:rPr>
            </w:pPr>
            <w:r>
              <w:rPr>
                <w:rFonts w:hint="eastAsia" w:ascii="宋体" w:hAnsi="宋体" w:cs="宋体"/>
                <w:bCs/>
                <w:color w:val="000000"/>
                <w:kern w:val="0"/>
                <w:sz w:val="18"/>
                <w:szCs w:val="18"/>
              </w:rPr>
              <w:t>1.对所传输的数据应按照协</w:t>
            </w:r>
            <w:r>
              <w:rPr>
                <w:rFonts w:hint="eastAsia" w:ascii="宋体" w:hAnsi="宋体" w:cs="宋体"/>
                <w:bCs/>
                <w:color w:val="000000"/>
                <w:spacing w:val="-3"/>
                <w:kern w:val="0"/>
                <w:sz w:val="18"/>
                <w:szCs w:val="18"/>
              </w:rPr>
              <w:t>议</w:t>
            </w:r>
            <w:r>
              <w:rPr>
                <w:rFonts w:hint="eastAsia" w:ascii="宋体" w:hAnsi="宋体" w:cs="宋体"/>
                <w:bCs/>
                <w:color w:val="000000"/>
                <w:kern w:val="0"/>
                <w:sz w:val="18"/>
                <w:szCs w:val="18"/>
              </w:rPr>
              <w:t>中规定的加密方</w:t>
            </w:r>
            <w:r>
              <w:rPr>
                <w:rFonts w:hint="eastAsia" w:ascii="宋体" w:hAnsi="宋体" w:cs="宋体"/>
                <w:bCs/>
                <w:color w:val="000000"/>
                <w:spacing w:val="-1"/>
                <w:kern w:val="0"/>
                <w:sz w:val="18"/>
                <w:szCs w:val="18"/>
              </w:rPr>
              <w:t>法</w:t>
            </w:r>
            <w:r>
              <w:rPr>
                <w:rFonts w:hint="eastAsia" w:ascii="宋体" w:hAnsi="宋体" w:cs="宋体"/>
                <w:bCs/>
                <w:color w:val="000000"/>
                <w:kern w:val="0"/>
                <w:sz w:val="18"/>
                <w:szCs w:val="18"/>
              </w:rPr>
              <w:t>进行加密处理传输，保</w:t>
            </w:r>
            <w:r>
              <w:rPr>
                <w:rFonts w:hint="eastAsia" w:ascii="宋体" w:hAnsi="宋体" w:cs="宋体"/>
                <w:bCs/>
                <w:color w:val="000000"/>
                <w:spacing w:val="-1"/>
                <w:kern w:val="0"/>
                <w:sz w:val="18"/>
                <w:szCs w:val="18"/>
              </w:rPr>
              <w:t>证</w:t>
            </w:r>
            <w:r>
              <w:rPr>
                <w:rFonts w:hint="eastAsia" w:ascii="宋体" w:hAnsi="宋体" w:cs="宋体"/>
                <w:bCs/>
                <w:color w:val="000000"/>
                <w:kern w:val="0"/>
                <w:sz w:val="18"/>
                <w:szCs w:val="18"/>
              </w:rPr>
              <w:t>数据传输的安全性；</w:t>
            </w:r>
          </w:p>
          <w:p>
            <w:pPr>
              <w:autoSpaceDE w:val="0"/>
              <w:autoSpaceDN w:val="0"/>
              <w:ind w:firstLine="180" w:firstLineChars="100"/>
              <w:rPr>
                <w:rFonts w:ascii="宋体" w:hAnsi="宋体" w:cs="宋体"/>
                <w:sz w:val="18"/>
                <w:szCs w:val="18"/>
              </w:rPr>
            </w:pPr>
            <w:r>
              <w:rPr>
                <w:rFonts w:hint="eastAsia" w:ascii="宋体" w:hAnsi="宋体" w:cs="宋体"/>
                <w:bCs/>
                <w:color w:val="000000"/>
                <w:kern w:val="0"/>
                <w:sz w:val="18"/>
                <w:szCs w:val="18"/>
              </w:rPr>
              <w:t>2.服务器端对请求连接的客</w:t>
            </w:r>
            <w:r>
              <w:rPr>
                <w:rFonts w:hint="eastAsia" w:ascii="宋体" w:hAnsi="宋体" w:cs="宋体"/>
                <w:bCs/>
                <w:color w:val="000000"/>
                <w:spacing w:val="-3"/>
                <w:kern w:val="0"/>
                <w:sz w:val="18"/>
                <w:szCs w:val="18"/>
              </w:rPr>
              <w:t>户</w:t>
            </w:r>
            <w:r>
              <w:rPr>
                <w:rFonts w:hint="eastAsia" w:ascii="宋体" w:hAnsi="宋体" w:cs="宋体"/>
                <w:bCs/>
                <w:color w:val="000000"/>
                <w:kern w:val="0"/>
                <w:sz w:val="18"/>
                <w:szCs w:val="18"/>
              </w:rPr>
              <w:t>端进行身份验证。</w:t>
            </w:r>
          </w:p>
        </w:tc>
      </w:tr>
      <w:tr>
        <w:tblPrEx>
          <w:tblCellMar>
            <w:top w:w="0" w:type="dxa"/>
            <w:left w:w="0" w:type="dxa"/>
            <w:bottom w:w="0" w:type="dxa"/>
            <w:right w:w="0" w:type="dxa"/>
          </w:tblCellMar>
        </w:tblPrEx>
        <w:tc>
          <w:tcPr>
            <w:tcW w:w="820" w:type="pct"/>
            <w:tcBorders>
              <w:top w:val="single" w:color="000000" w:sz="4" w:space="0"/>
              <w:left w:val="single" w:color="000000" w:sz="8" w:space="0"/>
              <w:bottom w:val="single" w:color="000000" w:sz="8" w:space="0"/>
              <w:right w:val="single" w:color="000000" w:sz="4" w:space="0"/>
            </w:tcBorders>
            <w:vAlign w:val="center"/>
          </w:tcPr>
          <w:p>
            <w:pPr>
              <w:autoSpaceDE w:val="0"/>
              <w:autoSpaceDN w:val="0"/>
              <w:jc w:val="center"/>
              <w:rPr>
                <w:rFonts w:ascii="宋体" w:hAnsi="宋体" w:cs="宋体"/>
                <w:sz w:val="18"/>
                <w:szCs w:val="18"/>
              </w:rPr>
            </w:pPr>
            <w:r>
              <w:rPr>
                <w:rFonts w:hint="eastAsia" w:ascii="宋体" w:hAnsi="宋体" w:cs="宋体"/>
                <w:bCs/>
                <w:color w:val="000000"/>
                <w:kern w:val="0"/>
                <w:sz w:val="18"/>
                <w:szCs w:val="18"/>
              </w:rPr>
              <w:t>联网稳定性</w:t>
            </w:r>
          </w:p>
        </w:tc>
        <w:tc>
          <w:tcPr>
            <w:tcW w:w="4179" w:type="pct"/>
            <w:tcBorders>
              <w:top w:val="single" w:color="000000" w:sz="4" w:space="0"/>
              <w:left w:val="single" w:color="000000" w:sz="4" w:space="0"/>
              <w:bottom w:val="single" w:color="000000" w:sz="8" w:space="0"/>
              <w:right w:val="single" w:color="000000" w:sz="8" w:space="0"/>
            </w:tcBorders>
            <w:vAlign w:val="center"/>
          </w:tcPr>
          <w:p>
            <w:pPr>
              <w:autoSpaceDE w:val="0"/>
              <w:autoSpaceDN w:val="0"/>
              <w:ind w:firstLine="180" w:firstLineChars="100"/>
              <w:rPr>
                <w:rFonts w:ascii="宋体" w:hAnsi="宋体" w:cs="宋体"/>
                <w:sz w:val="18"/>
                <w:szCs w:val="18"/>
              </w:rPr>
            </w:pPr>
            <w:r>
              <w:rPr>
                <w:rFonts w:hint="eastAsia" w:ascii="宋体" w:hAnsi="宋体" w:cs="宋体"/>
                <w:bCs/>
                <w:color w:val="000000"/>
                <w:kern w:val="0"/>
                <w:sz w:val="18"/>
                <w:szCs w:val="18"/>
              </w:rPr>
              <w:t>在连续一个月内，不出</w:t>
            </w:r>
            <w:r>
              <w:rPr>
                <w:rFonts w:hint="eastAsia" w:ascii="宋体" w:hAnsi="宋体" w:cs="宋体"/>
                <w:bCs/>
                <w:color w:val="000000"/>
                <w:spacing w:val="-1"/>
                <w:kern w:val="0"/>
                <w:sz w:val="18"/>
                <w:szCs w:val="18"/>
              </w:rPr>
              <w:t>现</w:t>
            </w:r>
            <w:r>
              <w:rPr>
                <w:rFonts w:hint="eastAsia" w:ascii="宋体" w:hAnsi="宋体" w:cs="宋体"/>
                <w:bCs/>
                <w:color w:val="000000"/>
                <w:kern w:val="0"/>
                <w:sz w:val="18"/>
                <w:szCs w:val="18"/>
              </w:rPr>
              <w:t>除通信稳定性、通信</w:t>
            </w:r>
            <w:r>
              <w:rPr>
                <w:rFonts w:hint="eastAsia" w:ascii="宋体" w:hAnsi="宋体" w:cs="宋体"/>
                <w:bCs/>
                <w:color w:val="000000"/>
                <w:spacing w:val="-1"/>
                <w:kern w:val="0"/>
                <w:sz w:val="18"/>
                <w:szCs w:val="18"/>
              </w:rPr>
              <w:t>协</w:t>
            </w:r>
            <w:r>
              <w:rPr>
                <w:rFonts w:hint="eastAsia" w:ascii="宋体" w:hAnsi="宋体" w:cs="宋体"/>
                <w:bCs/>
                <w:color w:val="000000"/>
                <w:kern w:val="0"/>
                <w:sz w:val="18"/>
                <w:szCs w:val="18"/>
              </w:rPr>
              <w:t>议正确性、数据传输正</w:t>
            </w:r>
            <w:r>
              <w:rPr>
                <w:rFonts w:hint="eastAsia" w:ascii="宋体" w:hAnsi="宋体" w:cs="宋体"/>
                <w:bCs/>
                <w:color w:val="000000"/>
                <w:spacing w:val="-1"/>
                <w:kern w:val="0"/>
                <w:sz w:val="18"/>
                <w:szCs w:val="18"/>
              </w:rPr>
              <w:t>确</w:t>
            </w:r>
            <w:r>
              <w:rPr>
                <w:rFonts w:hint="eastAsia" w:ascii="宋体" w:hAnsi="宋体" w:cs="宋体"/>
                <w:bCs/>
                <w:color w:val="000000"/>
                <w:kern w:val="0"/>
                <w:sz w:val="18"/>
                <w:szCs w:val="18"/>
              </w:rPr>
              <w:t>性以外的其他联网问</w:t>
            </w:r>
            <w:r>
              <w:rPr>
                <w:rFonts w:hint="eastAsia" w:ascii="宋体" w:hAnsi="宋体" w:cs="宋体"/>
                <w:bCs/>
                <w:color w:val="000000"/>
                <w:spacing w:val="-1"/>
                <w:kern w:val="0"/>
                <w:sz w:val="18"/>
                <w:szCs w:val="18"/>
              </w:rPr>
              <w:t>题</w:t>
            </w:r>
            <w:r>
              <w:rPr>
                <w:rFonts w:hint="eastAsia" w:ascii="宋体" w:hAnsi="宋体" w:cs="宋体"/>
                <w:bCs/>
                <w:color w:val="000000"/>
                <w:kern w:val="0"/>
                <w:sz w:val="18"/>
                <w:szCs w:val="18"/>
              </w:rPr>
              <w:t>。</w:t>
            </w:r>
          </w:p>
        </w:tc>
      </w:tr>
    </w:tbl>
    <w:p>
      <w:pPr>
        <w:spacing w:before="156" w:beforeLines="50"/>
        <w:rPr>
          <w:rFonts w:ascii="黑体" w:hAnsi="黑体" w:eastAsia="黑体" w:cs="黑体"/>
          <w:sz w:val="21"/>
          <w:szCs w:val="21"/>
        </w:rPr>
      </w:pPr>
      <w:r>
        <w:rPr>
          <w:rFonts w:hint="eastAsia" w:ascii="黑体" w:hAnsi="黑体" w:eastAsia="黑体" w:cs="黑体"/>
          <w:sz w:val="21"/>
          <w:szCs w:val="21"/>
        </w:rPr>
        <w:t>8.2.2.4 监控平台功能验收</w:t>
      </w:r>
    </w:p>
    <w:p>
      <w:pPr>
        <w:ind w:firstLine="420" w:firstLineChars="200"/>
        <w:rPr>
          <w:rFonts w:ascii="Times New Roman" w:hAnsi="Times New Roman"/>
          <w:sz w:val="21"/>
          <w:szCs w:val="21"/>
        </w:rPr>
      </w:pPr>
      <w:r>
        <w:rPr>
          <w:rFonts w:hint="eastAsia" w:ascii="宋体" w:hAnsi="宋体" w:cs="宋体"/>
          <w:sz w:val="21"/>
          <w:szCs w:val="21"/>
        </w:rPr>
        <w:t>应满足7要求</w:t>
      </w:r>
      <w:r>
        <w:rPr>
          <w:rFonts w:ascii="Times New Roman" w:hAnsi="Times New Roman"/>
          <w:sz w:val="21"/>
          <w:szCs w:val="21"/>
        </w:rPr>
        <w:t>。</w:t>
      </w:r>
    </w:p>
    <w:p>
      <w:pPr>
        <w:pStyle w:val="4"/>
        <w:spacing w:before="312" w:after="312"/>
      </w:pPr>
      <w:bookmarkStart w:id="87" w:name="_Toc27759"/>
      <w:r>
        <w:t>9 运行维护与管理</w:t>
      </w:r>
      <w:bookmarkEnd w:id="87"/>
    </w:p>
    <w:p>
      <w:pPr>
        <w:spacing w:before="156" w:beforeLines="50" w:after="156" w:afterLines="50"/>
        <w:outlineLvl w:val="0"/>
        <w:rPr>
          <w:rFonts w:ascii="黑体" w:hAnsi="黑体" w:eastAsia="黑体" w:cs="黑体"/>
          <w:sz w:val="21"/>
          <w:szCs w:val="21"/>
        </w:rPr>
      </w:pPr>
      <w:bookmarkStart w:id="88" w:name="_Toc8507"/>
      <w:bookmarkStart w:id="89" w:name="_Toc22591"/>
      <w:bookmarkStart w:id="90" w:name="_Toc32641"/>
      <w:r>
        <w:rPr>
          <w:rFonts w:hint="eastAsia" w:ascii="黑体" w:hAnsi="黑体" w:eastAsia="黑体" w:cs="黑体"/>
          <w:sz w:val="21"/>
          <w:szCs w:val="21"/>
        </w:rPr>
        <w:t>9.1 系统运行维护与管理要求</w:t>
      </w:r>
      <w:bookmarkEnd w:id="88"/>
      <w:bookmarkEnd w:id="89"/>
      <w:bookmarkEnd w:id="90"/>
    </w:p>
    <w:p>
      <w:pPr>
        <w:ind w:firstLine="420" w:firstLineChars="200"/>
        <w:rPr>
          <w:rFonts w:ascii="Times New Roman" w:hAnsi="Times New Roman"/>
          <w:sz w:val="21"/>
          <w:szCs w:val="21"/>
        </w:rPr>
      </w:pPr>
      <w:r>
        <w:rPr>
          <w:rFonts w:ascii="Times New Roman" w:hAnsi="Times New Roman"/>
          <w:sz w:val="21"/>
          <w:szCs w:val="21"/>
        </w:rPr>
        <w:t>在线监测系统的运行期应与施工场地的施工周期及料堆场地的使用期同步</w:t>
      </w:r>
      <w:r>
        <w:rPr>
          <w:rFonts w:hint="eastAsia" w:ascii="Times New Roman" w:hAnsi="Times New Roman"/>
          <w:sz w:val="21"/>
          <w:szCs w:val="21"/>
        </w:rPr>
        <w:t>，</w:t>
      </w:r>
      <w:r>
        <w:rPr>
          <w:rFonts w:ascii="Times New Roman" w:hAnsi="Times New Roman"/>
          <w:sz w:val="21"/>
          <w:szCs w:val="21"/>
        </w:rPr>
        <w:t>并制定运维与质控方案。</w:t>
      </w:r>
    </w:p>
    <w:p>
      <w:pPr>
        <w:spacing w:before="156" w:beforeLines="50" w:after="156" w:afterLines="50"/>
        <w:outlineLvl w:val="0"/>
        <w:rPr>
          <w:rFonts w:ascii="黑体" w:hAnsi="黑体" w:eastAsia="黑体" w:cs="黑体"/>
          <w:sz w:val="21"/>
          <w:szCs w:val="21"/>
        </w:rPr>
      </w:pPr>
      <w:bookmarkStart w:id="91" w:name="_Toc22829"/>
      <w:bookmarkStart w:id="92" w:name="_Toc23871"/>
      <w:bookmarkStart w:id="93" w:name="_Toc10776"/>
      <w:r>
        <w:rPr>
          <w:rFonts w:hint="eastAsia" w:ascii="黑体" w:hAnsi="黑体" w:eastAsia="黑体" w:cs="黑体"/>
          <w:sz w:val="21"/>
          <w:szCs w:val="21"/>
        </w:rPr>
        <w:t>9.2 日常巡检</w:t>
      </w:r>
      <w:bookmarkEnd w:id="91"/>
      <w:bookmarkEnd w:id="92"/>
      <w:bookmarkEnd w:id="93"/>
    </w:p>
    <w:p>
      <w:pPr>
        <w:ind w:firstLine="420" w:firstLineChars="200"/>
        <w:rPr>
          <w:rFonts w:ascii="Times New Roman" w:hAnsi="Times New Roman"/>
          <w:sz w:val="21"/>
          <w:szCs w:val="21"/>
        </w:rPr>
      </w:pPr>
      <w:r>
        <w:rPr>
          <w:rFonts w:ascii="Times New Roman" w:hAnsi="Times New Roman"/>
          <w:sz w:val="21"/>
          <w:szCs w:val="21"/>
        </w:rPr>
        <w:t>日常巡检要求：</w:t>
      </w:r>
    </w:p>
    <w:p>
      <w:pPr>
        <w:ind w:firstLine="420" w:firstLineChars="200"/>
        <w:rPr>
          <w:rFonts w:ascii="宋体" w:hAnsi="宋体" w:cs="宋体"/>
          <w:sz w:val="21"/>
          <w:szCs w:val="21"/>
        </w:rPr>
      </w:pPr>
      <w:r>
        <w:rPr>
          <w:rFonts w:hint="eastAsia" w:ascii="宋体" w:hAnsi="宋体" w:cs="宋体"/>
          <w:sz w:val="21"/>
          <w:szCs w:val="21"/>
        </w:rPr>
        <w:t>a）加强监测设备日常巡检工作，日常巡检间隔不超过7</w:t>
      </w:r>
      <w:r>
        <w:rPr>
          <w:rFonts w:hint="eastAsia" w:ascii="Times New Roman" w:hAnsi="Times New Roman"/>
          <w:sz w:val="21"/>
          <w:szCs w:val="21"/>
        </w:rPr>
        <w:t>d</w:t>
      </w:r>
      <w:r>
        <w:rPr>
          <w:rFonts w:hint="eastAsia" w:ascii="宋体" w:hAnsi="宋体" w:cs="宋体"/>
          <w:sz w:val="21"/>
          <w:szCs w:val="21"/>
        </w:rPr>
        <w:t>；</w:t>
      </w:r>
    </w:p>
    <w:p>
      <w:pPr>
        <w:ind w:firstLine="420" w:firstLineChars="200"/>
        <w:rPr>
          <w:rFonts w:ascii="宋体" w:hAnsi="宋体" w:cs="宋体"/>
          <w:sz w:val="21"/>
          <w:szCs w:val="21"/>
        </w:rPr>
      </w:pPr>
      <w:r>
        <w:rPr>
          <w:rFonts w:hint="eastAsia" w:ascii="宋体" w:hAnsi="宋体" w:cs="宋体"/>
          <w:sz w:val="21"/>
          <w:szCs w:val="21"/>
        </w:rPr>
        <w:t>b）检查监测设备及辅助设备的运行状态和主要技术参数，判断运行是否正常；</w:t>
      </w:r>
    </w:p>
    <w:p>
      <w:pPr>
        <w:ind w:firstLine="420" w:firstLineChars="200"/>
        <w:rPr>
          <w:rFonts w:ascii="宋体" w:hAnsi="宋体" w:cs="宋体"/>
          <w:sz w:val="21"/>
          <w:szCs w:val="21"/>
        </w:rPr>
      </w:pPr>
      <w:r>
        <w:rPr>
          <w:rFonts w:hint="eastAsia" w:ascii="宋体" w:hAnsi="宋体" w:cs="宋体"/>
          <w:sz w:val="21"/>
          <w:szCs w:val="21"/>
        </w:rPr>
        <w:t>c）检查电路系统、通讯系统是否正常；</w:t>
      </w:r>
    </w:p>
    <w:p>
      <w:pPr>
        <w:ind w:firstLine="420" w:firstLineChars="200"/>
        <w:rPr>
          <w:rFonts w:ascii="宋体" w:hAnsi="宋体" w:cs="宋体"/>
          <w:sz w:val="21"/>
          <w:szCs w:val="21"/>
        </w:rPr>
      </w:pPr>
      <w:r>
        <w:rPr>
          <w:rFonts w:hint="eastAsia" w:ascii="宋体" w:hAnsi="宋体" w:cs="宋体"/>
          <w:sz w:val="21"/>
          <w:szCs w:val="21"/>
        </w:rPr>
        <w:t>d）检查数据传输情况；</w:t>
      </w:r>
    </w:p>
    <w:p>
      <w:pPr>
        <w:ind w:firstLine="420" w:firstLineChars="200"/>
        <w:rPr>
          <w:rFonts w:ascii="宋体" w:hAnsi="宋体" w:cs="宋体"/>
          <w:sz w:val="21"/>
          <w:szCs w:val="21"/>
        </w:rPr>
      </w:pPr>
      <w:r>
        <w:rPr>
          <w:rFonts w:hint="eastAsia" w:ascii="宋体" w:hAnsi="宋体" w:cs="宋体"/>
          <w:sz w:val="21"/>
          <w:szCs w:val="21"/>
        </w:rPr>
        <w:t>e）检查地基、护栏、电源线铺设完整情况；</w:t>
      </w:r>
    </w:p>
    <w:p>
      <w:pPr>
        <w:ind w:firstLine="420" w:firstLineChars="200"/>
        <w:rPr>
          <w:rFonts w:ascii="宋体" w:hAnsi="宋体" w:cs="宋体"/>
          <w:sz w:val="21"/>
          <w:szCs w:val="21"/>
        </w:rPr>
      </w:pPr>
      <w:r>
        <w:rPr>
          <w:rFonts w:hint="eastAsia" w:ascii="宋体" w:hAnsi="宋体" w:cs="宋体"/>
          <w:sz w:val="21"/>
          <w:szCs w:val="21"/>
        </w:rPr>
        <w:t>f）检查箱体及密封圈完好情况；</w:t>
      </w:r>
    </w:p>
    <w:p>
      <w:pPr>
        <w:ind w:firstLine="420" w:firstLineChars="200"/>
        <w:rPr>
          <w:rFonts w:ascii="宋体" w:hAnsi="宋体" w:cs="宋体"/>
          <w:sz w:val="21"/>
          <w:szCs w:val="21"/>
        </w:rPr>
      </w:pPr>
      <w:r>
        <w:rPr>
          <w:rFonts w:hint="eastAsia" w:ascii="宋体" w:hAnsi="宋体" w:cs="宋体"/>
          <w:sz w:val="21"/>
          <w:szCs w:val="21"/>
        </w:rPr>
        <w:t>g）巡检应填写巡检记录，并存档。</w:t>
      </w:r>
    </w:p>
    <w:p>
      <w:pPr>
        <w:spacing w:before="156" w:beforeLines="50" w:after="156" w:afterLines="50"/>
        <w:outlineLvl w:val="0"/>
        <w:rPr>
          <w:rFonts w:ascii="黑体" w:hAnsi="黑体" w:eastAsia="黑体" w:cs="黑体"/>
          <w:sz w:val="21"/>
          <w:szCs w:val="21"/>
        </w:rPr>
      </w:pPr>
      <w:bookmarkStart w:id="94" w:name="_Toc12598"/>
      <w:bookmarkStart w:id="95" w:name="_Toc6131"/>
      <w:bookmarkStart w:id="96" w:name="_Toc15578"/>
      <w:r>
        <w:rPr>
          <w:rFonts w:hint="eastAsia" w:ascii="黑体" w:hAnsi="黑体" w:eastAsia="黑体" w:cs="黑体"/>
          <w:sz w:val="21"/>
          <w:szCs w:val="21"/>
        </w:rPr>
        <w:t>9.3 日常维护保养</w:t>
      </w:r>
      <w:bookmarkEnd w:id="94"/>
      <w:bookmarkEnd w:id="95"/>
      <w:bookmarkEnd w:id="96"/>
    </w:p>
    <w:p>
      <w:pPr>
        <w:rPr>
          <w:rFonts w:ascii="Times New Roman" w:hAnsi="Times New Roman"/>
          <w:sz w:val="21"/>
          <w:szCs w:val="21"/>
        </w:rPr>
      </w:pPr>
      <w:r>
        <w:rPr>
          <w:rFonts w:hint="eastAsia" w:ascii="黑体" w:hAnsi="黑体" w:eastAsia="黑体" w:cs="黑体"/>
          <w:sz w:val="21"/>
          <w:szCs w:val="21"/>
        </w:rPr>
        <w:t>9.3.1</w:t>
      </w:r>
      <w:r>
        <w:rPr>
          <w:rFonts w:hint="eastAsia" w:ascii="Times New Roman" w:hAnsi="Times New Roman"/>
          <w:sz w:val="21"/>
          <w:szCs w:val="21"/>
        </w:rPr>
        <w:t xml:space="preserve"> </w:t>
      </w:r>
      <w:r>
        <w:rPr>
          <w:rFonts w:ascii="Times New Roman" w:hAnsi="Times New Roman"/>
          <w:sz w:val="21"/>
          <w:szCs w:val="21"/>
        </w:rPr>
        <w:t>每月应依据监测仪说明书进行维护保养，检查各部件耗损情况，包括线缆、接插件、密封件、固定件等，必要时进行更换，更换的备件或材料的品名、规格、数量等应记录并归档。</w:t>
      </w:r>
    </w:p>
    <w:p>
      <w:pPr>
        <w:rPr>
          <w:rFonts w:ascii="Times New Roman" w:hAnsi="Times New Roman"/>
          <w:sz w:val="21"/>
          <w:szCs w:val="21"/>
        </w:rPr>
      </w:pPr>
      <w:r>
        <w:rPr>
          <w:rFonts w:hint="eastAsia" w:ascii="黑体" w:hAnsi="黑体" w:eastAsia="黑体" w:cs="黑体"/>
          <w:sz w:val="21"/>
          <w:szCs w:val="21"/>
        </w:rPr>
        <w:t>9.3.2</w:t>
      </w:r>
      <w:r>
        <w:rPr>
          <w:rFonts w:hint="eastAsia" w:ascii="Times New Roman" w:hAnsi="Times New Roman"/>
          <w:sz w:val="21"/>
          <w:szCs w:val="21"/>
        </w:rPr>
        <w:t xml:space="preserve"> </w:t>
      </w:r>
      <w:r>
        <w:rPr>
          <w:rFonts w:ascii="Times New Roman" w:hAnsi="Times New Roman"/>
          <w:sz w:val="21"/>
          <w:szCs w:val="21"/>
        </w:rPr>
        <w:t>更换监测仪器主要装置后，应重新调试校准后方可投入运行。</w:t>
      </w:r>
    </w:p>
    <w:p>
      <w:pPr>
        <w:spacing w:before="156" w:beforeLines="50" w:after="156" w:afterLines="50"/>
        <w:outlineLvl w:val="0"/>
        <w:rPr>
          <w:rFonts w:ascii="黑体" w:hAnsi="黑体" w:eastAsia="黑体" w:cs="黑体"/>
          <w:sz w:val="21"/>
          <w:szCs w:val="21"/>
        </w:rPr>
      </w:pPr>
      <w:bookmarkStart w:id="97" w:name="_Toc31151"/>
      <w:bookmarkStart w:id="98" w:name="_Toc14969"/>
      <w:bookmarkStart w:id="99" w:name="_Toc6237"/>
      <w:r>
        <w:rPr>
          <w:rFonts w:hint="eastAsia" w:ascii="黑体" w:hAnsi="黑体" w:eastAsia="黑体" w:cs="黑体"/>
          <w:sz w:val="21"/>
          <w:szCs w:val="21"/>
        </w:rPr>
        <w:t>9.4 系统检修</w:t>
      </w:r>
      <w:bookmarkEnd w:id="97"/>
      <w:bookmarkEnd w:id="98"/>
      <w:bookmarkEnd w:id="99"/>
    </w:p>
    <w:p>
      <w:pPr>
        <w:rPr>
          <w:rFonts w:ascii="Times New Roman" w:hAnsi="Times New Roman"/>
          <w:sz w:val="21"/>
          <w:szCs w:val="21"/>
        </w:rPr>
      </w:pPr>
      <w:r>
        <w:rPr>
          <w:rFonts w:hint="eastAsia" w:ascii="黑体" w:hAnsi="黑体" w:eastAsia="黑体" w:cs="黑体"/>
          <w:sz w:val="21"/>
          <w:szCs w:val="21"/>
        </w:rPr>
        <w:t xml:space="preserve">9.4.1 </w:t>
      </w:r>
      <w:r>
        <w:rPr>
          <w:rFonts w:ascii="Times New Roman" w:hAnsi="Times New Roman"/>
          <w:sz w:val="21"/>
          <w:szCs w:val="21"/>
        </w:rPr>
        <w:t>运维单位应制定各监测设备及系统易耗品更换计划，并按计划实施。</w:t>
      </w:r>
    </w:p>
    <w:p>
      <w:pPr>
        <w:rPr>
          <w:rFonts w:ascii="Times New Roman" w:hAnsi="Times New Roman"/>
          <w:sz w:val="21"/>
          <w:szCs w:val="21"/>
        </w:rPr>
      </w:pPr>
      <w:r>
        <w:rPr>
          <w:rFonts w:hint="eastAsia" w:ascii="黑体" w:hAnsi="黑体" w:eastAsia="黑体" w:cs="黑体"/>
          <w:sz w:val="21"/>
          <w:szCs w:val="21"/>
        </w:rPr>
        <w:t xml:space="preserve">9.4.2 </w:t>
      </w:r>
      <w:r>
        <w:rPr>
          <w:rFonts w:hint="eastAsia" w:ascii="宋体" w:hAnsi="宋体" w:cs="宋体"/>
          <w:sz w:val="21"/>
          <w:szCs w:val="21"/>
        </w:rPr>
        <w:t>监测系统发生故障时，原则上应在故障发生24</w:t>
      </w:r>
      <w:r>
        <w:rPr>
          <w:rFonts w:hint="eastAsia" w:ascii="Times New Roman" w:hAnsi="Times New Roman"/>
          <w:sz w:val="21"/>
          <w:szCs w:val="21"/>
        </w:rPr>
        <w:t>h</w:t>
      </w:r>
      <w:r>
        <w:rPr>
          <w:rFonts w:hint="eastAsia" w:ascii="宋体" w:hAnsi="宋体" w:cs="宋体"/>
          <w:sz w:val="21"/>
          <w:szCs w:val="21"/>
        </w:rPr>
        <w:t>内修复。当设备发生故障超过72h仍无法修复的，应该用备用设备替代发生故障的仪器。</w:t>
      </w:r>
    </w:p>
    <w:p>
      <w:pPr>
        <w:rPr>
          <w:rFonts w:ascii="Times New Roman" w:hAnsi="Times New Roman"/>
          <w:sz w:val="21"/>
          <w:szCs w:val="21"/>
        </w:rPr>
      </w:pPr>
      <w:r>
        <w:rPr>
          <w:rFonts w:hint="eastAsia" w:ascii="黑体" w:hAnsi="黑体" w:eastAsia="黑体" w:cs="黑体"/>
          <w:sz w:val="21"/>
          <w:szCs w:val="21"/>
        </w:rPr>
        <w:t xml:space="preserve">9.4.3 </w:t>
      </w:r>
      <w:r>
        <w:rPr>
          <w:rFonts w:ascii="Times New Roman" w:hAnsi="Times New Roman"/>
          <w:sz w:val="21"/>
          <w:szCs w:val="21"/>
        </w:rPr>
        <w:t>应保存检修和维修记录。</w:t>
      </w:r>
    </w:p>
    <w:p>
      <w:pPr>
        <w:pStyle w:val="4"/>
        <w:spacing w:before="312" w:after="312"/>
      </w:pPr>
      <w:bookmarkStart w:id="100" w:name="_Toc6009"/>
      <w:r>
        <w:t>10 质量保证和质量控制</w:t>
      </w:r>
      <w:bookmarkEnd w:id="100"/>
    </w:p>
    <w:p>
      <w:pPr>
        <w:outlineLvl w:val="0"/>
        <w:rPr>
          <w:rFonts w:ascii="黑体" w:hAnsi="黑体" w:eastAsia="黑体" w:cs="黑体"/>
          <w:sz w:val="21"/>
          <w:szCs w:val="21"/>
        </w:rPr>
      </w:pPr>
      <w:bookmarkStart w:id="101" w:name="_Toc15697"/>
      <w:r>
        <w:rPr>
          <w:rFonts w:hint="eastAsia" w:ascii="黑体" w:hAnsi="黑体" w:eastAsia="黑体" w:cs="黑体"/>
          <w:sz w:val="21"/>
          <w:szCs w:val="21"/>
        </w:rPr>
        <w:t>10.1 β射线法设备质控</w:t>
      </w:r>
      <w:bookmarkEnd w:id="101"/>
    </w:p>
    <w:p>
      <w:pPr>
        <w:ind w:firstLine="420" w:firstLineChars="200"/>
        <w:rPr>
          <w:rFonts w:ascii="Times New Roman" w:hAnsi="Times New Roman"/>
          <w:sz w:val="21"/>
          <w:szCs w:val="21"/>
        </w:rPr>
      </w:pPr>
      <w:r>
        <w:rPr>
          <w:rFonts w:ascii="Times New Roman" w:hAnsi="Times New Roman"/>
          <w:sz w:val="21"/>
          <w:szCs w:val="21"/>
        </w:rPr>
        <w:t>β</w:t>
      </w:r>
      <w:r>
        <w:rPr>
          <w:rFonts w:hint="eastAsia" w:ascii="宋体" w:hAnsi="宋体" w:cs="宋体"/>
          <w:sz w:val="21"/>
          <w:szCs w:val="21"/>
        </w:rPr>
        <w:t>射线法设备每月至少进行一次流量准确性和稳定性检查。24</w:t>
      </w:r>
      <w:r>
        <w:rPr>
          <w:rFonts w:ascii="Times New Roman" w:hAnsi="Times New Roman"/>
          <w:sz w:val="21"/>
          <w:szCs w:val="21"/>
        </w:rPr>
        <w:t>h</w:t>
      </w:r>
      <w:r>
        <w:rPr>
          <w:rFonts w:hint="eastAsia" w:ascii="宋体" w:hAnsi="宋体" w:cs="宋体"/>
          <w:sz w:val="21"/>
          <w:szCs w:val="21"/>
        </w:rPr>
        <w:t>内，每一次测试时间点流量变化±10</w:t>
      </w:r>
      <w:r>
        <w:rPr>
          <w:rFonts w:hint="eastAsia" w:ascii="Times New Roman" w:hAnsi="Times New Roman"/>
          <w:sz w:val="21"/>
          <w:szCs w:val="21"/>
        </w:rPr>
        <w:t>%</w:t>
      </w:r>
      <w:r>
        <w:rPr>
          <w:rFonts w:hint="eastAsia" w:ascii="宋体" w:hAnsi="宋体" w:cs="宋体"/>
          <w:sz w:val="21"/>
          <w:szCs w:val="21"/>
        </w:rPr>
        <w:t>设定流量，24</w:t>
      </w:r>
      <w:r>
        <w:rPr>
          <w:rFonts w:hint="eastAsia" w:ascii="Times New Roman" w:hAnsi="Times New Roman"/>
          <w:sz w:val="21"/>
          <w:szCs w:val="21"/>
        </w:rPr>
        <w:t>h</w:t>
      </w:r>
      <w:r>
        <w:rPr>
          <w:rFonts w:hint="eastAsia" w:ascii="宋体" w:hAnsi="宋体" w:cs="宋体"/>
          <w:sz w:val="21"/>
          <w:szCs w:val="21"/>
        </w:rPr>
        <w:t>平均流量变化±5%设定流量。超过允许误差应校准。运行维护过程及结果应记录，备查。</w:t>
      </w:r>
    </w:p>
    <w:p>
      <w:pPr>
        <w:widowControl/>
        <w:jc w:val="left"/>
        <w:rPr>
          <w:rFonts w:ascii="Times New Roman" w:hAnsi="Times New Roman"/>
          <w:szCs w:val="24"/>
        </w:rPr>
      </w:pPr>
      <w:r>
        <w:rPr>
          <w:rFonts w:ascii="Times New Roman" w:hAnsi="Times New Roman"/>
          <w:szCs w:val="24"/>
        </w:rPr>
        <w:br w:type="page"/>
      </w:r>
    </w:p>
    <w:p>
      <w:pPr>
        <w:spacing w:line="580" w:lineRule="exact"/>
        <w:jc w:val="center"/>
        <w:outlineLvl w:val="0"/>
        <w:rPr>
          <w:rFonts w:ascii="黑体" w:hAnsi="黑体" w:eastAsia="黑体" w:cs="黑体"/>
          <w:szCs w:val="24"/>
        </w:rPr>
      </w:pPr>
      <w:bookmarkStart w:id="102" w:name="_Toc6638"/>
      <w:bookmarkStart w:id="103" w:name="_Toc7326"/>
      <w:r>
        <w:rPr>
          <w:rFonts w:hint="eastAsia" w:ascii="黑体" w:hAnsi="黑体" w:eastAsia="黑体" w:cs="黑体"/>
          <w:szCs w:val="24"/>
        </w:rPr>
        <w:t>附 录 A</w:t>
      </w:r>
      <w:bookmarkEnd w:id="102"/>
      <w:bookmarkEnd w:id="103"/>
    </w:p>
    <w:p>
      <w:pPr>
        <w:spacing w:line="580" w:lineRule="exact"/>
        <w:jc w:val="center"/>
        <w:rPr>
          <w:rFonts w:ascii="黑体" w:hAnsi="黑体" w:eastAsia="黑体" w:cs="黑体"/>
          <w:szCs w:val="24"/>
        </w:rPr>
      </w:pPr>
      <w:r>
        <w:rPr>
          <w:rFonts w:hint="eastAsia" w:ascii="黑体" w:hAnsi="黑体" w:eastAsia="黑体" w:cs="黑体"/>
          <w:szCs w:val="24"/>
        </w:rPr>
        <w:t>（规范性附录）</w:t>
      </w:r>
    </w:p>
    <w:p>
      <w:pPr>
        <w:spacing w:line="580" w:lineRule="exact"/>
        <w:jc w:val="center"/>
        <w:outlineLvl w:val="0"/>
        <w:rPr>
          <w:rFonts w:ascii="黑体" w:hAnsi="黑体" w:eastAsia="黑体" w:cs="黑体"/>
          <w:szCs w:val="24"/>
        </w:rPr>
      </w:pPr>
      <w:bookmarkStart w:id="104" w:name="_Toc19354"/>
      <w:bookmarkStart w:id="105" w:name="_Toc444"/>
      <w:bookmarkStart w:id="106" w:name="_Toc3152"/>
      <w:r>
        <w:rPr>
          <w:rFonts w:hint="eastAsia" w:ascii="黑体" w:hAnsi="黑体" w:eastAsia="黑体" w:cs="黑体"/>
          <w:szCs w:val="24"/>
        </w:rPr>
        <w:t>监测点周围环境和采样口位置的具体要求</w:t>
      </w:r>
      <w:bookmarkEnd w:id="104"/>
      <w:bookmarkEnd w:id="105"/>
      <w:bookmarkEnd w:id="106"/>
    </w:p>
    <w:p>
      <w:pPr>
        <w:spacing w:before="156" w:beforeLines="50" w:after="156" w:afterLines="50"/>
        <w:rPr>
          <w:rFonts w:ascii="黑体" w:hAnsi="黑体" w:eastAsia="黑体" w:cs="黑体"/>
          <w:sz w:val="21"/>
          <w:szCs w:val="21"/>
        </w:rPr>
      </w:pPr>
      <w:r>
        <w:rPr>
          <w:rFonts w:hint="eastAsia" w:ascii="黑体" w:hAnsi="黑体" w:eastAsia="黑体" w:cs="黑体"/>
          <w:sz w:val="21"/>
          <w:szCs w:val="21"/>
        </w:rPr>
        <w:t>A.1 监测点周围环境</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β射线法设备周围环境应符合下列要求：</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a）应采取措施保证监测点附近1000</w:t>
      </w:r>
      <w:r>
        <w:rPr>
          <w:rFonts w:hint="eastAsia" w:ascii="Times New Roman" w:hAnsi="Times New Roman"/>
          <w:sz w:val="21"/>
          <w:szCs w:val="21"/>
        </w:rPr>
        <w:t>m</w:t>
      </w:r>
      <w:r>
        <w:rPr>
          <w:rFonts w:hint="eastAsia" w:ascii="宋体" w:hAnsi="宋体" w:cs="宋体"/>
          <w:spacing w:val="-3"/>
          <w:kern w:val="0"/>
          <w:sz w:val="21"/>
          <w:szCs w:val="21"/>
          <w:lang w:bidi="zh-CN"/>
        </w:rPr>
        <w:t>内的土地使用状况相对稳定；</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b）采样口周围水平面应保证270°以上的捕集空间，如果采样口一边靠近建筑物，采样口周围水平面应有180°以上的自由空间；</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c）监测点周围环境状况相对稳定，所在地质条件需长期稳定和足够坚实，所在地点应避免受山洪、雪崩、山林火灾和泥石流等局地灾害影响，安全和防火措施有保障；</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d）监测点附近无强大的电磁干扰，周围有稳定可靠</w:t>
      </w:r>
      <w:r>
        <w:rPr>
          <w:rFonts w:hint="eastAsia" w:ascii="Times New Roman" w:hAnsi="Times New Roman"/>
          <w:sz w:val="21"/>
          <w:szCs w:val="21"/>
        </w:rPr>
        <w:t>AC</w:t>
      </w:r>
      <w:r>
        <w:rPr>
          <w:rFonts w:hint="eastAsia" w:ascii="宋体" w:hAnsi="宋体" w:cs="宋体"/>
          <w:spacing w:val="-3"/>
          <w:kern w:val="0"/>
          <w:sz w:val="21"/>
          <w:szCs w:val="21"/>
          <w:lang w:bidi="zh-CN"/>
        </w:rPr>
        <w:t>220</w:t>
      </w:r>
      <w:r>
        <w:rPr>
          <w:rFonts w:hint="eastAsia" w:ascii="Times New Roman" w:hAnsi="Times New Roman"/>
          <w:sz w:val="21"/>
          <w:szCs w:val="21"/>
        </w:rPr>
        <w:t>V</w:t>
      </w:r>
      <w:r>
        <w:rPr>
          <w:rFonts w:hint="eastAsia" w:ascii="宋体" w:hAnsi="宋体" w:cs="宋体"/>
          <w:spacing w:val="-3"/>
          <w:kern w:val="0"/>
          <w:sz w:val="21"/>
          <w:szCs w:val="21"/>
          <w:lang w:bidi="zh-CN"/>
        </w:rPr>
        <w:t>电力供应和避雷设备，通信线路容易安装和检修。</w:t>
      </w:r>
    </w:p>
    <w:p>
      <w:pPr>
        <w:spacing w:before="156" w:beforeLines="50" w:after="156" w:afterLines="50"/>
        <w:rPr>
          <w:rFonts w:ascii="黑体" w:hAnsi="黑体" w:eastAsia="黑体" w:cs="黑体"/>
          <w:sz w:val="21"/>
          <w:szCs w:val="21"/>
        </w:rPr>
      </w:pPr>
      <w:r>
        <w:rPr>
          <w:rFonts w:hint="eastAsia" w:ascii="黑体" w:hAnsi="黑体" w:eastAsia="黑体" w:cs="黑体"/>
          <w:sz w:val="21"/>
          <w:szCs w:val="21"/>
        </w:rPr>
        <w:t>A.2 采样口位置</w:t>
      </w:r>
    </w:p>
    <w:p>
      <w:pPr>
        <w:ind w:firstLine="420" w:firstLineChars="200"/>
        <w:rPr>
          <w:rFonts w:ascii="宋体" w:hAnsi="宋体" w:cs="宋体"/>
          <w:sz w:val="21"/>
          <w:szCs w:val="21"/>
        </w:rPr>
      </w:pPr>
      <w:r>
        <w:rPr>
          <w:rFonts w:hint="eastAsia" w:ascii="宋体" w:hAnsi="宋体" w:cs="宋体"/>
          <w:sz w:val="21"/>
          <w:szCs w:val="21"/>
        </w:rPr>
        <w:t>β射线法设备采样口位置应符合下列要求：</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a)采样口离地面的高度应在3</w:t>
      </w:r>
      <w:r>
        <w:rPr>
          <w:rFonts w:hint="eastAsia" w:ascii="Times New Roman" w:hAnsi="Times New Roman"/>
          <w:sz w:val="21"/>
          <w:szCs w:val="21"/>
        </w:rPr>
        <w:t>m</w:t>
      </w:r>
      <w:r>
        <w:rPr>
          <w:rFonts w:hint="eastAsia" w:ascii="宋体" w:hAnsi="宋体" w:cs="宋体"/>
          <w:spacing w:val="-3"/>
          <w:kern w:val="0"/>
          <w:sz w:val="21"/>
          <w:szCs w:val="21"/>
          <w:lang w:bidi="zh-CN"/>
        </w:rPr>
        <w:t>～5</w:t>
      </w:r>
      <w:r>
        <w:rPr>
          <w:rFonts w:hint="eastAsia" w:ascii="Times New Roman" w:hAnsi="Times New Roman"/>
          <w:sz w:val="21"/>
          <w:szCs w:val="21"/>
        </w:rPr>
        <w:t>m</w:t>
      </w:r>
      <w:r>
        <w:rPr>
          <w:rFonts w:hint="eastAsia" w:ascii="宋体" w:hAnsi="宋体" w:cs="宋体"/>
          <w:spacing w:val="-3"/>
          <w:kern w:val="0"/>
          <w:sz w:val="21"/>
          <w:szCs w:val="21"/>
          <w:lang w:bidi="zh-CN"/>
        </w:rPr>
        <w:t>范围内；</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b）在建筑物上安装监测仪器时，监测仪器的采样口离建筑物墙壁、屋顶等支撑物表面的距离应大于1</w:t>
      </w:r>
      <w:r>
        <w:rPr>
          <w:rFonts w:hint="eastAsia" w:ascii="Times New Roman" w:hAnsi="Times New Roman"/>
          <w:sz w:val="21"/>
          <w:szCs w:val="21"/>
        </w:rPr>
        <w:t>m</w:t>
      </w:r>
      <w:r>
        <w:rPr>
          <w:rFonts w:hint="eastAsia" w:ascii="宋体" w:hAnsi="宋体" w:cs="宋体"/>
          <w:spacing w:val="-3"/>
          <w:kern w:val="0"/>
          <w:sz w:val="21"/>
          <w:szCs w:val="21"/>
          <w:lang w:bidi="zh-CN"/>
        </w:rPr>
        <w:t>；</w:t>
      </w:r>
    </w:p>
    <w:p>
      <w:pPr>
        <w:numPr>
          <w:ilvl w:val="255"/>
          <w:numId w:val="0"/>
        </w:numPr>
        <w:tabs>
          <w:tab w:val="left" w:pos="1124"/>
          <w:tab w:val="left" w:pos="1125"/>
        </w:tabs>
        <w:autoSpaceDE w:val="0"/>
        <w:autoSpaceDN w:val="0"/>
        <w:ind w:left="414"/>
        <w:rPr>
          <w:rFonts w:ascii="宋体" w:hAnsi="宋体" w:cs="宋体"/>
          <w:spacing w:val="-3"/>
          <w:kern w:val="0"/>
          <w:sz w:val="21"/>
          <w:szCs w:val="21"/>
          <w:lang w:bidi="zh-CN"/>
        </w:rPr>
      </w:pPr>
      <w:r>
        <w:rPr>
          <w:rFonts w:hint="eastAsia" w:ascii="宋体" w:hAnsi="宋体" w:cs="宋体"/>
          <w:spacing w:val="-3"/>
          <w:kern w:val="0"/>
          <w:sz w:val="21"/>
          <w:szCs w:val="21"/>
          <w:lang w:bidi="zh-CN"/>
        </w:rPr>
        <w:t>c）当某监测点需设置多个采样口时，为防止其他采样口干扰颗粒物样品的采集，颗粒物采样口与其他采样口之间的直线距离应大于1</w:t>
      </w:r>
      <w:r>
        <w:rPr>
          <w:rFonts w:hint="eastAsia" w:ascii="Times New Roman" w:hAnsi="Times New Roman"/>
          <w:sz w:val="21"/>
          <w:szCs w:val="21"/>
        </w:rPr>
        <w:t>m</w:t>
      </w:r>
      <w:r>
        <w:rPr>
          <w:rFonts w:hint="eastAsia" w:ascii="宋体" w:hAnsi="宋体" w:cs="宋体"/>
          <w:spacing w:val="-3"/>
          <w:kern w:val="0"/>
          <w:sz w:val="21"/>
          <w:szCs w:val="21"/>
          <w:lang w:bidi="zh-CN"/>
        </w:rPr>
        <w:t>。</w:t>
      </w:r>
    </w:p>
    <w:sectPr>
      <w:footerReference r:id="rId9" w:type="default"/>
      <w:pgSz w:w="11906" w:h="16838"/>
      <w:pgMar w:top="1417" w:right="1134" w:bottom="1134" w:left="1417" w:header="1417"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jc w:val="right"/>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i</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jc w:val="lef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PAGE   \* MERGEFORMAT</w:instrText>
    </w:r>
    <w:r>
      <w:rPr>
        <w:rFonts w:ascii="Times New Roman" w:hAnsi="Times New Roman"/>
        <w:sz w:val="18"/>
        <w:szCs w:val="18"/>
      </w:rPr>
      <w:fldChar w:fldCharType="separate"/>
    </w:r>
    <w:r>
      <w:rPr>
        <w:rFonts w:ascii="Times New Roman" w:hAnsi="Times New Roman"/>
        <w:sz w:val="18"/>
        <w:szCs w:val="18"/>
        <w:lang w:val="zh-CN"/>
      </w:rPr>
      <w:t>2</w:t>
    </w:r>
    <w:r>
      <w:rPr>
        <w:rFonts w:ascii="Times New Roman" w:hAnsi="Times New Roman"/>
        <w:sz w:val="18"/>
        <w:szCs w:val="18"/>
      </w:rPr>
      <w:fldChar w:fldCharType="end"/>
    </w:r>
  </w:p>
  <w:p>
    <w:pPr>
      <w:tabs>
        <w:tab w:val="center" w:pos="4153"/>
        <w:tab w:val="right" w:pos="8306"/>
      </w:tabs>
      <w:autoSpaceDE w:val="0"/>
      <w:autoSpaceDN w:val="0"/>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cs="宋体"/>
      </w:rPr>
    </w:pPr>
    <w:r>
      <w:rPr>
        <w:rFonts w:hint="eastAsia" w:ascii="宋体" w:hAnsi="宋体" w:cs="宋体"/>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II</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II</w:t>
                    </w:r>
                    <w:r>
                      <w:rPr>
                        <w:rFonts w:hint="eastAsia" w:ascii="宋体" w:hAnsi="宋体" w:cs="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7</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7</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ascii="Times New Roman" w:hAnsi="Times New Roman"/>
        <w:sz w:val="21"/>
        <w:szCs w:val="21"/>
      </w:rPr>
      <w:t>DB</w:t>
    </w:r>
    <w:r>
      <w:rPr>
        <w:rFonts w:hint="eastAsia"/>
        <w:sz w:val="21"/>
        <w:szCs w:val="21"/>
      </w:rPr>
      <w:t>1331/</w:t>
    </w:r>
    <w:r>
      <w:rPr>
        <w:rFonts w:hint="eastAsia" w:ascii="Times New Roman" w:hAnsi="Times New Roman"/>
        <w:sz w:val="21"/>
        <w:szCs w:val="21"/>
      </w:rPr>
      <w:t>T</w:t>
    </w:r>
    <w:r>
      <w:rPr>
        <w:rFonts w:hint="eastAsia"/>
        <w:sz w:val="21"/>
        <w:szCs w:val="21"/>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ZDMzNWYyYWQxMTBhZDYwNDU0NDA4MmY3NDlkOWMifQ=="/>
  </w:docVars>
  <w:rsids>
    <w:rsidRoot w:val="24E538DF"/>
    <w:rsid w:val="0003678F"/>
    <w:rsid w:val="00167B3D"/>
    <w:rsid w:val="004208C8"/>
    <w:rsid w:val="005974E1"/>
    <w:rsid w:val="006D4C1A"/>
    <w:rsid w:val="00713C3E"/>
    <w:rsid w:val="007E6A50"/>
    <w:rsid w:val="0081104D"/>
    <w:rsid w:val="008A3ECC"/>
    <w:rsid w:val="00996462"/>
    <w:rsid w:val="009A7374"/>
    <w:rsid w:val="009C0B94"/>
    <w:rsid w:val="00A62E6F"/>
    <w:rsid w:val="00BF3BA5"/>
    <w:rsid w:val="00D01FFA"/>
    <w:rsid w:val="00D42256"/>
    <w:rsid w:val="00D57B3D"/>
    <w:rsid w:val="00D77875"/>
    <w:rsid w:val="00DD3198"/>
    <w:rsid w:val="00DE6EB0"/>
    <w:rsid w:val="00E16FC8"/>
    <w:rsid w:val="00FB6A31"/>
    <w:rsid w:val="084539EC"/>
    <w:rsid w:val="08967825"/>
    <w:rsid w:val="11DF0177"/>
    <w:rsid w:val="121F2A62"/>
    <w:rsid w:val="13174AE5"/>
    <w:rsid w:val="149F4D92"/>
    <w:rsid w:val="16C8747D"/>
    <w:rsid w:val="1A8361D3"/>
    <w:rsid w:val="1B186FA4"/>
    <w:rsid w:val="1C1E4CB8"/>
    <w:rsid w:val="1DF4614E"/>
    <w:rsid w:val="1E6437D3"/>
    <w:rsid w:val="1FDE2006"/>
    <w:rsid w:val="20561532"/>
    <w:rsid w:val="24E538DF"/>
    <w:rsid w:val="252166B8"/>
    <w:rsid w:val="255F47F5"/>
    <w:rsid w:val="25B812AD"/>
    <w:rsid w:val="26A9384B"/>
    <w:rsid w:val="2EFF0425"/>
    <w:rsid w:val="2FE03CEE"/>
    <w:rsid w:val="3174343A"/>
    <w:rsid w:val="36C21168"/>
    <w:rsid w:val="38230E53"/>
    <w:rsid w:val="3EED47C8"/>
    <w:rsid w:val="41670862"/>
    <w:rsid w:val="45482B27"/>
    <w:rsid w:val="47956641"/>
    <w:rsid w:val="4BCB5E91"/>
    <w:rsid w:val="5C771040"/>
    <w:rsid w:val="622767F2"/>
    <w:rsid w:val="63FF65AE"/>
    <w:rsid w:val="6569615F"/>
    <w:rsid w:val="6D535020"/>
    <w:rsid w:val="6EE0585D"/>
    <w:rsid w:val="70E269D1"/>
    <w:rsid w:val="71AB2D77"/>
    <w:rsid w:val="74064F17"/>
    <w:rsid w:val="76BD0A19"/>
    <w:rsid w:val="7E4D6E6B"/>
    <w:rsid w:val="7E65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4">
    <w:name w:val="heading 1"/>
    <w:basedOn w:val="1"/>
    <w:next w:val="1"/>
    <w:qFormat/>
    <w:uiPriority w:val="0"/>
    <w:pPr>
      <w:keepNext/>
      <w:keepLines/>
      <w:spacing w:before="100" w:beforeLines="100" w:after="100" w:afterLines="100"/>
      <w:jc w:val="left"/>
      <w:outlineLvl w:val="0"/>
    </w:pPr>
    <w:rPr>
      <w:rFonts w:ascii="黑体" w:hAnsi="黑体" w:eastAsia="黑体"/>
      <w:kern w:val="44"/>
      <w:sz w:val="21"/>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qFormat/>
    <w:uiPriority w:val="1"/>
    <w:rPr>
      <w:szCs w:val="21"/>
    </w:rPr>
  </w:style>
  <w:style w:type="paragraph" w:styleId="5">
    <w:name w:val="annotation text"/>
    <w:basedOn w:val="1"/>
    <w:link w:val="19"/>
    <w:qFormat/>
    <w:uiPriority w:val="0"/>
    <w:pPr>
      <w:jc w:val="left"/>
    </w:pPr>
  </w:style>
  <w:style w:type="paragraph" w:styleId="6">
    <w:name w:val="Plain Text"/>
    <w:basedOn w:val="1"/>
    <w:link w:val="17"/>
    <w:qFormat/>
    <w:uiPriority w:val="99"/>
    <w:rPr>
      <w:rFonts w:ascii="宋体" w:hAnsi="Courier New" w:cs="Courier New"/>
      <w:szCs w:val="21"/>
    </w:rPr>
  </w:style>
  <w:style w:type="paragraph" w:styleId="7">
    <w:name w:val="Balloon Text"/>
    <w:basedOn w:val="1"/>
    <w:link w:val="21"/>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annotation subject"/>
    <w:basedOn w:val="5"/>
    <w:next w:val="5"/>
    <w:link w:val="20"/>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paragraph" w:customStyle="1" w:styleId="16">
    <w:name w:val="其他标准标志"/>
    <w:basedOn w:val="1"/>
    <w:qFormat/>
    <w:uiPriority w:val="0"/>
    <w:pPr>
      <w:widowControl/>
      <w:shd w:val="solid" w:color="FFFFFF" w:fill="FFFFFF"/>
      <w:spacing w:line="0" w:lineRule="atLeast"/>
      <w:jc w:val="right"/>
    </w:pPr>
    <w:rPr>
      <w:rFonts w:ascii="Times New Roman" w:hAnsi="Times New Roman"/>
      <w:b/>
      <w:w w:val="130"/>
      <w:kern w:val="0"/>
      <w:sz w:val="96"/>
      <w:szCs w:val="96"/>
    </w:rPr>
  </w:style>
  <w:style w:type="character" w:customStyle="1" w:styleId="17">
    <w:name w:val="纯文本 Char"/>
    <w:basedOn w:val="14"/>
    <w:link w:val="6"/>
    <w:qFormat/>
    <w:uiPriority w:val="99"/>
    <w:rPr>
      <w:rFonts w:ascii="宋体" w:hAnsi="Courier New" w:eastAsia="宋体" w:cs="Courier New"/>
      <w:kern w:val="2"/>
      <w:sz w:val="21"/>
      <w:szCs w:val="21"/>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批注文字 Char"/>
    <w:basedOn w:val="14"/>
    <w:link w:val="5"/>
    <w:qFormat/>
    <w:uiPriority w:val="0"/>
    <w:rPr>
      <w:rFonts w:ascii="Calibri" w:hAnsi="Calibri" w:eastAsia="宋体" w:cs="Times New Roman"/>
      <w:kern w:val="2"/>
      <w:sz w:val="24"/>
      <w:szCs w:val="22"/>
    </w:rPr>
  </w:style>
  <w:style w:type="character" w:customStyle="1" w:styleId="20">
    <w:name w:val="批注主题 Char"/>
    <w:basedOn w:val="19"/>
    <w:link w:val="11"/>
    <w:qFormat/>
    <w:uiPriority w:val="0"/>
    <w:rPr>
      <w:rFonts w:ascii="Calibri" w:hAnsi="Calibri" w:eastAsia="宋体" w:cs="Times New Roman"/>
      <w:b/>
      <w:bCs/>
      <w:kern w:val="2"/>
      <w:sz w:val="24"/>
      <w:szCs w:val="22"/>
    </w:rPr>
  </w:style>
  <w:style w:type="character" w:customStyle="1" w:styleId="21">
    <w:name w:val="批注框文本 Char"/>
    <w:basedOn w:val="14"/>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B014B-4D1C-46D8-B09E-27782D3C169F}">
  <ds:schemaRefs/>
</ds:datastoreItem>
</file>

<file path=docProps/app.xml><?xml version="1.0" encoding="utf-8"?>
<Properties xmlns="http://schemas.openxmlformats.org/officeDocument/2006/extended-properties" xmlns:vt="http://schemas.openxmlformats.org/officeDocument/2006/docPropsVTypes">
  <Template>0</Template>
  <Pages>11</Pages>
  <Words>5346</Words>
  <Characters>6138</Characters>
  <Lines>52</Lines>
  <Paragraphs>14</Paragraphs>
  <TotalTime>117</TotalTime>
  <ScaleCrop>false</ScaleCrop>
  <LinksUpToDate>false</LinksUpToDate>
  <CharactersWithSpaces>6311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2021-06-27T07:30:00Z</dcterms:created>
  <dc:creator>李硕</dc:creator>
  <cp:lastModifiedBy>user</cp:lastModifiedBy>
  <cp:lastPrinted>2023-04-20T04:07:00Z</cp:lastPrinted>
  <dcterms:modified xsi:type="dcterms:W3CDTF">2023-06-02T04:26:12Z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DB1F8339A4ED4F7EA3F5B35B7F4E5383_13</vt:lpwstr>
  </property>
</Properties>
</file>