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附件4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评分标准</w:t>
      </w:r>
    </w:p>
    <w:bookmarkEnd w:id="0"/>
    <w:p>
      <w:pPr>
        <w:adjustRightInd w:val="0"/>
        <w:snapToGrid w:val="0"/>
        <w:spacing w:line="58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>本项目比选采用综合评分法。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评比委员会首先进行初步评审，对满足比选文件实质性要求的代理申请书，按照本章规定的评分标准和方法进行打分，并按照得分由高到低进行排序。</w:t>
      </w:r>
    </w:p>
    <w:p>
      <w:pPr>
        <w:adjustRightInd w:val="0"/>
        <w:snapToGrid w:val="0"/>
        <w:spacing w:line="58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sz w:val="32"/>
          <w:szCs w:val="32"/>
        </w:rPr>
        <w:t>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公司（机构）实力10分：公司（机构）信誉良好，履约能力强（6分）；资质健全，均在有效期内（4分）。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（二）团队服务水平30分：类似项目业绩情况及佐证材料，业绩以近二年同类项目业绩为准（15分）；实施队伍人员数量、各领域专家储备、构成结构是否达到要求（15分）。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（三）项目服务方案40分：理解服务项目的基本内容，熟悉基本流程（15）；根据服务方案的科学性、全面性、合理性进行综合打分（25）。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（四）报价20分：报价最低的申请人报价为基准报价，其报价分为满分，其他申请人的报价得分（基准报价/申请人报价）乘以20，申请人报价超过本项目预算的作废。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sz w:val="32"/>
          <w:szCs w:val="32"/>
        </w:rPr>
        <w:t>评比程序</w:t>
      </w:r>
    </w:p>
    <w:p>
      <w:pPr>
        <w:adjustRightInd w:val="0"/>
        <w:snapToGrid w:val="0"/>
        <w:spacing w:line="580" w:lineRule="exact"/>
        <w:ind w:firstLine="640" w:firstLineChars="200"/>
      </w:pPr>
      <w:r>
        <w:rPr>
          <w:rFonts w:hint="eastAsia" w:ascii="宋体" w:hAnsi="宋体" w:eastAsia="宋体" w:cs="宋体"/>
          <w:sz w:val="32"/>
          <w:szCs w:val="32"/>
        </w:rPr>
        <w:t>评比委员会按照规定的评分标准和分值进行打分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对申请书进行评审，有一项不符合评审标准的，作无效处理，不得通过符合性审查。按照得分高低顺序确定1名中选候选人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sectPr>
      <w:pgSz w:w="11906" w:h="16838"/>
      <w:pgMar w:top="1984" w:right="1474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77305427"/>
    <w:rsid w:val="7730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2023-05-17T01:30:00Z</dcterms:created>
  <dc:creator>官网人工审稿窗口</dc:creator>
  <cp:lastModifiedBy>官网人工审稿窗口</cp:lastModifiedBy>
  <dcterms:modified xsi:type="dcterms:W3CDTF">2023-05-17T01:30:27Z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C1588D71049F421782BB717D28044AB0_11</vt:lpwstr>
  </property>
</Properties>
</file>