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sz w:val="32"/>
          <w:highlight w:val="none"/>
          <w:lang w:val="en-US" w:eastAsia="zh-CN"/>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附件</w:t>
      </w:r>
      <w:r>
        <w:rPr>
          <w:rFonts w:hint="eastAsia" w:ascii="宋体" w:hAnsi="宋体" w:eastAsia="宋体" w:cs="宋体"/>
          <w:color w:val="000000" w:themeColor="text1"/>
          <w:sz w:val="32"/>
          <w:highlight w:val="none"/>
          <w:lang w:val="en-US" w:eastAsia="zh-CN"/>
          <w14:textFill>
            <w14:solidFill>
              <w14:schemeClr w14:val="tx1"/>
            </w14:solidFill>
          </w14:textFill>
        </w:rPr>
        <w:t>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themeColor="text1"/>
          <w:kern w:val="2"/>
          <w:sz w:val="40"/>
          <w:szCs w:val="4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40"/>
          <w:szCs w:val="40"/>
          <w:highlight w:val="none"/>
          <w:lang w:val="en-US" w:eastAsia="zh-CN" w:bidi="ar-SA"/>
          <w14:textFill>
            <w14:solidFill>
              <w14:schemeClr w14:val="tx1"/>
            </w14:solidFill>
          </w14:textFill>
        </w:rPr>
        <w:t>河北雄安新区雄才卡申领问答</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highlight w:val="none"/>
          <w:lang w:eastAsia="zh-CN"/>
          <w14:textFill>
            <w14:solidFill>
              <w14:schemeClr w14:val="tx1"/>
            </w14:solidFill>
          </w14:textFill>
        </w:rPr>
      </w:pPr>
      <w:r>
        <w:rPr>
          <w:rFonts w:hint="eastAsia" w:ascii="宋体" w:hAnsi="宋体" w:eastAsia="宋体" w:cs="宋体"/>
          <w:color w:val="000000" w:themeColor="text1"/>
          <w:sz w:val="32"/>
          <w:highlight w:val="none"/>
          <w:lang w:val="en-US" w:eastAsia="zh-CN"/>
          <w14:textFill>
            <w14:solidFill>
              <w14:schemeClr w14:val="tx1"/>
            </w14:solidFill>
          </w14:textFill>
        </w:rPr>
        <w:t>雄才卡</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分A、B、C三类</w:t>
      </w:r>
      <w:r>
        <w:rPr>
          <w:rFonts w:hint="eastAsia" w:ascii="宋体" w:hAnsi="宋体" w:eastAsia="宋体" w:cs="宋体"/>
          <w:color w:val="000000" w:themeColor="text1"/>
          <w:sz w:val="32"/>
          <w:highlight w:val="none"/>
          <w:lang w:eastAsia="zh-CN"/>
          <w14:textFill>
            <w14:solidFill>
              <w14:schemeClr w14:val="tx1"/>
            </w14:solidFill>
          </w14:textFill>
        </w:rPr>
        <w:t>，是为</w:t>
      </w:r>
      <w:r>
        <w:rPr>
          <w:rFonts w:hint="eastAsia" w:ascii="宋体" w:hAnsi="宋体" w:eastAsia="宋体" w:cs="宋体"/>
          <w:color w:val="000000" w:themeColor="text1"/>
          <w:sz w:val="32"/>
          <w:highlight w:val="none"/>
          <w:lang w:val="en-US" w:eastAsia="zh-CN"/>
          <w14:textFill>
            <w14:solidFill>
              <w14:schemeClr w14:val="tx1"/>
            </w14:solidFill>
          </w14:textFill>
        </w:rPr>
        <w:t>新区</w:t>
      </w:r>
      <w:r>
        <w:rPr>
          <w:rFonts w:hint="eastAsia" w:ascii="宋体" w:hAnsi="宋体" w:eastAsia="宋体" w:cs="宋体"/>
          <w:color w:val="000000" w:themeColor="text1"/>
          <w:sz w:val="32"/>
          <w:highlight w:val="none"/>
          <w:lang w:eastAsia="zh-CN"/>
          <w14:textFill>
            <w14:solidFill>
              <w14:schemeClr w14:val="tx1"/>
            </w14:solidFill>
          </w14:textFill>
        </w:rPr>
        <w:t>人才创新创业和</w:t>
      </w:r>
      <w:r>
        <w:rPr>
          <w:rFonts w:hint="eastAsia" w:ascii="宋体" w:hAnsi="宋体" w:eastAsia="宋体" w:cs="宋体"/>
          <w:color w:val="000000" w:themeColor="text1"/>
          <w:sz w:val="32"/>
          <w:highlight w:val="none"/>
          <w:lang w:val="en-US" w:eastAsia="zh-CN"/>
          <w14:textFill>
            <w14:solidFill>
              <w14:schemeClr w14:val="tx1"/>
            </w14:solidFill>
          </w14:textFill>
        </w:rPr>
        <w:t>工作</w:t>
      </w:r>
      <w:r>
        <w:rPr>
          <w:rFonts w:hint="eastAsia" w:ascii="宋体" w:hAnsi="宋体" w:eastAsia="宋体" w:cs="宋体"/>
          <w:color w:val="000000" w:themeColor="text1"/>
          <w:sz w:val="32"/>
          <w:highlight w:val="none"/>
          <w:lang w:eastAsia="zh-CN"/>
          <w14:textFill>
            <w14:solidFill>
              <w14:schemeClr w14:val="tx1"/>
            </w14:solidFill>
          </w14:textFill>
        </w:rPr>
        <w:t>生活提供优质</w:t>
      </w:r>
      <w:r>
        <w:rPr>
          <w:rFonts w:hint="eastAsia" w:ascii="宋体" w:hAnsi="宋体" w:eastAsia="宋体" w:cs="宋体"/>
          <w:color w:val="000000" w:themeColor="text1"/>
          <w:sz w:val="32"/>
          <w:highlight w:val="none"/>
          <w:lang w:val="en-US" w:eastAsia="zh-CN"/>
          <w14:textFill>
            <w14:solidFill>
              <w14:schemeClr w14:val="tx1"/>
            </w14:solidFill>
          </w14:textFill>
        </w:rPr>
        <w:t>便捷</w:t>
      </w:r>
      <w:r>
        <w:rPr>
          <w:rFonts w:hint="eastAsia" w:ascii="宋体" w:hAnsi="宋体" w:eastAsia="宋体" w:cs="宋体"/>
          <w:color w:val="000000" w:themeColor="text1"/>
          <w:sz w:val="32"/>
          <w:highlight w:val="none"/>
          <w:lang w:eastAsia="zh-CN"/>
          <w14:textFill>
            <w14:solidFill>
              <w14:schemeClr w14:val="tx1"/>
            </w14:solidFill>
          </w14:textFill>
        </w:rPr>
        <w:t>服务的凭证。</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themeColor="text1"/>
          <w:sz w:val="32"/>
          <w:highlight w:val="none"/>
          <w:lang w:val="en-US" w:eastAsia="zh-CN"/>
          <w14:textFill>
            <w14:solidFill>
              <w14:schemeClr w14:val="tx1"/>
            </w14:solidFill>
          </w14:textFill>
        </w:rPr>
      </w:pPr>
      <w:r>
        <w:rPr>
          <w:rFonts w:hint="eastAsia" w:ascii="宋体" w:hAnsi="宋体" w:eastAsia="宋体" w:cs="宋体"/>
          <w:color w:val="000000" w:themeColor="text1"/>
          <w:sz w:val="32"/>
          <w:highlight w:val="none"/>
          <w:lang w:val="en-US" w:eastAsia="zh-CN"/>
          <w14:textFill>
            <w14:solidFill>
              <w14:schemeClr w14:val="tx1"/>
            </w14:solidFill>
          </w14:textFill>
        </w:rPr>
        <w:t>关于申领对象</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（一）问：申领对用人单位有什么要求吗？</w:t>
      </w:r>
    </w:p>
    <w:p>
      <w:pPr>
        <w:pStyle w:val="8"/>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答：根据《河北省实施燕赵英才服务卡制度暂行办法》《河北雄安新</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区雄才卡管理办法（</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试行）》，凡是在新区依法登记注册、合法经营并依法纳税的用人单位均符合条件。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（二）问：个人申领雄才卡需要符合什么条件呢？</w:t>
      </w:r>
    </w:p>
    <w:p>
      <w:pPr>
        <w:pStyle w:val="8"/>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个人申请雄才卡需要在新区有稳定工作，与用人单位签订3年以上劳动（聘用、聘任）合同，在新区缴纳3个月以上社保或个税，符合《河北雄安新区雄才卡管理办法（试行）》中A、B、C类人才相应条件的，可分类申领雄才卡。</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三</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）问：雄才卡A、B、C卡申领条件中均有一条兜底条</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款如“雄安</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新区规划建设、疏解承接、产业发展、科技创新等领域急需并经新区党工委人才工作领导</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小组认定的相当层次人才”“服务承接疏解、重点产业发展、重大项目建设等新区重点领域引进的其他紧缺专业毕业生”是如</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何界定</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的</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答：指符合《河北雄安新区重点产业急需紧缺人才目录（2022年）》条件，有某种特殊技术或专长，且在新区规划建设、</w:t>
      </w:r>
      <w:bookmarkStart w:id="0" w:name="_GoBack"/>
      <w:bookmarkEnd w:id="0"/>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疏解承接、产业发展、科技创新等领域用人单位稳定工作、业绩突出的，参照同类别雄才卡申领条件，经用人单位推荐，可申请“相当层次人才”认定。原则上从严从紧认定。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四</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）问：</w:t>
      </w:r>
      <w:r>
        <w:rPr>
          <w:rFonts w:hint="eastAsia" w:ascii="宋体" w:hAnsi="宋体" w:eastAsia="宋体" w:cs="宋体"/>
          <w:color w:val="000000" w:themeColor="text1"/>
          <w:sz w:val="32"/>
          <w:highlight w:val="none"/>
          <w:lang w:val="en-US" w:eastAsia="zh-CN"/>
          <w14:textFill>
            <w14:solidFill>
              <w14:schemeClr w14:val="tx1"/>
            </w14:solidFill>
          </w14:textFill>
        </w:rPr>
        <w:t>雄</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才C卡</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中“优秀毕业生”指</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什么？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答：指政治素质高、综合素养好、在校期间品德优秀、无违规违纪行为的毕业生。</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五</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）问：世界知名大学优秀毕业生指什么？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答：重点参考世界大学学术排名前100名高校，并参考</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instrText xml:space="preserve"> HYPERLINK "https://baike.so.com/doc/6748930-6963476.html" \t "https://baike.so.com/doc/_blank" </w:instrTex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QS世界大学排名</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end"/>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instrText xml:space="preserve"> HYPERLINK "https://baike.so.com/doc/24422082-25253648.html" \t "https://baike.so.com/doc/_blank" </w:instrTex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泰晤士高等教育世界大学排名</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end"/>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instrText xml:space="preserve"> HYPERLINK "https://baike.so.com/doc/9211777-9545065.html" \t "https://baike.so.com/doc/_blank" </w:instrTex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USNews世界大学排名</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fldChar w:fldCharType="end"/>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，以最新排名为准。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六</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）问：</w:t>
      </w:r>
      <w:r>
        <w:rPr>
          <w:rFonts w:hint="eastAsia" w:ascii="宋体" w:hAnsi="宋体" w:eastAsia="宋体" w:cs="宋体"/>
          <w:color w:val="000000" w:themeColor="text1"/>
          <w:sz w:val="32"/>
          <w:highlight w:val="none"/>
          <w:lang w:val="en-US" w:eastAsia="zh-CN"/>
          <w14:textFill>
            <w14:solidFill>
              <w14:schemeClr w14:val="tx1"/>
            </w14:solidFill>
          </w14:textFill>
        </w:rPr>
        <w:t>雄</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才C卡中引进毕业生毕业时间有限制吗？</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w:t>
      </w:r>
      <w:r>
        <w:rPr>
          <w:rFonts w:hint="eastAsia" w:ascii="宋体" w:hAnsi="宋体" w:eastAsia="宋体" w:cs="宋体"/>
          <w:color w:val="000000" w:themeColor="text1"/>
          <w:sz w:val="32"/>
          <w:highlight w:val="none"/>
          <w:lang w:val="en-US" w:eastAsia="zh-CN"/>
          <w14:textFill>
            <w14:solidFill>
              <w14:schemeClr w14:val="tx1"/>
            </w14:solidFill>
          </w14:textFill>
        </w:rPr>
        <w:t>雄</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才C卡中引进毕业生毕业时间无限制，需于申报前取得毕业证和学位证，且已通过用人单位试用期。</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七</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）问：</w:t>
      </w:r>
      <w:r>
        <w:rPr>
          <w:rFonts w:hint="eastAsia" w:ascii="宋体" w:hAnsi="宋体" w:eastAsia="宋体" w:cs="宋体"/>
          <w:color w:val="000000" w:themeColor="text1"/>
          <w:sz w:val="32"/>
          <w:highlight w:val="none"/>
          <w:lang w:val="en-US" w:eastAsia="zh-CN"/>
          <w14:textFill>
            <w14:solidFill>
              <w14:schemeClr w14:val="tx1"/>
            </w14:solidFill>
          </w14:textFill>
        </w:rPr>
        <w:t>“申领雄</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才</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C</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卡</w:t>
      </w:r>
      <w:r>
        <w:rPr>
          <w:rFonts w:hint="eastAsia" w:ascii="宋体" w:hAnsi="宋体" w:eastAsia="宋体" w:cs="宋体"/>
          <w:color w:val="000000" w:themeColor="text1"/>
          <w:sz w:val="32"/>
          <w:highlight w:val="none"/>
          <w:lang w:val="en-US" w:eastAsia="zh-CN"/>
          <w14:textFill>
            <w14:solidFill>
              <w14:schemeClr w14:val="tx1"/>
            </w14:solidFill>
          </w14:textFill>
        </w:rPr>
        <w:t>一般</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不超过</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35</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周岁。</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A</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B</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C</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持卡人应当在新区有稳定工作，</w:t>
      </w:r>
      <w:r>
        <w:rPr>
          <w:rFonts w:hint="eastAsia" w:ascii="宋体" w:hAnsi="宋体" w:eastAsia="宋体" w:cs="宋体"/>
          <w:color w:val="000000" w:themeColor="text1"/>
          <w:sz w:val="32"/>
          <w:highlight w:val="none"/>
          <w:u w:val="none"/>
          <w:lang w:val="en-US" w:eastAsia="zh-CN"/>
          <w14:textFill>
            <w14:solidFill>
              <w14:schemeClr w14:val="tx1"/>
            </w14:solidFill>
          </w14:textFill>
        </w:rPr>
        <w:t>特别急需紧缺的年龄可适当放宽</w:t>
      </w:r>
      <w:r>
        <w:rPr>
          <w:rFonts w:hint="eastAsia" w:ascii="宋体" w:hAnsi="宋体" w:eastAsia="宋体" w:cs="宋体"/>
          <w:color w:val="000000" w:themeColor="text1"/>
          <w:sz w:val="32"/>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对特别急需紧缺的人才如何理解？</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color w:val="000000" w:themeColor="text1"/>
          <w:sz w:val="3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答：特别急需紧缺人才的认定标准由雄安新区党工委人才办从严从紧组织评审认定，重点是对申请人政治素质、业绩贡献等进行评价，突出市场价值、社会认可、专业共同体认可。博士申请C卡不限制年龄。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sz w:val="32"/>
          <w:highlight w:val="none"/>
          <w:lang w:val="en-US" w:eastAsia="zh-CN"/>
          <w14:textFill>
            <w14:solidFill>
              <w14:schemeClr w14:val="tx1"/>
            </w14:solidFill>
          </w14:textFill>
        </w:rPr>
        <w:t>（</w:t>
      </w:r>
      <w:r>
        <w:rPr>
          <w:rFonts w:hint="eastAsia" w:ascii="宋体" w:hAnsi="宋体" w:eastAsia="宋体" w:cs="宋体"/>
          <w:color w:val="000000" w:themeColor="text1"/>
          <w:sz w:val="32"/>
          <w:highlight w:val="none"/>
          <w:lang w:val="en-US" w:eastAsia="zh-CN"/>
          <w14:textFill>
            <w14:solidFill>
              <w14:schemeClr w14:val="tx1"/>
            </w14:solidFill>
          </w14:textFill>
        </w:rPr>
        <w:t>八</w:t>
      </w:r>
      <w:r>
        <w:rPr>
          <w:rFonts w:hint="eastAsia" w:ascii="宋体" w:hAnsi="宋体" w:eastAsia="宋体" w:cs="宋体"/>
          <w:color w:val="000000" w:themeColor="text1"/>
          <w:sz w:val="32"/>
          <w:highlight w:val="none"/>
          <w:lang w:val="en-US" w:eastAsia="zh-CN"/>
          <w14:textFill>
            <w14:solidFill>
              <w14:schemeClr w14:val="tx1"/>
            </w14:solidFill>
          </w14:textFill>
        </w:rPr>
        <w:t>）问：</w:t>
      </w: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A、B、C卡享受的待遇是一样的吗？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2"/>
          <w:szCs w:val="32"/>
          <w:highlight w:val="none"/>
          <w:lang w:val="en-US" w:eastAsia="zh-CN" w:bidi="ar-SA"/>
          <w14:textFill>
            <w14:solidFill>
              <w14:schemeClr w14:val="tx1"/>
            </w14:solidFill>
          </w14:textFill>
        </w:rPr>
        <w:t>答:我们根据专家人才层次和需求，对持卡人分类给予服务保障。具体待遇待发卡时会发放《雄才卡使用手册》进行详细说明。</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32"/>
          <w:szCs w:val="24"/>
          <w:highlight w:val="none"/>
          <w:lang w:val="en-US" w:eastAsia="zh-CN" w:bidi="ar-SA"/>
          <w14:textFill>
            <w14:solidFill>
              <w14:schemeClr w14:val="tx1"/>
            </w14:solidFill>
          </w14:textFill>
        </w:rPr>
        <w:t>二、关于材料</w:t>
      </w:r>
      <w:r>
        <w:rPr>
          <w:rFonts w:hint="eastAsia" w:ascii="宋体" w:hAnsi="宋体" w:eastAsia="宋体" w:cs="宋体"/>
          <w:color w:val="000000" w:themeColor="text1"/>
          <w:kern w:val="2"/>
          <w:sz w:val="32"/>
          <w:szCs w:val="24"/>
          <w:highlight w:val="none"/>
          <w:lang w:val="en-US" w:eastAsia="zh-CN" w:bidi="ar-SA"/>
          <w14:textFill>
            <w14:solidFill>
              <w14:schemeClr w14:val="tx1"/>
            </w14:solidFill>
          </w14:textFill>
        </w:rPr>
        <w:t>提报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（一）问：个人上传劳动合同有什么要求吗？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答：需上传在新区工作，最近一次与新区用人单位签订的3年及以上劳动合同。之前在新区工作的合同或在新区外工作的合同无需上传。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（二）问：个人材料提交后如果有问题，会预留修改期限吗？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答：如申领雄才卡信息填写错误或材料上传错误，经审核不符合要求的，后续会以短信形式提醒个人修改材料，并预留一定修改期限。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（三）问：申报系统中未查询到本企业、本单位信息怎么办？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答：</w:t>
      </w:r>
      <w:r>
        <w:rPr>
          <w:rFonts w:hint="eastAsia" w:ascii="宋体" w:hAnsi="宋体" w:eastAsia="宋体" w:cs="宋体"/>
          <w:color w:val="000000" w:themeColor="text1"/>
          <w:sz w:val="32"/>
          <w:szCs w:val="32"/>
          <w:highlight w:val="none"/>
          <w:lang w:val="en-US" w:eastAsia="zh-CN"/>
          <w14:textFill>
            <w14:solidFill>
              <w14:schemeClr w14:val="tx1"/>
            </w14:solidFill>
          </w14:textFill>
        </w:rPr>
        <w:t>请</w:t>
      </w:r>
      <w:r>
        <w:rPr>
          <w:rFonts w:hint="eastAsia" w:ascii="宋体" w:hAnsi="宋体" w:eastAsia="宋体" w:cs="宋体"/>
          <w:color w:val="000000" w:themeColor="text1"/>
          <w:sz w:val="32"/>
          <w:szCs w:val="32"/>
          <w:highlight w:val="none"/>
          <w:lang w:val="en-US" w:eastAsia="zh-CN"/>
          <w14:textFill>
            <w14:solidFill>
              <w14:schemeClr w14:val="tx1"/>
            </w14:solidFill>
          </w14:textFill>
        </w:rPr>
        <w:t>用人单位登录平台完成注册。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color w:val="000000" w:themeColor="text1"/>
          <w:sz w:val="32"/>
          <w:szCs w:val="32"/>
          <w:highlight w:val="none"/>
          <w:lang w:val="en-US" w:eastAsia="zh-CN"/>
          <w14:textFill>
            <w14:solidFill>
              <w14:schemeClr w14:val="tx1"/>
            </w14:solidFill>
          </w14:textFill>
        </w:rPr>
        <w:t>）问：用人单位经营地址和注册地址不一致，申报时如何填写信息？</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答：以实际注册地址为准。</w:t>
      </w:r>
    </w:p>
    <w:p>
      <w:pPr>
        <w:rPr>
          <w:rFonts w:hint="eastAsia" w:ascii="宋体" w:hAnsi="宋体" w:eastAsia="宋体" w:cs="宋体"/>
          <w:color w:val="000000" w:themeColor="text1"/>
          <w:highlight w:val="none"/>
          <w:lang w:val="en-US" w:eastAsia="zh-CN"/>
          <w14:textFill>
            <w14:solidFill>
              <w14:schemeClr w14:val="tx1"/>
            </w14:solidFill>
          </w14:textFill>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szCs w:val="44"/>
                            </w:rPr>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5sSMcBAACbAwAADgAAAAAAAAABACAAAAAeAQAAZHJzL2Uyb0RvYy54&#10;bWxQSwUGAAAAAAYABgBZAQAAVwUAAAAA&#10;">
              <v:fill on="f" focussize="0,0"/>
              <v:stroke on="f"/>
              <v:imagedata o:title=""/>
              <o:lock v:ext="edit" aspectratio="f"/>
              <v:textbox inset="0mm,0mm,0mm,0mm" style="mso-fit-shape-to-text:t;">
                <w:txbxContent>
                  <w:p>
                    <w:pPr>
                      <w:rPr>
                        <w:szCs w:val="44"/>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91E6E"/>
    <w:multiLevelType w:val="singleLevel"/>
    <w:tmpl w:val="BD991E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43711510"/>
    <w:rsid w:val="00B974BC"/>
    <w:rsid w:val="00FE696A"/>
    <w:rsid w:val="029555FC"/>
    <w:rsid w:val="045D6F04"/>
    <w:rsid w:val="04EF2505"/>
    <w:rsid w:val="08154EF6"/>
    <w:rsid w:val="0D6D6594"/>
    <w:rsid w:val="0E675B2F"/>
    <w:rsid w:val="0E990E45"/>
    <w:rsid w:val="0F8C50BC"/>
    <w:rsid w:val="10B03E61"/>
    <w:rsid w:val="128117B7"/>
    <w:rsid w:val="15D01685"/>
    <w:rsid w:val="17792FC4"/>
    <w:rsid w:val="1A3C74E0"/>
    <w:rsid w:val="1B067122"/>
    <w:rsid w:val="1CE4092E"/>
    <w:rsid w:val="1D762195"/>
    <w:rsid w:val="1D9219F8"/>
    <w:rsid w:val="1DC03132"/>
    <w:rsid w:val="20BE576C"/>
    <w:rsid w:val="20C03D11"/>
    <w:rsid w:val="22557200"/>
    <w:rsid w:val="27F24667"/>
    <w:rsid w:val="294E59A5"/>
    <w:rsid w:val="2AFE6488"/>
    <w:rsid w:val="3348716E"/>
    <w:rsid w:val="339D09B4"/>
    <w:rsid w:val="33F20EC0"/>
    <w:rsid w:val="352B68E4"/>
    <w:rsid w:val="43711510"/>
    <w:rsid w:val="4374600D"/>
    <w:rsid w:val="48224B65"/>
    <w:rsid w:val="4860600B"/>
    <w:rsid w:val="4B35496F"/>
    <w:rsid w:val="4C0C72D7"/>
    <w:rsid w:val="4F36094E"/>
    <w:rsid w:val="4FAF5DB7"/>
    <w:rsid w:val="557D3508"/>
    <w:rsid w:val="56AE2637"/>
    <w:rsid w:val="583868C5"/>
    <w:rsid w:val="5CFE25DA"/>
    <w:rsid w:val="60374CFA"/>
    <w:rsid w:val="60924BE4"/>
    <w:rsid w:val="620457A9"/>
    <w:rsid w:val="6CAB0EF6"/>
    <w:rsid w:val="6DA1512D"/>
    <w:rsid w:val="6E5F40DE"/>
    <w:rsid w:val="6E7C1B7B"/>
    <w:rsid w:val="71FC5FE1"/>
    <w:rsid w:val="764566BC"/>
    <w:rsid w:val="76EB21C8"/>
    <w:rsid w:val="78B005A2"/>
    <w:rsid w:val="7C8B0BA1"/>
    <w:rsid w:val="7F6A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lain Text1"/>
    <w:next w:val="1"/>
    <w:qFormat/>
    <w:uiPriority w:val="0"/>
    <w:pPr>
      <w:widowControl w:val="0"/>
      <w:jc w:val="both"/>
    </w:pPr>
    <w:rPr>
      <w:rFonts w:ascii="宋体" w:hAnsi="Courier New" w:eastAsia="宋体" w:cs="Times New Roman"/>
      <w:kern w:val="2"/>
      <w:sz w:val="22"/>
      <w:szCs w:val="24"/>
      <w:lang w:val="en-US" w:eastAsia="zh-CN" w:bidi="ar-SA"/>
    </w:rPr>
  </w:style>
  <w:style w:type="paragraph" w:styleId="3">
    <w:name w:val="Body Text"/>
    <w:basedOn w:val="1"/>
    <w:next w:val="1"/>
    <w:qFormat/>
    <w:uiPriority w:val="0"/>
    <w:pPr>
      <w:spacing w:after="120"/>
    </w:pPr>
  </w:style>
  <w:style w:type="paragraph" w:styleId="4">
    <w:name w:val="Plain Text"/>
    <w:basedOn w:val="1"/>
    <w:next w:val="5"/>
    <w:unhideWhenUsed/>
    <w:qFormat/>
    <w:uiPriority w:val="99"/>
    <w:pPr>
      <w:suppressAutoHyphens w:val="0"/>
    </w:pPr>
    <w:rPr>
      <w:rFonts w:hAnsi="Courier New" w:cs="Courier New" w:asciiTheme="minorEastAsia" w:eastAsiaTheme="minorEastAsia"/>
      <w:lang w:eastAsia="zh-CN"/>
    </w:rPr>
  </w:style>
  <w:style w:type="paragraph" w:styleId="5">
    <w:name w:val="index 9"/>
    <w:basedOn w:val="1"/>
    <w:next w:val="1"/>
    <w:qFormat/>
    <w:uiPriority w:val="99"/>
    <w:pPr>
      <w:ind w:left="3360"/>
    </w:pPr>
    <w:rPr>
      <w:rFonts w:ascii="Times New Roman" w:hAnsi="Times New Roman" w:cs="等线"/>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纯文本1"/>
    <w:basedOn w:val="1"/>
    <w:qFormat/>
    <w:uiPriority w:val="0"/>
    <w:rPr>
      <w:rFonts w:asci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1346</Words>
  <Characters>1359</Characters>
  <Lines>0</Lines>
  <Paragraphs>0</Paragraphs>
  <TotalTime>13</TotalTime>
  <ScaleCrop>false</ScaleCrop>
  <LinksUpToDate>false</LinksUpToDate>
  <CharactersWithSpaces>1361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2023-02-08T04:05:00Z</dcterms:created>
  <dc:creator>大葱</dc:creator>
  <cp:lastModifiedBy>TheKING</cp:lastModifiedBy>
  <cp:lastPrinted>2023-04-01T03:34:00Z</cp:lastPrinted>
  <dcterms:modified xsi:type="dcterms:W3CDTF">2023-04-01T05:43:29Z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78924843672141B1A1725062516DF3F4</vt:lpwstr>
  </property>
</Properties>
</file>