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overflowPunct/>
        <w:topLinePunct w:val="0"/>
        <w:autoSpaceDE/>
        <w:autoSpaceDN/>
        <w:bidi w:val="0"/>
        <w:spacing w:beforeAutospacing="0" w:afterAutospacing="0"/>
        <w:jc w:val="center"/>
        <w:rPr>
          <w:rFonts w:hint="default" w:ascii="Times New Roman" w:hAnsi="Times New Roman" w:eastAsia="方正小标宋简体" w:cs="Times New Roman"/>
          <w:b w:val="0"/>
          <w:bCs w:val="0"/>
          <w:sz w:val="44"/>
          <w:szCs w:val="44"/>
        </w:rPr>
      </w:pPr>
      <w:bookmarkStart w:id="0" w:name="_GoBack"/>
      <w:r>
        <w:rPr>
          <w:rFonts w:hint="default" w:ascii="Times New Roman" w:hAnsi="Times New Roman" w:eastAsia="方正小标宋简体" w:cs="Times New Roman"/>
          <w:b w:val="0"/>
          <w:bCs w:val="0"/>
          <w:sz w:val="44"/>
          <w:szCs w:val="44"/>
          <w:lang w:val="en-US" w:eastAsia="zh-CN"/>
        </w:rPr>
        <w:t>雄安新区</w:t>
      </w:r>
      <w:r>
        <w:rPr>
          <w:rFonts w:hint="default" w:ascii="Times New Roman" w:hAnsi="Times New Roman" w:eastAsia="方正小标宋简体" w:cs="Times New Roman"/>
          <w:b w:val="0"/>
          <w:bCs w:val="0"/>
          <w:sz w:val="44"/>
          <w:szCs w:val="44"/>
        </w:rPr>
        <w:t>智能建造试点城市目标任务落实清单</w:t>
      </w:r>
    </w:p>
    <w:bookmarkEnd w:id="0"/>
    <w:tbl>
      <w:tblPr>
        <w:tblStyle w:val="7"/>
        <w:tblW w:w="13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355"/>
        <w:gridCol w:w="1110"/>
        <w:gridCol w:w="2790"/>
        <w:gridCol w:w="4980"/>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blHeader/>
        </w:trPr>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序号</w:t>
            </w:r>
          </w:p>
        </w:tc>
        <w:tc>
          <w:tcPr>
            <w:tcW w:w="1355"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试点目标</w:t>
            </w:r>
          </w:p>
        </w:tc>
        <w:tc>
          <w:tcPr>
            <w:tcW w:w="111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试点任务方向</w:t>
            </w: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具体工作举措</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试点成果指标</w:t>
            </w: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w:t>
            </w:r>
          </w:p>
        </w:tc>
        <w:tc>
          <w:tcPr>
            <w:tcW w:w="1355" w:type="dxa"/>
            <w:vMerge w:val="restart"/>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到2025年10月底，智能建造相关标准逐步建立，智能建造产业体系基本形成，</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企业创新能力大幅提高，产业集群优势逐步显现；</w:t>
            </w: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培育不少于10家具有智能建造系统解决能力的龙头骨干企业；</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不少于20个智能建造试点项目，</w:t>
            </w: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培育不少于2个建筑产业互联网范例平台，智能建造试点城市建设初见成效；</w:t>
            </w: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形成可复制推广的智能建造政策体系、管理体系、技术体系、评价体系等在内的智能建造创新体系；</w:t>
            </w: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初步形成长效发展机制，逐步实现城乡建设行业的智能化、绿色化、数字化转型升级。</w:t>
            </w: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为全国发展智能建造提供</w:t>
            </w:r>
            <w:r>
              <w:rPr>
                <w:rFonts w:hint="eastAsia" w:ascii="Times New Roman" w:hAnsi="Times New Roman" w:eastAsia="仿宋_GB2312" w:cs="Times New Roman"/>
                <w:b w:val="0"/>
                <w:bCs w:val="0"/>
                <w:color w:val="000000"/>
                <w:kern w:val="0"/>
                <w:sz w:val="24"/>
                <w:szCs w:val="24"/>
                <w:lang w:val="en-US" w:eastAsia="zh-CN" w:bidi="ar"/>
              </w:rPr>
              <w:t>“</w:t>
            </w:r>
            <w:r>
              <w:rPr>
                <w:rFonts w:hint="default" w:ascii="Times New Roman" w:hAnsi="Times New Roman" w:eastAsia="仿宋_GB2312" w:cs="Times New Roman"/>
                <w:b w:val="0"/>
                <w:bCs w:val="0"/>
                <w:color w:val="000000"/>
                <w:kern w:val="0"/>
                <w:sz w:val="24"/>
                <w:szCs w:val="24"/>
                <w:lang w:val="en-US" w:eastAsia="zh-CN" w:bidi="ar"/>
              </w:rPr>
              <w:t>雄安样板</w:t>
            </w:r>
            <w:r>
              <w:rPr>
                <w:rFonts w:hint="eastAsia" w:ascii="Times New Roman" w:hAnsi="Times New Roman" w:eastAsia="仿宋_GB2312" w:cs="Times New Roman"/>
                <w:b w:val="0"/>
                <w:bCs w:val="0"/>
                <w:color w:val="000000"/>
                <w:kern w:val="0"/>
                <w:sz w:val="24"/>
                <w:szCs w:val="24"/>
                <w:lang w:val="en-US" w:eastAsia="zh-CN" w:bidi="ar"/>
              </w:rPr>
              <w:t>”</w:t>
            </w:r>
            <w:r>
              <w:rPr>
                <w:rFonts w:hint="default" w:ascii="Times New Roman" w:hAnsi="Times New Roman" w:eastAsia="仿宋_GB2312" w:cs="Times New Roman"/>
                <w:b w:val="0"/>
                <w:bCs w:val="0"/>
                <w:color w:val="000000"/>
                <w:kern w:val="0"/>
                <w:sz w:val="24"/>
                <w:szCs w:val="24"/>
                <w:lang w:val="en-US" w:eastAsia="zh-CN" w:bidi="ar"/>
              </w:rPr>
              <w:t>。</w:t>
            </w:r>
          </w:p>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完善政策体系</w:t>
            </w: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制定雄安新区发展智能建造实施方案，合理确定发展智能建造的试点目标、重点任务和具体措施等内容。</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加强实施效果跟踪评估，形成可复制可推广经验清单。</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1.2023年2月底前，发布《雄安新区智能建造试点城市实施方案》。</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2.2023年3月底发布《雄安新区智能建造试点项目申报指南》。</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3.自2023年，按年度分批发布《雄安新区智能建造技术推广目录》。</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4.2025年9月前，形成《雄安新区智能建造试点城市总结评估报告》。</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5.2025年9月前，形成一套可复制推广的智能建造政策、技术、监管的经验清单。</w:t>
            </w: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新区建设和交通管理局、自然资源和规划局、改革发展局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restart"/>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培育智能建造产业</w:t>
            </w: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培育智能建造产业</w:t>
            </w: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1.积极推广智能生产</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（1）高标准打造部品部件智能工厂（产业园）。</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（2）建立基于BIM的标准化部品部件库。</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（3）高标准打造部品部件智能生产线。</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（4）建立全过程质量溯源制度。</w:t>
            </w:r>
          </w:p>
        </w:tc>
        <w:tc>
          <w:tcPr>
            <w:tcW w:w="4980" w:type="dxa"/>
            <w:vMerge w:val="restart"/>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1.2023年底前，建成市政基础设施预制构件产业园1个。</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2.2023年底前，建设年产15万m³PC构件、30万m³ALC板材的低碳装配式创新园1个。</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3.2024年底前，建立雄安新区标准化部品部件库。</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4.2024年底前，建立基于BIM信息流转的部品部件智能生产线4-5条。</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5.至2025年10月底，培育具备开展智能建造业务能力的建筑工程总承包企业不少于30家。培育具备全面数字设计的勘察设计企业不少于20家。培育具备智能建造平台系统及设备供应等智能建造相关技术产品研发的龙头企业不少于10家。</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6.至2025年5月底前，培育国家级智能建造建筑产业化基地不少于2家。</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7.2025年10月底前，搭建完成建筑产业互联网平台不少于2个。</w:t>
            </w: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新区建设和交通管理局、改革发展局、雄安集团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3</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2.大力培育智能建造产业</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（1）构建智能建造产业生态。（2）积极培育智能建造产业基地。（3）统筹搭建建筑产业互联网平台。</w:t>
            </w:r>
          </w:p>
        </w:tc>
        <w:tc>
          <w:tcPr>
            <w:tcW w:w="4980"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新区建设和交通管理局、改革发展局、自然资源和规划局、雄安集团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4</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建设试点示范工程</w:t>
            </w: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在房屋建筑和市政基础设施工程中，扎实开展智能建造试点示范工程创建行动，加快推广数字设计、智能生产、智慧施工、智能运维、建筑产业互联网等智能建造技术在工程建设各环节的试点应用，建设一批智能建造试点示范工程，发挥示范引领作用。</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1．至2025年5月底，完成智能建造试点示范工程不少于20个。</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2.开展新建学校、医院、办公、居住等项目智能建造集成应用场景。</w:t>
            </w: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新区建设和交通管理局、自然资源和规划局、建设指挥部办公室、各县政府（片区管委会）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5</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restart"/>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创新管理机制</w:t>
            </w: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创新管理机制</w:t>
            </w: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1.持续搭建完善雄安新区BIM管理平台。新区工程建设项目全专业、全流程、全阶段推广应用BIM集成技术，探索数字城市孪生共建新模式。</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1.2025年5月底前，持续完善雄安新区BIM管理平台建设。</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2.试点期间新建工程建设项目BIM集成应用100%。</w:t>
            </w: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新区自然资源和规划局、建设和交通管理局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6</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2.持续搭建完善雄安CIM数字化建设协同平台，高效支撑雄安新区各片区工程建设工作顺利推进。</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1.2023年底前，编制完成《雄安新区CIM技术信息化应用标准》。</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2.自2022年11月，持续完善新区各片区CIM数字化建设协同平台建设，并服务各片区建设指挥调度工作。</w:t>
            </w: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新区改革发展局、建设和交通管理局、自然资源和规划局、建设指挥部办公室，雄安集团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7</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3.建立完善雄安新区工程建设智能化监管系统，实现对工程建设监管的全覆盖。</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试点期间雄安新区新建工程智能化监管覆盖率100%。</w:t>
            </w: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新区建设和交通管理局、自然资源和规划局、建设指挥部办公室，雄安集团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8</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4.建立完善雄安新区区块链监管系统，为创造</w:t>
            </w:r>
            <w:r>
              <w:rPr>
                <w:rFonts w:hint="eastAsia" w:ascii="Times New Roman" w:hAnsi="Times New Roman" w:eastAsia="仿宋_GB2312" w:cs="Times New Roman"/>
                <w:b w:val="0"/>
                <w:bCs w:val="0"/>
                <w:color w:val="000000"/>
                <w:kern w:val="0"/>
                <w:sz w:val="24"/>
                <w:szCs w:val="24"/>
                <w:lang w:val="en-US" w:eastAsia="zh-CN" w:bidi="ar"/>
              </w:rPr>
              <w:t>“</w:t>
            </w:r>
            <w:r>
              <w:rPr>
                <w:rFonts w:hint="default" w:ascii="Times New Roman" w:hAnsi="Times New Roman" w:eastAsia="仿宋_GB2312" w:cs="Times New Roman"/>
                <w:b w:val="0"/>
                <w:bCs w:val="0"/>
                <w:color w:val="000000"/>
                <w:kern w:val="0"/>
                <w:sz w:val="24"/>
                <w:szCs w:val="24"/>
                <w:lang w:val="en-US" w:eastAsia="zh-CN" w:bidi="ar"/>
              </w:rPr>
              <w:t>雄安质量</w:t>
            </w:r>
            <w:r>
              <w:rPr>
                <w:rFonts w:hint="eastAsia" w:ascii="Times New Roman" w:hAnsi="Times New Roman" w:eastAsia="仿宋_GB2312" w:cs="Times New Roman"/>
                <w:b w:val="0"/>
                <w:bCs w:val="0"/>
                <w:color w:val="000000"/>
                <w:kern w:val="0"/>
                <w:sz w:val="24"/>
                <w:szCs w:val="24"/>
                <w:lang w:val="en-US" w:eastAsia="zh-CN" w:bidi="ar"/>
              </w:rPr>
              <w:t>”</w:t>
            </w:r>
            <w:r>
              <w:rPr>
                <w:rFonts w:hint="default" w:ascii="Times New Roman" w:hAnsi="Times New Roman" w:eastAsia="仿宋_GB2312" w:cs="Times New Roman"/>
                <w:b w:val="0"/>
                <w:bCs w:val="0"/>
                <w:color w:val="000000"/>
                <w:kern w:val="0"/>
                <w:sz w:val="24"/>
                <w:szCs w:val="24"/>
                <w:lang w:val="en-US" w:eastAsia="zh-CN" w:bidi="ar"/>
              </w:rPr>
              <w:t>提供支撑。</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1.至2024年底前，持续完善区块链底层平台建设和区块链监理管理系统，完善质量溯源，加强质量监管。</w:t>
            </w: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新区建设和交通管理局、改革发展局，雄安集团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9</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5.大力推广</w:t>
            </w:r>
            <w:r>
              <w:rPr>
                <w:rFonts w:hint="eastAsia" w:ascii="Times New Roman" w:hAnsi="Times New Roman" w:eastAsia="仿宋_GB2312" w:cs="Times New Roman"/>
                <w:b w:val="0"/>
                <w:bCs w:val="0"/>
                <w:color w:val="000000"/>
                <w:kern w:val="0"/>
                <w:sz w:val="24"/>
                <w:szCs w:val="24"/>
                <w:lang w:val="en-US" w:eastAsia="zh-CN" w:bidi="ar"/>
              </w:rPr>
              <w:t>“</w:t>
            </w:r>
            <w:r>
              <w:rPr>
                <w:rFonts w:hint="default" w:ascii="Times New Roman" w:hAnsi="Times New Roman" w:eastAsia="仿宋_GB2312" w:cs="Times New Roman"/>
                <w:b w:val="0"/>
                <w:bCs w:val="0"/>
                <w:color w:val="000000"/>
                <w:kern w:val="0"/>
                <w:sz w:val="24"/>
                <w:szCs w:val="24"/>
                <w:lang w:val="en-US" w:eastAsia="zh-CN" w:bidi="ar"/>
              </w:rPr>
              <w:t>互联网+监管</w:t>
            </w:r>
            <w:r>
              <w:rPr>
                <w:rFonts w:hint="eastAsia" w:ascii="Times New Roman" w:hAnsi="Times New Roman" w:eastAsia="仿宋_GB2312" w:cs="Times New Roman"/>
                <w:b w:val="0"/>
                <w:bCs w:val="0"/>
                <w:color w:val="000000"/>
                <w:kern w:val="0"/>
                <w:sz w:val="24"/>
                <w:szCs w:val="24"/>
                <w:lang w:val="en-US" w:eastAsia="zh-CN" w:bidi="ar"/>
              </w:rPr>
              <w:t>”</w:t>
            </w:r>
            <w:r>
              <w:rPr>
                <w:rFonts w:hint="default" w:ascii="Times New Roman" w:hAnsi="Times New Roman" w:eastAsia="仿宋_GB2312" w:cs="Times New Roman"/>
                <w:b w:val="0"/>
                <w:bCs w:val="0"/>
                <w:color w:val="000000"/>
                <w:kern w:val="0"/>
                <w:sz w:val="24"/>
                <w:szCs w:val="24"/>
                <w:lang w:val="en-US" w:eastAsia="zh-CN" w:bidi="ar"/>
              </w:rPr>
              <w:t>模式。实现跨系统、跨部门、跨业务协同共享。</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1持续完善BIM、CIM等项目管理平台建设，2024年底前实现</w:t>
            </w:r>
            <w:r>
              <w:rPr>
                <w:rFonts w:hint="eastAsia" w:ascii="Times New Roman" w:hAnsi="Times New Roman" w:eastAsia="仿宋_GB2312" w:cs="Times New Roman"/>
                <w:b w:val="0"/>
                <w:bCs w:val="0"/>
                <w:color w:val="000000"/>
                <w:kern w:val="0"/>
                <w:sz w:val="24"/>
                <w:szCs w:val="24"/>
                <w:lang w:val="en-US" w:eastAsia="zh-CN" w:bidi="ar"/>
              </w:rPr>
              <w:t>“</w:t>
            </w:r>
            <w:r>
              <w:rPr>
                <w:rFonts w:hint="default" w:ascii="Times New Roman" w:hAnsi="Times New Roman" w:eastAsia="仿宋_GB2312" w:cs="Times New Roman"/>
                <w:b w:val="0"/>
                <w:bCs w:val="0"/>
                <w:color w:val="000000"/>
                <w:kern w:val="0"/>
                <w:sz w:val="24"/>
                <w:szCs w:val="24"/>
                <w:lang w:val="en-US" w:eastAsia="zh-CN" w:bidi="ar"/>
              </w:rPr>
              <w:t>互联网+政务</w:t>
            </w:r>
            <w:r>
              <w:rPr>
                <w:rFonts w:hint="eastAsia" w:ascii="Times New Roman" w:hAnsi="Times New Roman" w:eastAsia="仿宋_GB2312" w:cs="Times New Roman"/>
                <w:b w:val="0"/>
                <w:bCs w:val="0"/>
                <w:color w:val="000000"/>
                <w:kern w:val="0"/>
                <w:sz w:val="24"/>
                <w:szCs w:val="24"/>
                <w:lang w:val="en-US" w:eastAsia="zh-CN" w:bidi="ar"/>
              </w:rPr>
              <w:t>”</w:t>
            </w:r>
            <w:r>
              <w:rPr>
                <w:rFonts w:hint="default" w:ascii="Times New Roman" w:hAnsi="Times New Roman" w:eastAsia="仿宋_GB2312" w:cs="Times New Roman"/>
                <w:b w:val="0"/>
                <w:bCs w:val="0"/>
                <w:color w:val="000000"/>
                <w:kern w:val="0"/>
                <w:sz w:val="24"/>
                <w:szCs w:val="24"/>
                <w:lang w:val="en-US" w:eastAsia="zh-CN" w:bidi="ar"/>
              </w:rPr>
              <w:t>互联互通。</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2.至2024年底，完成数字化平台建设并上线运行：</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3.2025年5月底前，完成城市级建筑产业知识平台建设。</w:t>
            </w: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新区公共服务局、建设和交通管理局、自然资源和规划局、改革发展局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10</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全面推进数字设计</w:t>
            </w: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全面推行工程建设全过程BIM技术应用，持续大力推广自主可控的BIM建模、数字设计、协同设计和AI设计等技术和应用，引导设计单位采用BIM正向设计，优化设计流程，实现集成技术的最优化设计。</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1.自2022年11月，新建工程100%推行工程建设全过程BIM技术应用；</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2.2023年底前，研发完成一套国产自主可控的公共数据格式。完成BIM数字化平台应用评价。</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3.至2025年5月底，智能建造项目中应用国产自主知识产权BIM设计软件的应用覆盖率达到60%。</w:t>
            </w: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新区自然资源和规划局、建设和交通管理局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11</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restart"/>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全面推行智慧绿色施工</w:t>
            </w: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1.全面推行高标准智慧工地建设。</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1.2023年12月底前，发布《雄安新区智慧工地评价标准》。</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2.2025年10月底前，完成不少于20个智慧工地认定。</w:t>
            </w:r>
          </w:p>
        </w:tc>
        <w:tc>
          <w:tcPr>
            <w:tcW w:w="2224" w:type="dxa"/>
            <w:vMerge w:val="restart"/>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新区建设和交通管理局、自然资源和规划局、生态环境局、建设指挥部办公室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12</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2.鼓励支持建筑机器人研发应用。</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2025年10月底，开展建筑机器人应用示范场景不少于2个。</w:t>
            </w:r>
          </w:p>
        </w:tc>
        <w:tc>
          <w:tcPr>
            <w:tcW w:w="2224"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13</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3.大力推进工程建设全过程绿色建造。</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2025年10月底前，建成20个高水平、标志性绿色建造项目。</w:t>
            </w:r>
          </w:p>
        </w:tc>
        <w:tc>
          <w:tcPr>
            <w:tcW w:w="2224"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14</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持续推进智慧运维建设</w:t>
            </w: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在城市建筑、市政基础设施等项目中进行统筹规划、适度超前部署各类智能感知设施，并与项目建设同步部署。建立完善的智慧建筑运维技术体系。建立楼宇智慧运维系统。</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1.2023年12月底，完成智慧建筑运维技术体系构建，发布雄安新区智慧建筑运维技术标准。</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2.持续推广楼宇智慧运维系统建设，2025年10月底，建筑楼宇智慧运维系统普及率达90%以上。</w:t>
            </w: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新区建设和交通管理局、自然资源和规划局、改革发展局、应急管理局、住房管理中心，雄安集团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15</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restart"/>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加快推进新型建筑工业化发展</w:t>
            </w:r>
          </w:p>
          <w:p>
            <w:pPr>
              <w:rPr>
                <w:rFonts w:hint="default" w:ascii="Times New Roman" w:hAnsi="Times New Roman" w:eastAsia="仿宋_GB2312" w:cs="Times New Roman"/>
                <w:b w:val="0"/>
                <w:bCs w:val="0"/>
                <w:color w:val="000000"/>
                <w:kern w:val="0"/>
                <w:sz w:val="24"/>
                <w:szCs w:val="24"/>
                <w:lang w:val="en-US" w:eastAsia="zh-CN" w:bidi="ar"/>
              </w:rPr>
            </w:pP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1.全面推进建筑标准化设计。</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1.2024年底编制《雄安新区钢结构装配整体式快装建筑技术标准》、《雄安新区装配式内装修技术标准》、《雄安新区预制拼装地下综合管廊工程技术规程》等标准。2.2024年底，建设标准部品部件库1个，形成标准构件图集1套。</w:t>
            </w:r>
          </w:p>
        </w:tc>
        <w:tc>
          <w:tcPr>
            <w:tcW w:w="2224" w:type="dxa"/>
            <w:vMerge w:val="restart"/>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新区建设和交通管理局、自然资源和规划局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16</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2.加大推广装配式建造方式。</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持续推广装配式建造方式，2025年10月底前，装配式建筑面积占当年新开工建筑总面积的比例达到30%。</w:t>
            </w:r>
          </w:p>
        </w:tc>
        <w:tc>
          <w:tcPr>
            <w:tcW w:w="2224"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17</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3.积极推广模块化建造方式。</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2025年10月底，积极开展2个模块化建造试点项目建设。</w:t>
            </w:r>
          </w:p>
        </w:tc>
        <w:tc>
          <w:tcPr>
            <w:tcW w:w="2224"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18</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加强智能建造管理体系建设</w:t>
            </w: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建立智能建造标准体系。</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建立智能建造管理体系。</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3.建立智能建造评价体系。</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4.加强智能建造管理能力建设。</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1.至2025年10月底，编制完成BIM、CIM等智能建造相关标准不少于10个。</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2.2023年3月底发布《雄安新区智能建造试点项目试点指南》。</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3.2024年底前完成《雄安新区智能建造评价标准体系》。</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4.持续推广实施工程总承包、全过程咨询、工程师负责制。</w:t>
            </w: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新区建设和交通管理局、自然资源和规划局、改革发展局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19</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restart"/>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保障措施</w:t>
            </w: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保障措施</w:t>
            </w:r>
          </w:p>
          <w:p>
            <w:pPr>
              <w:rPr>
                <w:rFonts w:hint="default" w:ascii="Times New Roman" w:hAnsi="Times New Roman" w:eastAsia="仿宋_GB2312" w:cs="Times New Roman"/>
                <w:b w:val="0"/>
                <w:bCs w:val="0"/>
                <w:color w:val="000000"/>
                <w:kern w:val="0"/>
                <w:sz w:val="24"/>
                <w:szCs w:val="24"/>
                <w:lang w:val="en-US" w:eastAsia="zh-CN" w:bidi="ar"/>
              </w:rPr>
            </w:pPr>
          </w:p>
          <w:p>
            <w:pPr>
              <w:rPr>
                <w:rFonts w:hint="default" w:ascii="Times New Roman" w:hAnsi="Times New Roman" w:eastAsia="仿宋_GB2312" w:cs="Times New Roman"/>
                <w:b w:val="0"/>
                <w:bCs w:val="0"/>
                <w:color w:val="000000"/>
                <w:kern w:val="0"/>
                <w:sz w:val="24"/>
                <w:szCs w:val="24"/>
                <w:lang w:val="en-US" w:eastAsia="zh-CN" w:bidi="ar"/>
              </w:rPr>
            </w:pP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1.完善工作机制。</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2023年2月底前，成立雄安新区智能建造工作专班和智能建造专家委员会，明确职责、保障措施、任务考核指标、过程监管、后评价等。</w:t>
            </w: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新区建设和交通管理局、自然资源和规划局、改革发展局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20</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2.加强政策支持。</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试点期间，将智能建造纳入财政支持、金融支持等重点支持范围，落实国家各项税收优惠政策，将智能建造纳入新区建筑信用评价、工程质量评优评奖的加分项目和评分范围。</w:t>
            </w: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新区改革发展局、中国人民银行雄安新区营业管理部、建设和交通管理局税务局、自然资源和规划局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21</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3.加强科技支撑。</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2023年2月底前组建智能建造专家委员会，持续对智能建造示范项目进行指导，开展相关课题研究。</w:t>
            </w: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新区建设和交通管理局、改革发展局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22</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4.加强质量管控。</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1.2023年2月底发布《雄安新区智能建造试点城市实施方案》，将智能建造纳入新建工程建设项目的规划设计条件。</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2.2025年5月底，对智能建造示范项目100%进行全过程闭合管理，确保示范效果。</w:t>
            </w: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新区建设和交通管理局、综合执法局、建设指挥部办公室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23</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5.加快人才培养。</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1.自2023年，将智能建造纳入专业技术人员继续教育；</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2.2025年底前，组建1个智能建造研究方向的院士工作站。</w:t>
            </w: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新区建设和交通管理局、公共服务局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777"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24</w:t>
            </w:r>
          </w:p>
        </w:tc>
        <w:tc>
          <w:tcPr>
            <w:tcW w:w="1355"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1110" w:type="dxa"/>
            <w:vMerge w:val="continue"/>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p>
        </w:tc>
        <w:tc>
          <w:tcPr>
            <w:tcW w:w="279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6.加强宣传引导。</w:t>
            </w:r>
          </w:p>
        </w:tc>
        <w:tc>
          <w:tcPr>
            <w:tcW w:w="4980"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1.2025年底前，每年开展智能建造相关会议、交流、宣传等工作不少于4次。</w:t>
            </w:r>
          </w:p>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2.2025年底前，每年开展智能建造相关培训不少于4次。</w:t>
            </w:r>
          </w:p>
        </w:tc>
        <w:tc>
          <w:tcPr>
            <w:tcW w:w="2224" w:type="dxa"/>
            <w:noWrap w:val="0"/>
            <w:vAlign w:val="center"/>
          </w:tcPr>
          <w:p>
            <w:pPr>
              <w:rPr>
                <w:rFonts w:hint="default" w:ascii="Times New Roman" w:hAnsi="Times New Roman" w:eastAsia="仿宋_GB2312" w:cs="Times New Roman"/>
                <w:b w:val="0"/>
                <w:bCs w:val="0"/>
                <w:color w:val="000000"/>
                <w:kern w:val="0"/>
                <w:sz w:val="24"/>
                <w:szCs w:val="24"/>
                <w:lang w:val="en-US" w:eastAsia="zh-CN" w:bidi="ar"/>
              </w:rPr>
            </w:pPr>
            <w:r>
              <w:rPr>
                <w:rFonts w:hint="default" w:ascii="Times New Roman" w:hAnsi="Times New Roman" w:eastAsia="仿宋_GB2312" w:cs="Times New Roman"/>
                <w:b w:val="0"/>
                <w:bCs w:val="0"/>
                <w:color w:val="000000"/>
                <w:kern w:val="0"/>
                <w:sz w:val="24"/>
                <w:szCs w:val="24"/>
                <w:lang w:val="en-US" w:eastAsia="zh-CN" w:bidi="ar"/>
              </w:rPr>
              <w:t>新区建设和交通管理局</w:t>
            </w:r>
          </w:p>
        </w:tc>
      </w:tr>
    </w:tbl>
    <w:p>
      <w:pPr>
        <w:rPr>
          <w:rFonts w:hint="default" w:ascii="Times New Roman" w:hAnsi="Times New Roman" w:eastAsia="仿宋_GB2312" w:cs="Times New Roman"/>
          <w:b w:val="0"/>
          <w:bCs w:val="0"/>
          <w:color w:val="000000"/>
          <w:kern w:val="0"/>
          <w:sz w:val="24"/>
          <w:szCs w:val="24"/>
          <w:lang w:val="en-US" w:eastAsia="zh-CN" w:bidi="ar"/>
        </w:rPr>
        <w:sectPr>
          <w:headerReference r:id="rId3" w:type="default"/>
          <w:footerReference r:id="rId5" w:type="default"/>
          <w:headerReference r:id="rId4" w:type="even"/>
          <w:footerReference r:id="rId6" w:type="even"/>
          <w:pgSz w:w="16838" w:h="11906" w:orient="landscape"/>
          <w:pgMar w:top="1588" w:right="2098" w:bottom="1474" w:left="1701" w:header="851" w:footer="1134" w:gutter="0"/>
          <w:pgNumType w:fmt="decimal"/>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-621665</wp:posOffset>
              </wp:positionH>
              <wp:positionV relativeFrom="paragraph">
                <wp:posOffset>-579755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48.95pt;margin-top:-45.65pt;height:144pt;width:144pt;mso-position-horizontal-relative:margin;mso-wrap-style:none;rotation:5898240f;z-index:251659264;mso-width-relative:page;mso-height-relative:page;" filled="f" stroked="f" coordsize="21600,21600" o:gfxdata="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drJiDXAAAACwEAAA8AAAAAAAAAAQAgAAAAIgAA&#10;AGRycy9kb3ducmV2LnhtbFBLAQIUABQAAAAIAIdO4kCsLCo20AEAAKcDAAAOAAAAAAAAAAEAIAAA&#10;ACYBAABkcnMvZTJvRG9jLnhtbFBLBQYAAAAABgAGAFkBAABoBQ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-629920</wp:posOffset>
              </wp:positionH>
              <wp:positionV relativeFrom="paragraph">
                <wp:posOffset>307340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49.6pt;margin-top:24.2pt;height:144pt;width:144pt;mso-position-horizontal-relative:margin;mso-wrap-style:none;rotation:5898240f;z-index:251660288;mso-width-relative:page;mso-height-relative:page;" filled="f" stroked="f" coordsize="21600,21600" o:gfxdata="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2F0sndgAAAAKAQAADwAAAAAAAAABACAAAAAi&#10;AAAAZHJzL2Rvd25yZXYueG1sUEsBAhQAFAAAAAgAh07iQJ3yLafRAQAApwMAAA4AAAAAAAAAAQAg&#10;AAAAJwEAAGRycy9lMm9Eb2MueG1sUEsFBgAAAAAGAAYAWQEAAGoFA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YmRmN2JmYzMzZTYzNzk0NDRjZmI2ODFiZjYwYTYifQ=="/>
  </w:docVars>
  <w:rsids>
    <w:rsidRoot w:val="55A63B14"/>
    <w:rsid w:val="55A6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Plain Text"/>
    <w:basedOn w:val="1"/>
    <w:next w:val="3"/>
    <w:unhideWhenUsed/>
    <w:qFormat/>
    <w:uiPriority w:val="99"/>
    <w:rPr>
      <w:rFonts w:ascii="宋体" w:hAnsi="Courier New" w:eastAsia="宋体" w:cs="Courier New"/>
      <w:szCs w:val="21"/>
    </w:rPr>
  </w:style>
  <w:style w:type="paragraph" w:styleId="3">
    <w:name w:val="index 9"/>
    <w:basedOn w:val="1"/>
    <w:next w:val="1"/>
    <w:qFormat/>
    <w:uiPriority w:val="99"/>
    <w:pPr>
      <w:spacing w:line="240" w:lineRule="atLeast"/>
      <w:ind w:left="3360"/>
    </w:pPr>
    <w:rPr>
      <w:rFonts w:ascii="Calibri" w:hAnsi="Calibri" w:eastAsia="仿宋_GB2312" w:cs="等线"/>
      <w:sz w:val="32"/>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next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表格文字"/>
    <w:qFormat/>
    <w:uiPriority w:val="99"/>
    <w:pPr>
      <w:widowControl w:val="0"/>
      <w:adjustRightInd w:val="0"/>
      <w:spacing w:line="420" w:lineRule="atLeast"/>
      <w:textAlignment w:val="baseline"/>
    </w:pPr>
    <w:rPr>
      <w:rFonts w:ascii="Calibri" w:hAnsi="Calibri"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2023-03-01T08:47:00Z</dcterms:created>
  <dc:creator>你恐怖就比较古怪n</dc:creator>
  <cp:lastModifiedBy>你恐怖就比较古怪n</cp:lastModifiedBy>
  <dcterms:modified xsi:type="dcterms:W3CDTF">2023-03-01T08:49:26Z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31F9C157B7604DEDAD6553B12D57857A</vt:lpwstr>
  </property>
</Properties>
</file>