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河北雄安新区管理委员会（含直属事业单位）</w:t>
      </w:r>
    </w:p>
    <w:p>
      <w:pPr>
        <w:ind w:firstLine="880" w:firstLineChars="200"/>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202</w:t>
      </w:r>
      <w:r>
        <w:rPr>
          <w:rFonts w:hint="default" w:ascii="Times New Roman" w:hAnsi="Times New Roman" w:eastAsia="方正小标宋_GBK" w:cs="Times New Roman"/>
          <w:sz w:val="44"/>
          <w:szCs w:val="44"/>
          <w:highlight w:val="none"/>
          <w:lang w:val="en-US" w:eastAsia="zh-CN"/>
        </w:rPr>
        <w:t>3</w:t>
      </w:r>
      <w:r>
        <w:rPr>
          <w:rFonts w:hint="default" w:ascii="Times New Roman" w:hAnsi="Times New Roman" w:eastAsia="方正小标宋_GBK" w:cs="Times New Roman"/>
          <w:sz w:val="44"/>
          <w:szCs w:val="44"/>
          <w:highlight w:val="none"/>
        </w:rPr>
        <w:t>年部门预算信息公开情况说明</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按照《预算法》《河北省预决算公开操作规程实施细则》和《河北省省级预算公开办法》规定，现将河北雄安新区管理委员会（含直属事业单位）202</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年部门预算公开如下：</w:t>
      </w:r>
    </w:p>
    <w:p>
      <w:pPr>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一、部门职责及机构设置情况</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党政办公室：负责综合协调新区党工委、管委会职责的落实；负责督察督办、应急管理；负责改革政策和城市发展研究工作；负责组织落实体制机制创新先行先试改革工作；负责外事侨务工作；负责法制工作；负责机要文秘、综合保障和日常运转等工作；负责新区党工委、管委会交办的其他工作。</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党群工作部：负责基层党建、党风廉政建设、组织人事、审计和机构编制管理；负责统战、港澳台事务、工商联工作；负责政法、社会治安综合治理、维护稳定、信访和群众工作；负责群团工作；负责推进行政体制改革；制定实施吸引一流管理人才和高端创新创业人才的人才政策，创新选人用人机制，建立完善市场化激励机制；负责对托管三县的宏观管理与指导；联系人大、政协和人民武装工作；联系驻新区派驻单位等工作；负责新区党工委、管委会交办的其他工作。</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宣传网信局：负责统筹协调意识形态工作；负责新闻宣传、对外宣传和社会舆论引导；负责互联网信息内容管理、网络安全监管和协调推进信息化建设发展；负责文化文艺工作和文化事业产业发展；负责全区精神文明建设工作；负责新区党工委、管委会交办的其他工作。</w:t>
      </w:r>
    </w:p>
    <w:p>
      <w:pPr>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改革发展局：负责研究经济体制机制改革创新；负责承接北京非首都功能向新区有序转移工作；负责研究制定经济社会发展规划；负责经济发展工作；负责研究提出新区生产力布局的建议；负责对外开放工作，研究制定促进投资自由化、贸易便利化、金融国际化、打造国际要素聚集区的政策，按程序报批后组织实施；负责与京津、境内其他区域及港澳台地区的交流合作，积极对接全球创新链，打造扩大开放新高地和对外合作新平台；研究制定并组织实施吸纳和集聚创新要素资源、打造创新创业集群的政策措施；负责培育和发展科技创新企业，推动高端高新产业发展工作；负责绿色智慧新城建设，推进信息化、数字化网络服务全覆盖；研究制定投资“负面清单”，负责重大项目建设、固定资产投资管理工作；制定实施金融创新有关政策；负责财税和国有资产管理工作；负责新区党工委、管委会交办的其他工作。</w:t>
      </w:r>
    </w:p>
    <w:p>
      <w:pPr>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自然资源和规划局：履行新区全民所有土地、矿产、森林、湿地、水、野生动植物等自然资源资产所有者职责和所有国土空间用途管制职责</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负责建立新区空间规划体系并监督实施</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负责新区自然资源调查监测评价</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负责新区自然资源统一确权登记工作</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负责新区自然资源资产有偿使用工作</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负责新区自然资源的合理开发利用</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编制新区规划建设岩土工程地质勘察相关地方性法规；拟订管理规范和技术标准并组织实施和监督检查；编制新区规划建设岩土工程地质勘察发展规划并组织实施；负责新区自然资源和国土空间规划管理的督查工作；负责新区林业生态保护修复的监督管理；负责新区森林、湿地资源的监督管理，组织新区林业生态保护修复和造林绿化工作；负责推进新区林业改革相关工作；负责监督管理新区各类自然保护地；承担自然资源与规划领域有关信息化工作，拟订相关信息化建设发展规划并组织实施；推动雄安新区数字城市与现实城市同步规划、同步建设，打造规划建设BIM管理平台，促进BIM技术在规划、设计、建设、管理、运营等城市全生命周期的广泛应用，确保一张蓝图干到底；负责新区空间数据的统一管理，承担空间数据采集、汇聚、共享、开放以及相关建设和管理活动，推进空间数据的资源整合，促进空间数据的综合利用；承担职责范围内行业安全生产监管职能；完成新区党工委、管委会交办的其他工作。</w:t>
      </w:r>
    </w:p>
    <w:p>
      <w:pPr>
        <w:ind w:firstLine="640" w:firstLineChars="200"/>
        <w:rPr>
          <w:rFonts w:hint="default" w:ascii="Times New Roman" w:hAnsi="Times New Roman" w:eastAsia="方正仿宋_GBK" w:cs="Times New Roman"/>
          <w:sz w:val="32"/>
          <w:szCs w:val="32"/>
          <w:highlight w:val="none"/>
          <w:lang w:val="en-US"/>
        </w:rPr>
      </w:pPr>
      <w:r>
        <w:rPr>
          <w:rFonts w:hint="default" w:ascii="Times New Roman" w:hAnsi="Times New Roman" w:eastAsia="方正仿宋_GBK" w:cs="Times New Roman"/>
          <w:sz w:val="32"/>
          <w:szCs w:val="32"/>
          <w:highlight w:val="none"/>
          <w:lang w:eastAsia="zh-CN"/>
        </w:rPr>
        <w:t>建设和交通管理局：</w:t>
      </w:r>
      <w:r>
        <w:rPr>
          <w:rFonts w:hint="default" w:ascii="Times New Roman" w:hAnsi="Times New Roman" w:eastAsia="方正仿宋_GBK" w:cs="Times New Roman"/>
          <w:sz w:val="32"/>
          <w:szCs w:val="32"/>
          <w:highlight w:val="none"/>
          <w:lang w:val="en-US" w:eastAsia="zh-CN"/>
        </w:rPr>
        <w:t>履行新区住房城乡建设、交通运输、水利、城市管理及人民防空职责，贯彻落实有关法律法规、部门规章和政策；研究拟订住房城乡建设、交通运输、水利、城市管理及人民防空的中长期发展规划、专业规划、年度计划和专项计划，并组织实施；负责建筑业和房地产业、建筑市场和房地产市场、新区有关房屋资金(住房公积金、公共维修资金等)的监督管理；负责推进住房制度改革，建立和完善住房保障管理制度；负责牵头编制新区综合交通运输体系规划并组织实施承担公路建设和道路运输市场监管责任；承担管辖水域水上交通安全监管责任；负责新区船舶检验和监督管理工作；负责交通运输系统安全生产和应急管理工作；负责保障水资源合理开发利用，组织编制新区水资源战略规划、重要河湖泊域综合规划、防洪规划等重大水利规划；指导河湖的治理、开发；指导水利设施、水域及其岸线的管理、保护与综合利用；负责水利基础设施网络建设；负责主要河流湖泊及河口的治理、开发和保护；负责河湖水生态保护与修复、河湖生态流量水量管理以及河湖水系连通工作；负责研究新区水网系统规划和建设；指导新区园林绿化专业规划的编制和实施；负责新区公园的规划、建设和管理；制定人民防空指挥部服务保障计划并负责日常工作，负责新区本级指挥场所和设施设备建设、使用和管理；完成新区党工委、管委会交办的其他工作。</w:t>
      </w:r>
    </w:p>
    <w:p>
      <w:pPr>
        <w:ind w:firstLine="640" w:firstLineChars="200"/>
        <w:rPr>
          <w:rFonts w:hint="default" w:ascii="Times New Roman" w:hAnsi="Times New Roman" w:eastAsia="方正仿宋_GBK" w:cs="Times New Roman"/>
          <w:sz w:val="32"/>
          <w:szCs w:val="32"/>
          <w:highlight w:val="none"/>
          <w:lang w:eastAsia="zh-CN"/>
        </w:rPr>
      </w:pP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公共服务局：负责制订新区人口政策，合理控制新区人口规模和结构；负责农业、扶贫开发工作；负责民政和就业、社会保障、教育、医疗卫生、文化体育及其他社会事业；负责“放管服”改革，承接落实国务院和省下放的行政权力事项；负责实施负面清单管理，建立与激发市场活力相适应的行政审批、政务服务体制机制；负责行政许可事项的集中管理与审批；负责公共资源交易监管工作；负责实施“互联网+政务服务”工作；负责新区党工委、管委会交办的其他工作。</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综合执法局：贯彻执行国家、省有关行政管理的法律、法规；依法负责规划建设、道路交通、环境保护、城市管理、工商、质监、食药监等领域综合行政执法，加强事中事后监管；负责新区内部管控工作，协调与周边区域的统一规划管控，划定管控范围和开发边界，加强开发强度管制，实现土地节约集约利用；负责建立健全行政执法监督机制；负责新区党工委、管委会交办的其他工作。</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生态环境局：负责建立健全生态环境基本制度；负责重大环境问题的统筹协调和监督管理；负责组织督促新区减排目标的落实；负责从源头上预防控制环境污染；负责环境污染防治的监督管理；拟订生态保护规划，组织评估生态环境质量状况，监督对生态环境有影响的自然资源开发利用活动、重要生态环境建设和生态破坏恢复；负责排污权交易等工作；负责建设项目“三同时”的监督；负责污染源限期治理等环境管理制度的实施；负责环境执法和环境保护制度检查；负责新区辐射安全的监督管理；负责新区环境监测和信息发布；负责推进生态环境科技发展；承办省生态环境厅和新区党工委、管委会交办的其他事项。</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应急管理局：负责应急管理工作；拟订应急管理、安全生产等政策规定；指导应急预案体系建设；牵头建立统一的新区应急管理信息系统；组织指导协调安全生产类、自然灾害类等突发事件应急救援；)统一协调指挥各类应急专业队伍；统筹应急救援力量建设；组织协调消防工作；指导协调森林火灾、水旱灾害、地震和地质灾害等防治工作；组织协调灾害救助工作；依法行使新区安全生产综合监督管理职权；</w:t>
      </w:r>
      <w:r>
        <w:rPr>
          <w:rFonts w:hint="eastAsia" w:ascii="Times New Roman" w:hAnsi="Times New Roman" w:eastAsia="方正仿宋_GBK" w:cs="Times New Roman"/>
          <w:sz w:val="32"/>
          <w:szCs w:val="32"/>
          <w:highlight w:val="none"/>
          <w:lang w:val="en-US" w:eastAsia="zh-CN"/>
        </w:rPr>
        <w:t>按</w:t>
      </w:r>
      <w:r>
        <w:rPr>
          <w:rFonts w:hint="default" w:ascii="Times New Roman" w:hAnsi="Times New Roman" w:eastAsia="方正仿宋_GBK" w:cs="Times New Roman"/>
          <w:sz w:val="32"/>
          <w:szCs w:val="32"/>
          <w:highlight w:val="none"/>
        </w:rPr>
        <w:t>照分级、属地原则，依法监督检查工矿商贸生产经营单位贯彻执行安全生产法律法规情况，及其安全生产条件和有关设备(特种设备除外)、材料、劳动防护用品的安全生产管理工作；依法组织指导生产安全事故调查处理；制定应急物资储备和应急救援装备规划并组织实施；负责应急管理、安全生产宣传教育和培训工作；负责组织指导协调和监督新区安全生产行政执法工作；组织开展应急管理方面的国际交流与合作；完成新区党工委、管委会交办的其他任务。</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自贸委：负责加快转变政府职能，打造国际一流营商环境；负责深化投资领域改革，深入推进投资自由化便利化，完善投资促进和保护机制；负责推动贸易转型升级，提升贸易便利化水平，支持开展国际大宗商品贸易，建设国际商贸物流重要枢纽；负责深化金融领域开放创新，增强金融服务功能，深化外汇管理体制改革，推动跨境人民币业务创新；负责推动高端高新产业开放发展，支持生物医药和生命健康产业开放发展，支持裝备制造产业开放创新；负责引领雄安新区高质量发展，建设金融创新先行区，建设数字商务发展示范区，推进生命科学与生物技术创新发展；负责推动京津冀协同发展，推动区域产业协同创新，促进要素跨区域流动。</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财政支付中心：负责列入新区采购预算的财政资金直接支付业务及纳入财政直接支付范围的公用专项和经济建设发展专项资金等直接支付；负责新区财政供养人员工资统发；办理财政支付资金清算和会计核算；监督检查预算单位和代理银行办理财政资金直接支付和授权支付业务情况，负责管理财政支付系统和银行清算系统；负责新区党工委、管委会交办的其他工作。</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规划研究中心：负责新区规划建设技术审查服务；负责开展城市发展战略研究；负责城市规划、城市设计等规划任务的组织编制工作；负责重大规划项目前期、重大战略空间储备和重点项目研究；负责开展规划设计单位指导服务；负责数据标准衔接、质量核查与资料库建设等具体工作；负责新区党工委、管委会交办的其他工作。</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政务服务中心：贯彻落实政务服务和公共资源交易相关法律法规和政策，为新区开展政务服务、公共资源交易提供场所、设施和相关服务；负责新区政务服务、公共资源交易相关事项的集中办理和统一管理；负责政务服务和公共资源交易场所的日常管理，制定管理办法，建立工作制度并组织实施；负责新区政务服务和公共资源交易平台建设；负责收集存储和及时发布各类审批服务信息，健全公开透明运行机制；负责对窗口审批行为和公共资源项目交易进行监督；负责提供相关政策咨询、办事指引，受理服务对象投诉；负责对相关工作人员的教育培训、日常管理和检查考核；负责新区党工委、管委会交办的其他工作。</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土地储备中心：负责新区土地的收回、收购、置换、征用、储备及前期开发工作；负责新区内国有土地使用及实施招标、拍卖、挂牌出让的前期承办工作；建立和管理新区土地储备库；负责新区内政府职能性、公益性、社会服务性土地评估和土地出让底价评估；负责对储备土地进行保护、管理、临时利用；配合发行土地储备专项债券；提供有关法律政策咨询和信息咨询服务；负责新区党工委、管委会交办的其他工作。</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接待服务中心：负责新区公务接待、民间访问、公众参观以及新区党政代表团赴外地学习考察等协调服务工作；负责党工委、管委会交办的其他事项。</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质检服务中心：负责对建设工程质量管理和施工安全提供技术检测，对建设工程质量安全事故进行技术调查分析；承担安全施工、文明施工、绿色施工、扬尘治理、结构优质工程创建技术服务工作；对建设工程实体质量安全问题提供技术咨询；承担从事建设工程施工活动的安管人员和建筑施工特种作业人员的安全教育培训工作；承办党工委、管委会交办的其他工作。</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群众工作中心：负责信访工作。处理群众通过信访渠道提出的信访事项；向新区党工委、管委会反映信访渠道征集意见、建议和问题，提出工作建议；综合协调指导新区信访工作，起草有关信访工作的政策、法律、法规草案、规章制度，推动新区关于信访工作决策部署的贯彻落实，检查、指导新区各级各部门的信访工作；组织实施信访问题排查化解工作，指导新区信访信息系统建设和应用；承担新区信访工作联席会议日常工作。</w:t>
      </w:r>
    </w:p>
    <w:p>
      <w:pPr>
        <w:pStyle w:val="4"/>
        <w:spacing w:line="240" w:lineRule="auto"/>
        <w:ind w:firstLine="561"/>
        <w:rPr>
          <w:rFonts w:hint="default" w:ascii="Times New Roman" w:hAnsi="Times New Roman" w:cs="Times New Roman"/>
          <w:kern w:val="2"/>
          <w:sz w:val="32"/>
          <w:szCs w:val="32"/>
          <w:highlight w:val="none"/>
          <w:lang w:eastAsia="zh-CN"/>
        </w:rPr>
      </w:pPr>
      <w:r>
        <w:rPr>
          <w:rFonts w:hint="default" w:ascii="Times New Roman" w:hAnsi="Times New Roman" w:cs="Times New Roman"/>
          <w:sz w:val="32"/>
          <w:szCs w:val="32"/>
          <w:highlight w:val="none"/>
        </w:rPr>
        <w:t>住房管理中心：</w:t>
      </w:r>
      <w:r>
        <w:rPr>
          <w:rFonts w:hint="default" w:ascii="Times New Roman" w:hAnsi="Times New Roman" w:cs="Times New Roman"/>
          <w:kern w:val="2"/>
          <w:sz w:val="32"/>
          <w:szCs w:val="32"/>
          <w:highlight w:val="none"/>
          <w:lang w:eastAsia="zh-CN"/>
        </w:rPr>
        <w:t>负责协助编制新区房地产综合开发发展规划、房地产开发建设规划、住房保障专项规划、保障性住房建设计划等；承担新区房地产、住房和住房保障的调查、评价、政策评估、预警预报、市场监测、统计跟踪、政策引导、业务培训；为深化住房制度改革和置顶房地产、住房和住房保障的发展战略、规划计划、政策法规等提供研究与技术支持；承担新区房地产项目开发、房地产市场、房屋交易、保障性住房、房屋租赁等监督管理的事务性工作；为组织实施房地产市场秩序整治工作提供服务支持；承担住房公积金管理和监督等；承办新区党工委、管委会交办的其他工作。</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财政投资评审中心：负责对新区财政投资项目的可行性提出评审意见；参与财政投资项目的工程概（预）算审核及结算、工程竣工财务决算评审工作；负责组织专家等第三方力量开展评审工作；对项目评审过程中发现的重大问题提出意见和建议；负责新区党工委、管委会交办的其他工作。</w:t>
      </w:r>
    </w:p>
    <w:p>
      <w:pPr>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科技创新发展中心：</w:t>
      </w:r>
      <w:r>
        <w:rPr>
          <w:rFonts w:hint="default" w:ascii="Times New Roman" w:hAnsi="Times New Roman" w:eastAsia="方正仿宋_GBK" w:cs="Times New Roman"/>
          <w:sz w:val="32"/>
          <w:szCs w:val="32"/>
          <w:highlight w:val="none"/>
        </w:rPr>
        <w:t>负责牵头落实雄安新区科技创新发展领导小组决策部署，协调相关部门落实支持科创产业发展政策</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统筹科学园建设发展，协调配置创新资源，推动重大项目落地</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制定实施创新政策，对发展运营公司开展绩效考核</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完成新区党工委、管委会交办的其他工作。</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启动区管委会：负责根据新区党工委、管委会授权，学习宣传、贯彻执行党和国家、省委省政府有关雄安新区规划建设的路线方针政策、法规制度以及各项决策部署；研究拟订片区发展规划和计划，组织研究片区发展重大问题；负责片区建设工程项目施工组织、质量监督及统筹协调工作；推动综合改革、投资、贸易、金融、人才等政策在片区内组织实施；统计发布片区公共信息；按照新区总体规划，负责北京非首都功能疏解到本片区项目的前期洽谈对接等工作；承担新区党工委、管委会交办的其他事项。</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投资促进中心：负责招商引资、疏解北京产业项目前期工作；负责新区投资促进日常事务性工作；配合好项目落地、产业发展等工作；负责新区党工委、管委会交办的其他工作。</w:t>
      </w:r>
    </w:p>
    <w:p>
      <w:pPr>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二、部门预算安排的总体情况</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按照预算管理有关规定，目前我省部门预算的编制实行综合预算管理，即全部收入和支出都反映在预算中。河北雄安新区管理委员会及直属事业单位的收支包含在部门预算中。</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1.收入说明</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年预算收入1355722.86万元，其中：一般公共预算收入</w:t>
      </w:r>
      <w:r>
        <w:rPr>
          <w:rFonts w:hint="default" w:ascii="Times New Roman" w:hAnsi="Times New Roman" w:eastAsia="方正仿宋_GBK" w:cs="Times New Roman"/>
          <w:sz w:val="32"/>
          <w:szCs w:val="32"/>
          <w:highlight w:val="none"/>
          <w:lang w:val="en-US" w:eastAsia="zh-CN"/>
        </w:rPr>
        <w:t>1222879.25</w:t>
      </w:r>
      <w:r>
        <w:rPr>
          <w:rFonts w:hint="default" w:ascii="Times New Roman" w:hAnsi="Times New Roman" w:eastAsia="方正仿宋_GBK" w:cs="Times New Roman"/>
          <w:sz w:val="32"/>
          <w:szCs w:val="32"/>
          <w:highlight w:val="none"/>
        </w:rPr>
        <w:t>万元，基金预算收入</w:t>
      </w:r>
      <w:r>
        <w:rPr>
          <w:rFonts w:hint="default" w:ascii="Times New Roman" w:hAnsi="Times New Roman" w:eastAsia="方正仿宋_GBK" w:cs="Times New Roman"/>
          <w:sz w:val="32"/>
          <w:szCs w:val="32"/>
          <w:highlight w:val="none"/>
          <w:lang w:val="en-US" w:eastAsia="zh-CN"/>
        </w:rPr>
        <w:t>132843.6</w:t>
      </w:r>
      <w:r>
        <w:rPr>
          <w:rFonts w:hint="default" w:ascii="Times New Roman" w:hAnsi="Times New Roman" w:eastAsia="方正仿宋_GBK" w:cs="Times New Roman"/>
          <w:sz w:val="32"/>
          <w:szCs w:val="32"/>
          <w:highlight w:val="none"/>
        </w:rPr>
        <w:t>万元，财政专户核拨收入0万元，其他来源收入0万元。</w:t>
      </w:r>
    </w:p>
    <w:p>
      <w:pPr>
        <w:ind w:firstLine="64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2.支出说明</w:t>
      </w:r>
    </w:p>
    <w:p>
      <w:pPr>
        <w:ind w:firstLine="64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年支出预算1355722.86万元，其中基本支出</w:t>
      </w:r>
      <w:r>
        <w:rPr>
          <w:rFonts w:hint="default" w:ascii="Times New Roman" w:hAnsi="Times New Roman" w:eastAsia="方正仿宋_GBK" w:cs="Times New Roman"/>
          <w:sz w:val="32"/>
          <w:szCs w:val="32"/>
          <w:highlight w:val="none"/>
          <w:lang w:val="en-US" w:eastAsia="zh-CN"/>
        </w:rPr>
        <w:t>29660</w:t>
      </w:r>
      <w:r>
        <w:rPr>
          <w:rFonts w:hint="default" w:ascii="Times New Roman" w:hAnsi="Times New Roman" w:eastAsia="方正仿宋_GBK" w:cs="Times New Roman"/>
          <w:sz w:val="32"/>
          <w:szCs w:val="32"/>
          <w:highlight w:val="none"/>
        </w:rPr>
        <w:t>万元，包括人员经费25468万元和日常公用经费4192万元；项目支出1326062.86万元，其他支出0万元。</w:t>
      </w:r>
    </w:p>
    <w:p>
      <w:pPr>
        <w:ind w:firstLine="64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3.比上年增减情况</w:t>
      </w:r>
    </w:p>
    <w:p>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年预算收支安排1355722.86万元，较202</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年预算</w:t>
      </w:r>
      <w:r>
        <w:rPr>
          <w:rFonts w:hint="default" w:ascii="Times New Roman" w:hAnsi="Times New Roman" w:eastAsia="方正仿宋_GBK" w:cs="Times New Roman"/>
          <w:sz w:val="32"/>
          <w:szCs w:val="32"/>
          <w:highlight w:val="none"/>
          <w:lang w:eastAsia="zh-CN"/>
        </w:rPr>
        <w:t>减少</w:t>
      </w:r>
      <w:r>
        <w:rPr>
          <w:rFonts w:hint="default" w:ascii="Times New Roman" w:hAnsi="Times New Roman" w:eastAsia="方正仿宋_GBK" w:cs="Times New Roman"/>
          <w:sz w:val="32"/>
          <w:szCs w:val="32"/>
          <w:highlight w:val="none"/>
          <w:lang w:val="en-US" w:eastAsia="zh-CN"/>
        </w:rPr>
        <w:t>880469.48</w:t>
      </w:r>
      <w:r>
        <w:rPr>
          <w:rFonts w:hint="default" w:ascii="Times New Roman" w:hAnsi="Times New Roman" w:eastAsia="方正仿宋_GBK" w:cs="Times New Roman"/>
          <w:sz w:val="32"/>
          <w:szCs w:val="32"/>
          <w:highlight w:val="none"/>
        </w:rPr>
        <w:t>万元。其中：项目支出</w:t>
      </w:r>
      <w:r>
        <w:rPr>
          <w:rFonts w:hint="default" w:ascii="Times New Roman" w:hAnsi="Times New Roman" w:eastAsia="方正仿宋_GBK" w:cs="Times New Roman"/>
          <w:sz w:val="32"/>
          <w:szCs w:val="32"/>
          <w:highlight w:val="none"/>
          <w:lang w:eastAsia="zh-CN"/>
        </w:rPr>
        <w:t>减少</w:t>
      </w:r>
      <w:r>
        <w:rPr>
          <w:rFonts w:hint="default" w:ascii="Times New Roman" w:hAnsi="Times New Roman" w:eastAsia="方正仿宋_GBK" w:cs="Times New Roman"/>
          <w:sz w:val="32"/>
          <w:szCs w:val="32"/>
          <w:highlight w:val="none"/>
          <w:lang w:val="en-US" w:eastAsia="zh-CN"/>
        </w:rPr>
        <w:t>882796.48</w:t>
      </w:r>
      <w:r>
        <w:rPr>
          <w:rFonts w:hint="default" w:ascii="Times New Roman" w:hAnsi="Times New Roman" w:eastAsia="方正仿宋_GBK" w:cs="Times New Roman"/>
          <w:sz w:val="32"/>
          <w:szCs w:val="32"/>
          <w:highlight w:val="none"/>
        </w:rPr>
        <w:t>万元，主要因</w:t>
      </w:r>
      <w:r>
        <w:rPr>
          <w:rFonts w:hint="eastAsia" w:ascii="Times New Roman" w:hAnsi="Times New Roman" w:eastAsia="方正仿宋_GBK" w:cs="Times New Roman"/>
          <w:sz w:val="32"/>
          <w:szCs w:val="32"/>
          <w:highlight w:val="none"/>
          <w:lang w:eastAsia="zh-CN"/>
        </w:rPr>
        <w:t>结转资金规模较去年下降等因素</w:t>
      </w:r>
      <w:r>
        <w:rPr>
          <w:rFonts w:hint="default" w:ascii="Times New Roman" w:hAnsi="Times New Roman" w:eastAsia="方正仿宋_GBK" w:cs="Times New Roman"/>
          <w:sz w:val="32"/>
          <w:szCs w:val="32"/>
          <w:highlight w:val="none"/>
        </w:rPr>
        <w:t>。</w:t>
      </w:r>
    </w:p>
    <w:p>
      <w:pPr>
        <w:autoSpaceDE w:val="0"/>
        <w:autoSpaceDN w:val="0"/>
        <w:adjustRightInd w:val="0"/>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三、机关运行经费安排情况</w:t>
      </w:r>
    </w:p>
    <w:p>
      <w:pPr>
        <w:autoSpaceDE w:val="0"/>
        <w:autoSpaceDN w:val="0"/>
        <w:adjustRightInd w:val="0"/>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年，机关运行经费共计安排4192万元，主要用于保证机关正常运转的办公及印刷费、邮电费、差旅费、会议费、福利费、办公设备购置费、办公用房水电费、办公用房取暖费、日常维修费、公务车运行维护费等支出。</w:t>
      </w:r>
    </w:p>
    <w:p>
      <w:pPr>
        <w:autoSpaceDE w:val="0"/>
        <w:autoSpaceDN w:val="0"/>
        <w:adjustRightInd w:val="0"/>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四、财政拨款“三公”经费预算情况及增减变化原因</w:t>
      </w:r>
    </w:p>
    <w:p>
      <w:pPr>
        <w:autoSpaceDE w:val="0"/>
        <w:autoSpaceDN w:val="0"/>
        <w:adjustRightInd w:val="0"/>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年，本部门财政拨款“三公”经费预算安排</w:t>
      </w:r>
      <w:r>
        <w:rPr>
          <w:rFonts w:hint="default" w:ascii="Times New Roman" w:hAnsi="Times New Roman" w:eastAsia="方正仿宋_GBK" w:cs="Times New Roman"/>
          <w:sz w:val="32"/>
          <w:szCs w:val="32"/>
          <w:highlight w:val="none"/>
          <w:lang w:val="en-US" w:eastAsia="zh-CN"/>
        </w:rPr>
        <w:t>1843</w:t>
      </w:r>
      <w:r>
        <w:rPr>
          <w:rFonts w:hint="default" w:ascii="Times New Roman" w:hAnsi="Times New Roman" w:eastAsia="方正仿宋_GBK" w:cs="Times New Roman"/>
          <w:sz w:val="32"/>
          <w:szCs w:val="32"/>
          <w:highlight w:val="none"/>
        </w:rPr>
        <w:t>万元，其中因公出国（境）费</w:t>
      </w:r>
      <w:r>
        <w:rPr>
          <w:rFonts w:hint="default" w:ascii="Times New Roman" w:hAnsi="Times New Roman" w:eastAsia="方正仿宋_GBK" w:cs="Times New Roman"/>
          <w:sz w:val="32"/>
          <w:szCs w:val="32"/>
          <w:highlight w:val="none"/>
          <w:lang w:val="en-US" w:eastAsia="zh-CN"/>
        </w:rPr>
        <w:t>580</w:t>
      </w:r>
      <w:r>
        <w:rPr>
          <w:rFonts w:hint="default" w:ascii="Times New Roman" w:hAnsi="Times New Roman" w:eastAsia="方正仿宋_GBK" w:cs="Times New Roman"/>
          <w:sz w:val="32"/>
          <w:szCs w:val="32"/>
          <w:highlight w:val="none"/>
        </w:rPr>
        <w:t>万元；公务用车购置及运维费</w:t>
      </w:r>
      <w:r>
        <w:rPr>
          <w:rFonts w:hint="default" w:ascii="Times New Roman" w:hAnsi="Times New Roman" w:eastAsia="方正仿宋_GBK" w:cs="Times New Roman"/>
          <w:sz w:val="32"/>
          <w:szCs w:val="32"/>
          <w:highlight w:val="none"/>
          <w:lang w:val="en-US" w:eastAsia="zh-CN"/>
        </w:rPr>
        <w:t>885</w:t>
      </w:r>
      <w:r>
        <w:rPr>
          <w:rFonts w:hint="default" w:ascii="Times New Roman" w:hAnsi="Times New Roman" w:eastAsia="方正仿宋_GBK" w:cs="Times New Roman"/>
          <w:sz w:val="32"/>
          <w:szCs w:val="32"/>
          <w:highlight w:val="none"/>
        </w:rPr>
        <w:t>万元</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其中：公务用车购置费为</w:t>
      </w:r>
      <w:r>
        <w:rPr>
          <w:rFonts w:hint="default" w:ascii="Times New Roman" w:hAnsi="Times New Roman" w:eastAsia="方正仿宋_GBK" w:cs="Times New Roman"/>
          <w:sz w:val="32"/>
          <w:szCs w:val="32"/>
          <w:highlight w:val="none"/>
          <w:lang w:val="en-US" w:eastAsia="zh-CN"/>
        </w:rPr>
        <w:t>395</w:t>
      </w:r>
      <w:r>
        <w:rPr>
          <w:rFonts w:hint="default" w:ascii="Times New Roman" w:hAnsi="Times New Roman" w:eastAsia="方正仿宋_GBK" w:cs="Times New Roman"/>
          <w:sz w:val="32"/>
          <w:szCs w:val="32"/>
          <w:highlight w:val="none"/>
        </w:rPr>
        <w:t>万元，公务用车运维费</w:t>
      </w:r>
      <w:r>
        <w:rPr>
          <w:rFonts w:hint="default" w:ascii="Times New Roman" w:hAnsi="Times New Roman" w:eastAsia="方正仿宋_GBK" w:cs="Times New Roman"/>
          <w:sz w:val="32"/>
          <w:szCs w:val="32"/>
          <w:highlight w:val="none"/>
          <w:lang w:val="en-US" w:eastAsia="zh-CN"/>
        </w:rPr>
        <w:t>490</w:t>
      </w:r>
      <w:r>
        <w:rPr>
          <w:rFonts w:hint="default" w:ascii="Times New Roman" w:hAnsi="Times New Roman" w:eastAsia="方正仿宋_GBK" w:cs="Times New Roman"/>
          <w:sz w:val="32"/>
          <w:szCs w:val="32"/>
          <w:highlight w:val="none"/>
        </w:rPr>
        <w:t>万元；公务接待费</w:t>
      </w:r>
      <w:r>
        <w:rPr>
          <w:rFonts w:hint="default" w:ascii="Times New Roman" w:hAnsi="Times New Roman" w:eastAsia="方正仿宋_GBK" w:cs="Times New Roman"/>
          <w:sz w:val="32"/>
          <w:szCs w:val="32"/>
          <w:highlight w:val="none"/>
          <w:lang w:val="en-US" w:eastAsia="zh-CN"/>
        </w:rPr>
        <w:t>378</w:t>
      </w:r>
      <w:r>
        <w:rPr>
          <w:rFonts w:hint="default" w:ascii="Times New Roman" w:hAnsi="Times New Roman" w:eastAsia="方正仿宋_GBK" w:cs="Times New Roman"/>
          <w:sz w:val="32"/>
          <w:szCs w:val="32"/>
          <w:highlight w:val="none"/>
        </w:rPr>
        <w:t>万元。与202</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年相比</w:t>
      </w:r>
      <w:r>
        <w:rPr>
          <w:rFonts w:hint="default" w:ascii="Times New Roman" w:hAnsi="Times New Roman" w:eastAsia="方正仿宋_GBK" w:cs="Times New Roman"/>
          <w:sz w:val="32"/>
          <w:szCs w:val="32"/>
          <w:highlight w:val="none"/>
          <w:lang w:eastAsia="zh-CN"/>
        </w:rPr>
        <w:t>增加</w:t>
      </w:r>
      <w:r>
        <w:rPr>
          <w:rFonts w:hint="default" w:ascii="Times New Roman" w:hAnsi="Times New Roman" w:eastAsia="方正仿宋_GBK" w:cs="Times New Roman"/>
          <w:sz w:val="32"/>
          <w:szCs w:val="32"/>
          <w:highlight w:val="none"/>
          <w:lang w:val="en-US" w:eastAsia="zh-CN"/>
        </w:rPr>
        <w:t>78</w:t>
      </w:r>
      <w:r>
        <w:rPr>
          <w:rFonts w:hint="default" w:ascii="Times New Roman" w:hAnsi="Times New Roman" w:eastAsia="方正仿宋_GBK" w:cs="Times New Roman"/>
          <w:sz w:val="32"/>
          <w:szCs w:val="32"/>
          <w:highlight w:val="none"/>
        </w:rPr>
        <w:t>万元，其中，因公出国（境）费</w:t>
      </w:r>
      <w:r>
        <w:rPr>
          <w:rFonts w:hint="default" w:ascii="Times New Roman" w:hAnsi="Times New Roman" w:eastAsia="方正仿宋_GBK" w:cs="Times New Roman"/>
          <w:sz w:val="32"/>
          <w:szCs w:val="32"/>
          <w:highlight w:val="none"/>
          <w:lang w:eastAsia="zh-CN"/>
        </w:rPr>
        <w:t>增加</w:t>
      </w:r>
      <w:r>
        <w:rPr>
          <w:rFonts w:hint="default" w:ascii="Times New Roman" w:hAnsi="Times New Roman" w:eastAsia="方正仿宋_GBK" w:cs="Times New Roman"/>
          <w:sz w:val="32"/>
          <w:szCs w:val="32"/>
          <w:highlight w:val="none"/>
          <w:lang w:val="en-US" w:eastAsia="zh-CN"/>
        </w:rPr>
        <w:t>535</w:t>
      </w:r>
      <w:r>
        <w:rPr>
          <w:rFonts w:hint="default" w:ascii="Times New Roman" w:hAnsi="Times New Roman" w:eastAsia="方正仿宋_GBK" w:cs="Times New Roman"/>
          <w:sz w:val="32"/>
          <w:szCs w:val="32"/>
          <w:highlight w:val="none"/>
        </w:rPr>
        <w:t>万元，公务用车购置及运维费</w:t>
      </w:r>
      <w:r>
        <w:rPr>
          <w:rFonts w:hint="default" w:ascii="Times New Roman" w:hAnsi="Times New Roman" w:eastAsia="方正仿宋_GBK" w:cs="Times New Roman"/>
          <w:sz w:val="32"/>
          <w:szCs w:val="32"/>
          <w:highlight w:val="none"/>
          <w:lang w:eastAsia="zh-CN"/>
        </w:rPr>
        <w:t>减少</w:t>
      </w:r>
      <w:r>
        <w:rPr>
          <w:rFonts w:hint="default" w:ascii="Times New Roman" w:hAnsi="Times New Roman" w:eastAsia="方正仿宋_GBK" w:cs="Times New Roman"/>
          <w:sz w:val="32"/>
          <w:szCs w:val="32"/>
          <w:highlight w:val="none"/>
          <w:lang w:val="en-US" w:eastAsia="zh-CN"/>
        </w:rPr>
        <w:t>341</w:t>
      </w:r>
      <w:r>
        <w:rPr>
          <w:rFonts w:hint="default" w:ascii="Times New Roman" w:hAnsi="Times New Roman" w:eastAsia="方正仿宋_GBK" w:cs="Times New Roman"/>
          <w:sz w:val="32"/>
          <w:szCs w:val="32"/>
          <w:highlight w:val="none"/>
        </w:rPr>
        <w:t>万元，公务接待费</w:t>
      </w:r>
      <w:r>
        <w:rPr>
          <w:rFonts w:hint="default" w:ascii="Times New Roman" w:hAnsi="Times New Roman" w:eastAsia="方正仿宋_GBK" w:cs="Times New Roman"/>
          <w:sz w:val="32"/>
          <w:szCs w:val="32"/>
          <w:highlight w:val="none"/>
          <w:lang w:eastAsia="zh-CN"/>
        </w:rPr>
        <w:t>减少</w:t>
      </w:r>
      <w:r>
        <w:rPr>
          <w:rFonts w:hint="default" w:ascii="Times New Roman" w:hAnsi="Times New Roman" w:eastAsia="方正仿宋_GBK" w:cs="Times New Roman"/>
          <w:sz w:val="32"/>
          <w:szCs w:val="32"/>
          <w:highlight w:val="none"/>
          <w:lang w:val="en-US" w:eastAsia="zh-CN"/>
        </w:rPr>
        <w:t>116</w:t>
      </w:r>
      <w:r>
        <w:rPr>
          <w:rFonts w:hint="default" w:ascii="Times New Roman" w:hAnsi="Times New Roman" w:eastAsia="方正仿宋_GBK" w:cs="Times New Roman"/>
          <w:sz w:val="32"/>
          <w:szCs w:val="32"/>
          <w:highlight w:val="none"/>
        </w:rPr>
        <w:t>万元。增减变化原因为疫情影响、机构增加、新区规划编制发展活动增加。</w:t>
      </w:r>
    </w:p>
    <w:p>
      <w:pPr>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五、预算绩效信息</w:t>
      </w:r>
    </w:p>
    <w:p>
      <w:pPr>
        <w:pStyle w:val="5"/>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1. 提高办公食宿保障水平，加强机关事务服务标准化建设；加强新区本级公务用车管理，提高公务出行保障水平；提升市民中心安防等级，强化园区安全管理；开展节约型机关创建，推进机关资源节约工作高质量发展；保证外事工作开展，宣介新区建设成果；筹建新区临时档案馆，提高档案管理及数字化水平；依法加强政府信息公开，推进民主法治建设；推进电子政务网络建设，确保涉密文件运转安全高效；强化涉密服务及通讯管理，全面提高新区涉密信息安全。</w:t>
      </w:r>
    </w:p>
    <w:p>
      <w:pPr>
        <w:pStyle w:val="5"/>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2. 认真贯彻新时代党的建设总体要求和新时代党的组织路线，紧扣加快实现新区“五新”目标，深入贯彻落实省第十次党代会和新区党代表会议精神，坚持党建引领、作风保障，坚持质效第一、落实为要，着力提升基层党组织力，着力建设稳定可靠的基础骨干队伍，着力集聚承接疏解创新创业新人才，着力创新体制机制，着力拖进平安雄安、法治雄安建设，团结和凝聚社会各界力量，为新区高标准建设、高质量发展提供坚强保证。</w:t>
      </w:r>
    </w:p>
    <w:p>
      <w:pPr>
        <w:pStyle w:val="5"/>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3. 统筹协调意识形态工作；新闻宣传、对外宣传和社会舆论引导；互联网信息内容管理、网络安全监管和协调推进信息化建设发展；文化文艺工作和文化事业产业发展；提升全新区精神文明建设</w:t>
      </w:r>
    </w:p>
    <w:p>
      <w:pPr>
        <w:pStyle w:val="5"/>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4.建设高标准“智慧财政”，为实现新区高质量发展提供坚实治理基础和保障；培育高端高新产业，集聚创新要素资源；围绕各项重点工作事项，切实抓好组织好开展好各项工作；围绕新区规划建设工作大局，深化新区金融改革工作；统筹“信息、咨询、监督”三大职能为主线，强基固本、凝心聚力，不断完善统计治理体制机制，提高统计管理能力水平；加快雄安新区产业布局发展；加快智能城市建设；深入谋划新区“十四五”规划，推进新区规划建设。</w:t>
      </w:r>
    </w:p>
    <w:p>
      <w:pPr>
        <w:pStyle w:val="5"/>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5. 用于规划编制与城市设计、交通运输、工程建设、消防事务管理、人民防空建设、林业水利建设、市政公用行业监管、自然资源管理、项目审批管理、不动产登记管理、地理测绘、地质勘察、信息化建设、城市管理、基础设施委托运营类项目。资金分布全面适应新区承接北京非首都功能疏解和大规模开发建设同步推进重要历史阶段，围绕“八个聚焦、八个聚力”和“五新”目标思想，全面优化完善城市规划设计，科学推动规划落实。加快交通规划实施和骨干路网建设，推动形成全域绿色和智能交通布局。建立完善工程建设监管体制，强化工程质量、安全监管。推动水利和绿化工程建设、市政行业监管，建立城市管理机制，加强基础设施委托运营，大力完善城市功能。优化国土空间管理，全力推动土地供应和政策落地。优化项目审批流程，实现项目全生命周期场景服务。理顺不动产登记中心管理机制，持续提升人民群众获得感。深化信息系统改革，加快指标体系建设，形成BIM+应用新模式。</w:t>
      </w:r>
    </w:p>
    <w:p>
      <w:pPr>
        <w:pStyle w:val="5"/>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6. 展现新区雏形、承接疏解落地见效的关键之年，各项工作到了爬坡过坎、攻坚克难的关键阶段，必须切实增强使命感、责任感、紧迫感，紧紧围绕开好局、紧在前，集中力量去攻坚，坚持不懈抓落实，凝心聚力求突破。今年各项工作总的要求是：坚持以习近平新时代中国特色社会主义思想为指导，深入学习贯彻党的</w:t>
      </w:r>
      <w:r>
        <w:rPr>
          <w:rFonts w:hint="eastAsia" w:cs="Times New Roman"/>
          <w:sz w:val="32"/>
          <w:szCs w:val="32"/>
          <w:highlight w:val="none"/>
          <w:lang w:eastAsia="zh-CN"/>
        </w:rPr>
        <w:t>二十</w:t>
      </w:r>
      <w:r>
        <w:rPr>
          <w:rFonts w:hint="default" w:ascii="Times New Roman" w:hAnsi="Times New Roman" w:cs="Times New Roman"/>
          <w:sz w:val="32"/>
          <w:szCs w:val="32"/>
          <w:highlight w:val="none"/>
        </w:rPr>
        <w:t>大和历次全会精神，全面落实习近平总书记关于规划建设雄安新区系列重要讲话和重要指示批示精神，认真落实省第十次党代会精神，弘扬伟大建党精神，坚持稳中求进工作总基调，立足新发展阶段，完整、准确、全面贯彻新发展理念，服务和融入新发展格局，统筹推进“五位一体”总体布局和协调推进“四个全面”战略布局，统筹常态化疫情防控和经济社会发展，统筹发展和安全，统筹当前和长远，统筹速度和质量，紧紧围绕打造北京非首都功能疏解集中承载地，以推动高质量发展为主题，以改革创新为根本动力，以满足人民日益增长的美好生活需要为根本目的，以推动实现“五新”目标为抓手，深入实施“八个聚焦、八个聚力”，紧盯202</w:t>
      </w:r>
      <w:r>
        <w:rPr>
          <w:rFonts w:hint="default" w:ascii="Times New Roman" w:hAnsi="Times New Roman" w:cs="Times New Roman"/>
          <w:sz w:val="32"/>
          <w:szCs w:val="32"/>
          <w:highlight w:val="none"/>
          <w:lang w:val="en-US" w:eastAsia="zh-CN"/>
        </w:rPr>
        <w:t>3</w:t>
      </w:r>
      <w:r>
        <w:rPr>
          <w:rFonts w:hint="default" w:ascii="Times New Roman" w:hAnsi="Times New Roman" w:cs="Times New Roman"/>
          <w:sz w:val="32"/>
          <w:szCs w:val="32"/>
          <w:highlight w:val="none"/>
        </w:rPr>
        <w:t>年底节点目标，奋力攻坚启动区主战场，全力加快重点项目建设。</w:t>
      </w:r>
    </w:p>
    <w:p>
      <w:pPr>
        <w:pStyle w:val="5"/>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7.充分发挥“牵头抓总、协调服务、政策把关、督导落实”作用，稳妥完成征迁安置任务；切实抓好国土资源调查和管理，积极开展国土空间生态修复规划（2021年-2035年）编制，以第三次国土调查国家级核查整改及数据分析为基础，开展市级汇交数据库建设；加强地质灾害防治和矿产资源保护，做好地质与矿产资源监督管理；对食品药品、保健品、网络交易、价格、质量计量、成品油等重点领域违法行为加大执法监督力度，维护新区市场秩序；推进“双随机</w:t>
      </w:r>
      <w:r>
        <w:rPr>
          <w:rFonts w:hint="eastAsia" w:cs="Times New Roman"/>
          <w:sz w:val="32"/>
          <w:szCs w:val="32"/>
          <w:highlight w:val="none"/>
          <w:lang w:eastAsia="zh-CN"/>
        </w:rPr>
        <w:t>、</w:t>
      </w:r>
      <w:bookmarkStart w:id="0" w:name="_GoBack"/>
      <w:bookmarkEnd w:id="0"/>
      <w:r>
        <w:rPr>
          <w:rFonts w:hint="default" w:ascii="Times New Roman" w:hAnsi="Times New Roman" w:cs="Times New Roman"/>
          <w:sz w:val="32"/>
          <w:szCs w:val="32"/>
          <w:highlight w:val="none"/>
        </w:rPr>
        <w:t>一公开”监管改革，全方位加强知识产权保护；市场综合管理和执法工作成效显著，违规违法和假冒伪劣现象得到有效遏制；持续科学管控，分类有序处置，为新区规划建设打牢坚实基础。</w:t>
      </w:r>
    </w:p>
    <w:p>
      <w:pPr>
        <w:pStyle w:val="5"/>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8. 深入贯彻落实习近平生态文明思想，深入学习领会省第十次代表大会和新区第一次党代表会议精神，紧紧围绕“加快建设绿色低碳、生态优美的现代化河北”、“生态新形象”目标要求，统筹保护与建设、治污与发展、执法与服务，强化底线思维，树牢风险意识，认真发挥生态环保铁军作用，以更高标准打好蓝天、碧水、净土保卫战，以更高水平推动雄安新区生态环境治理和规划建设高质量发展，切实为建设新时代生态文明典范城市厚植绿色底线，为优美现代化河北和雄安优美生态新形象贡献环保力量。</w:t>
      </w:r>
    </w:p>
    <w:p>
      <w:pPr>
        <w:pStyle w:val="5"/>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9. 严格落实安全生产责任制，坚决防范化解各类安全风险，不断加大安全监管力度，全面提升综合防灾减灾救灾能力，持续加强应急管理体系和能力建设，全面提升应急管理科技与信息化水平，筑牢夯实应急管理基层基础，推动健全新建片区管委会应急管理体制机制，</w:t>
      </w:r>
    </w:p>
    <w:p>
      <w:pPr>
        <w:pStyle w:val="5"/>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10. 按照党工委管委会安排部署，加快推进综保区项目建设和申报工作，并以综保区和跨境电商综试区为载体，通过相关政策补贴补助以及开展相关课题调查研究，加快推进保税物流、保税研发、跨境电商等业态高质量发展。同时，给予雄安海关相应补贴，与海关协同做好综保区申报和“两区一园”海关监管工作。此外，对自贸委门户网站进行运营维护。与律师事务所合作，聘请法律顾问，提高依法行政水平。</w:t>
      </w:r>
    </w:p>
    <w:p>
      <w:pPr>
        <w:pStyle w:val="5"/>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11. 统筹制定启动区区域级、片区级、项目级建设实施方案，指导施工组织与管理、施工准备与实施、施工控制与协调、资源配置与使用等全面性的工作计划，保障启动区建设有序推进。资金用于对</w:t>
      </w:r>
      <w:r>
        <w:rPr>
          <w:rFonts w:hint="eastAsia" w:cs="Times New Roman"/>
          <w:sz w:val="32"/>
          <w:szCs w:val="32"/>
          <w:highlight w:val="none"/>
          <w:lang w:eastAsia="zh-CN"/>
        </w:rPr>
        <w:t>相关</w:t>
      </w:r>
      <w:r>
        <w:rPr>
          <w:rFonts w:hint="default" w:ascii="Times New Roman" w:hAnsi="Times New Roman" w:cs="Times New Roman"/>
          <w:sz w:val="32"/>
          <w:szCs w:val="32"/>
          <w:highlight w:val="none"/>
        </w:rPr>
        <w:t>研究进行委托。</w:t>
      </w:r>
    </w:p>
    <w:p>
      <w:pPr>
        <w:pStyle w:val="5"/>
        <w:rPr>
          <w:rFonts w:hint="default" w:ascii="Times New Roman" w:hAnsi="Times New Roman" w:cs="Times New Roman"/>
          <w:sz w:val="32"/>
          <w:szCs w:val="32"/>
          <w:highlight w:val="none"/>
          <w:lang w:eastAsia="zh-CN"/>
        </w:rPr>
      </w:pPr>
      <w:r>
        <w:rPr>
          <w:rFonts w:hint="default" w:ascii="Times New Roman" w:hAnsi="Times New Roman" w:cs="Times New Roman"/>
          <w:sz w:val="32"/>
          <w:szCs w:val="32"/>
          <w:highlight w:val="none"/>
        </w:rPr>
        <w:t>12.完成上级领导及来宾接待工作，以周到热情的服务赢得接待对象的好评与满意</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按照新区党工委管委会领导要求，组织好新区党政代表团外出学习考察活动，确保严密规范、优质高效。</w:t>
      </w:r>
    </w:p>
    <w:p>
      <w:pPr>
        <w:pStyle w:val="5"/>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lang w:eastAsia="zh-CN"/>
        </w:rPr>
        <w:t>13.</w:t>
      </w:r>
      <w:r>
        <w:rPr>
          <w:rFonts w:hint="default" w:ascii="Times New Roman" w:hAnsi="Times New Roman" w:cs="Times New Roman"/>
          <w:sz w:val="32"/>
          <w:szCs w:val="32"/>
          <w:highlight w:val="none"/>
        </w:rPr>
        <w:t>以“科技创新年”为牵引，坚持依法理财、改革突破、防范风险，总体绩效目标是落实积极财政政策、继续加强制度建设、推进科技创新、深化管理改革、加强财政干部队伍建设。努力打造新区财政一流铁军、一流治理、一流绩效。</w:t>
      </w:r>
    </w:p>
    <w:p>
      <w:pPr>
        <w:pStyle w:val="5"/>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lang w:eastAsia="zh-CN"/>
        </w:rPr>
        <w:t>14</w:t>
      </w:r>
      <w:r>
        <w:rPr>
          <w:rFonts w:hint="default" w:ascii="Times New Roman" w:hAnsi="Times New Roman" w:cs="Times New Roman"/>
          <w:sz w:val="32"/>
          <w:szCs w:val="32"/>
          <w:highlight w:val="none"/>
        </w:rPr>
        <w:t>.完成规划成果出版、工作营、技术审查、信息化建设等项目。资金分布全面适应新区承接北京非首都功能疏解和大规模开发建设同步推进重要历史阶段，围绕“八个聚焦、八个聚力”和“五新”目标思想，继续发挥专业优势，高质量做好各类技术审查任务，为新区的规划建设和项目落地提供技术支撑。</w:t>
      </w:r>
    </w:p>
    <w:p>
      <w:pPr>
        <w:pStyle w:val="5"/>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1</w:t>
      </w:r>
      <w:r>
        <w:rPr>
          <w:rFonts w:hint="default" w:ascii="Times New Roman" w:hAnsi="Times New Roman" w:cs="Times New Roman"/>
          <w:sz w:val="32"/>
          <w:szCs w:val="32"/>
          <w:highlight w:val="none"/>
          <w:lang w:eastAsia="zh-CN"/>
        </w:rPr>
        <w:t>5</w:t>
      </w:r>
      <w:r>
        <w:rPr>
          <w:rFonts w:hint="default" w:ascii="Times New Roman" w:hAnsi="Times New Roman" w:cs="Times New Roman"/>
          <w:sz w:val="32"/>
          <w:szCs w:val="32"/>
          <w:highlight w:val="none"/>
        </w:rPr>
        <w:t>. 对建设工程质量管理和施工安全提供技术检测，对建设工程质量安全事故进行技术调查分析；承担安全施工、文明施工、绿色施工、扬尘治理、结构优质工程创建技术服务工作；对建设工程实体质量安全问题提供技术咨询；承担从事建设工程施工活动的安管人员和建筑施工特种作业人员的安全教育培训。</w:t>
      </w:r>
    </w:p>
    <w:p>
      <w:pPr>
        <w:pStyle w:val="5"/>
        <w:rPr>
          <w:rFonts w:hint="default" w:ascii="Times New Roman" w:hAnsi="Times New Roman" w:cs="Times New Roman"/>
          <w:sz w:val="32"/>
          <w:szCs w:val="32"/>
          <w:highlight w:val="none"/>
          <w:lang w:eastAsia="zh-CN"/>
        </w:rPr>
      </w:pPr>
      <w:r>
        <w:rPr>
          <w:rFonts w:hint="default" w:ascii="Times New Roman" w:hAnsi="Times New Roman" w:cs="Times New Roman"/>
          <w:sz w:val="32"/>
          <w:szCs w:val="32"/>
          <w:highlight w:val="none"/>
        </w:rPr>
        <w:t>1</w:t>
      </w:r>
      <w:r>
        <w:rPr>
          <w:rFonts w:hint="default" w:ascii="Times New Roman" w:hAnsi="Times New Roman" w:cs="Times New Roman"/>
          <w:sz w:val="32"/>
          <w:szCs w:val="32"/>
          <w:highlight w:val="none"/>
          <w:lang w:eastAsia="zh-CN"/>
        </w:rPr>
        <w:t>6</w:t>
      </w:r>
      <w:r>
        <w:rPr>
          <w:rFonts w:hint="default" w:ascii="Times New Roman" w:hAnsi="Times New Roman" w:cs="Times New Roman"/>
          <w:sz w:val="32"/>
          <w:szCs w:val="32"/>
          <w:highlight w:val="none"/>
        </w:rPr>
        <w:t>. 着重做好“唱好政务服务审批大戏”的工作，推动政务服务中心建设上档升级。以构建具有新区特色的审批服务体系为载体，开展一系列工作，概括起来就是“一台、二接、三化、四区、五零”工程。努力打造一个高效智慧的网上政务服务平台, 全力承接好河北省政府下放和保定市政府移交的行政审批事项, 全面提升政务服务“制度化、规范化、标准化”水平, 全面优化中心“办照区、办证区、联审区、公共资源交易区”四大板块功能。努力实现“服务受理零推诿、服务方式零距离、服务质量零差错、服务办理零延误、服务结果零投诉”五零工作目标。按照国家有关公共资源交易方面的法律法规、公共资源交易平台体系建设要求和我省关于公共资源交易的政策规定，坚持简政放权、放管结合、优化服务的改革方向，着力推进公共资源交易全过程标准化、规范化建设，建立健全适应新区公共资源交易事业发展需要的体制机制，完善公共资源交易标准体系。</w:t>
      </w:r>
    </w:p>
    <w:p>
      <w:pPr>
        <w:pStyle w:val="5"/>
        <w:rPr>
          <w:rFonts w:hint="default" w:ascii="Times New Roman" w:hAnsi="Times New Roman" w:cs="Times New Roman"/>
          <w:sz w:val="32"/>
          <w:szCs w:val="32"/>
          <w:highlight w:val="none"/>
          <w:lang w:eastAsia="zh-CN"/>
        </w:rPr>
      </w:pPr>
      <w:r>
        <w:rPr>
          <w:rFonts w:hint="default" w:ascii="Times New Roman" w:hAnsi="Times New Roman" w:cs="Times New Roman"/>
          <w:sz w:val="32"/>
          <w:szCs w:val="32"/>
          <w:highlight w:val="none"/>
          <w:lang w:eastAsia="zh-CN"/>
        </w:rPr>
        <w:t>17.</w:t>
      </w:r>
      <w:r>
        <w:rPr>
          <w:rFonts w:hint="default" w:ascii="Times New Roman" w:hAnsi="Times New Roman" w:cs="Times New Roman"/>
          <w:sz w:val="32"/>
          <w:szCs w:val="32"/>
          <w:highlight w:val="none"/>
        </w:rPr>
        <w:t>坚持以习近平新时代中国特色社会主义思想为指导，坚决落实省委、省政府总体要求，严格按照新区党工委、管委会部署安排，进一步把“征迁安置、土地储备管理、土地一级开发、选房分房”四项重点工作做实，保障重点项目建设用地需求。充分发挥“牵头抓总、协调服务、政策把关、督导落实”作用，稳妥完成征迁安置任务；细化储备土地管理台账，完善管理制度，落实常态化管护措施，规范开展储备土地管护工作，确保土地合法权利不受侵害；认真组织开展土地一级开发，协调征迁村庄拆除、管线迁改、临道建设等工作，保障新区建设项目用地达到进场施工基本条件；完善选房分房政策体系和工作预案，优化工作流程，压茬推进容东第二批、雄东首批以及后续各批次安置住房分配准备工作，高标准、高质量完成安置住房分配任务；依据相关税法要求，及时足额缴纳耕地占用税，进一步提升新区财政收入。</w:t>
      </w:r>
    </w:p>
    <w:p>
      <w:pPr>
        <w:pStyle w:val="5"/>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1</w:t>
      </w:r>
      <w:r>
        <w:rPr>
          <w:rFonts w:hint="default" w:ascii="Times New Roman" w:hAnsi="Times New Roman" w:cs="Times New Roman"/>
          <w:sz w:val="32"/>
          <w:szCs w:val="32"/>
          <w:highlight w:val="none"/>
          <w:lang w:eastAsia="zh-CN"/>
        </w:rPr>
        <w:t>8</w:t>
      </w:r>
      <w:r>
        <w:rPr>
          <w:rFonts w:hint="default" w:ascii="Times New Roman" w:hAnsi="Times New Roman" w:cs="Times New Roman"/>
          <w:sz w:val="32"/>
          <w:szCs w:val="32"/>
          <w:highlight w:val="none"/>
        </w:rPr>
        <w:t>.用于保障投资促进服务中心正常运转,举办投促推介宣传活动。</w:t>
      </w:r>
    </w:p>
    <w:p>
      <w:pPr>
        <w:pStyle w:val="5"/>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1</w:t>
      </w:r>
      <w:r>
        <w:rPr>
          <w:rFonts w:hint="default" w:ascii="Times New Roman" w:hAnsi="Times New Roman" w:cs="Times New Roman"/>
          <w:sz w:val="32"/>
          <w:szCs w:val="32"/>
          <w:highlight w:val="none"/>
          <w:lang w:eastAsia="zh-CN"/>
        </w:rPr>
        <w:t>9</w:t>
      </w:r>
      <w:r>
        <w:rPr>
          <w:rFonts w:hint="default" w:ascii="Times New Roman" w:hAnsi="Times New Roman" w:cs="Times New Roman"/>
          <w:sz w:val="32"/>
          <w:szCs w:val="32"/>
          <w:highlight w:val="none"/>
        </w:rPr>
        <w:t>.围绕加快形成新形象、建设新功能、发展新产业、聚集新人才、构建新机制的“五新”目标，充分发挥新区住房市场空间和住房政策优势，逐步建立新区专业高效，配套完善，竞争有序，稳健规范的住房保障体系，全力支持新区承接北京非首都功能疏解，推动雄安新区高质量发展。</w:t>
      </w:r>
    </w:p>
    <w:p>
      <w:pPr>
        <w:pStyle w:val="5"/>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lang w:eastAsia="zh-CN"/>
        </w:rPr>
        <w:t>20</w:t>
      </w:r>
      <w:r>
        <w:rPr>
          <w:rFonts w:hint="default" w:ascii="Times New Roman" w:hAnsi="Times New Roman" w:cs="Times New Roman"/>
          <w:sz w:val="32"/>
          <w:szCs w:val="32"/>
          <w:highlight w:val="none"/>
        </w:rPr>
        <w:t>.负责信访工作，及时妥善处理群众通过信访渠道提出的信访事项。</w:t>
      </w:r>
    </w:p>
    <w:p>
      <w:pPr>
        <w:pStyle w:val="5"/>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lang w:eastAsia="zh-CN"/>
        </w:rPr>
        <w:t>21</w:t>
      </w:r>
      <w:r>
        <w:rPr>
          <w:rFonts w:hint="default" w:ascii="Times New Roman" w:hAnsi="Times New Roman" w:cs="Times New Roman"/>
          <w:sz w:val="32"/>
          <w:szCs w:val="32"/>
          <w:highlight w:val="none"/>
        </w:rPr>
        <w:t>.坚持政治站位，深入学习贯彻习近平总书记重要讲话精神，切实增强推进新区建设发展的思想自觉和行动自觉, 坚持机制创新，不断强化组织实施和协调落实，扎实推进片区开发和工程项目高标准高质量高效率建设。坚持聚焦重点，以工程项目建设为抓手，有力有序推进新区重点片区开发和重点项目建设。坚持精准服务，进一步优化营商环境，全力促进各类市场化项目多点开花。</w:t>
      </w:r>
    </w:p>
    <w:p>
      <w:pPr>
        <w:pStyle w:val="5"/>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lang w:eastAsia="zh-CN"/>
        </w:rPr>
        <w:t>22</w:t>
      </w:r>
      <w:r>
        <w:rPr>
          <w:rFonts w:hint="default" w:ascii="Times New Roman" w:hAnsi="Times New Roman" w:cs="Times New Roman"/>
          <w:sz w:val="32"/>
          <w:szCs w:val="32"/>
          <w:highlight w:val="none"/>
        </w:rPr>
        <w:t>.对新区财政投资项目的可行性提出评审意见；参与财政投资项目的工程概（预）算审核及结算、工程竣工财务决算评审工作；负责组织专家等第三方力量开展评审工作；对项目评审过程中发现的重大问题提出意见和建议</w:t>
      </w:r>
    </w:p>
    <w:p>
      <w:pPr>
        <w:pStyle w:val="5"/>
        <w:rPr>
          <w:rFonts w:hint="default" w:ascii="Times New Roman" w:hAnsi="Times New Roman" w:cs="Times New Roman"/>
          <w:sz w:val="32"/>
          <w:szCs w:val="32"/>
          <w:highlight w:val="none"/>
          <w:lang w:eastAsia="zh-CN"/>
        </w:rPr>
      </w:pPr>
      <w:r>
        <w:rPr>
          <w:rFonts w:hint="default" w:ascii="Times New Roman" w:hAnsi="Times New Roman" w:cs="Times New Roman"/>
          <w:sz w:val="32"/>
          <w:szCs w:val="32"/>
          <w:highlight w:val="none"/>
        </w:rPr>
        <w:t>23. 用于统筹制定启动区区域级、片区级、项目级建设实施方案，指导施工组织与管理、施工准备与实施、施工控制与协调、资源配置与使用等全面性的工作计划，保障启动区建设有序推进。资金用于对次研究进行委托。聚焦启动区“显雏形、出形象”目标要求，对照启动区项目建设进度，充分总结启动区开发建设过程中的成果、实战经验和教训，为下一步开发建设提供借鉴参考。资金用于对此研究进行委托。</w:t>
      </w:r>
    </w:p>
    <w:p>
      <w:pPr>
        <w:pStyle w:val="5"/>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六、政府采购预算情况</w:t>
      </w:r>
    </w:p>
    <w:p>
      <w:pPr>
        <w:autoSpaceDE w:val="0"/>
        <w:autoSpaceDN w:val="0"/>
        <w:adjustRightInd w:val="0"/>
        <w:ind w:firstLine="640" w:firstLineChars="2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年雄安新区管委会安排政府采购预算</w:t>
      </w:r>
      <w:r>
        <w:rPr>
          <w:rFonts w:hint="default" w:ascii="Times New Roman" w:hAnsi="Times New Roman" w:eastAsia="方正仿宋_GBK" w:cs="Times New Roman"/>
          <w:sz w:val="32"/>
          <w:szCs w:val="32"/>
          <w:highlight w:val="none"/>
          <w:lang w:val="en-US" w:eastAsia="zh-CN"/>
        </w:rPr>
        <w:t>82025.93</w:t>
      </w:r>
      <w:r>
        <w:rPr>
          <w:rFonts w:hint="default" w:ascii="Times New Roman" w:hAnsi="Times New Roman" w:eastAsia="方正仿宋_GBK" w:cs="Times New Roman"/>
          <w:sz w:val="32"/>
          <w:szCs w:val="32"/>
          <w:highlight w:val="none"/>
        </w:rPr>
        <w:t>万元，具体内容见下表：</w:t>
      </w:r>
    </w:p>
    <w:tbl>
      <w:tblPr>
        <w:tblStyle w:val="2"/>
        <w:tblW w:w="15096" w:type="dxa"/>
        <w:tblInd w:w="-3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0"/>
        <w:gridCol w:w="1987"/>
        <w:gridCol w:w="1359"/>
        <w:gridCol w:w="815"/>
        <w:gridCol w:w="730"/>
        <w:gridCol w:w="696"/>
        <w:gridCol w:w="1104"/>
        <w:gridCol w:w="1112"/>
        <w:gridCol w:w="756"/>
        <w:gridCol w:w="662"/>
        <w:gridCol w:w="662"/>
        <w:gridCol w:w="697"/>
        <w:gridCol w:w="1002"/>
        <w:gridCol w:w="815"/>
        <w:gridCol w:w="1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96" w:type="dxa"/>
            <w:gridSpan w:val="15"/>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部门政府采购预算表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30"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w:t>
            </w:r>
          </w:p>
        </w:tc>
        <w:tc>
          <w:tcPr>
            <w:tcW w:w="1987"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69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10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11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5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66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66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69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00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884" w:type="dxa"/>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部门名称（单位名称）</w:t>
            </w:r>
          </w:p>
        </w:tc>
        <w:tc>
          <w:tcPr>
            <w:tcW w:w="19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项目名称</w:t>
            </w:r>
          </w:p>
        </w:tc>
        <w:tc>
          <w:tcPr>
            <w:tcW w:w="1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采购物品目录序号、物品名称</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计量单位</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单价</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数量</w:t>
            </w:r>
          </w:p>
        </w:tc>
        <w:tc>
          <w:tcPr>
            <w:tcW w:w="499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政府采购金额（当年部门预算安排资金）</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结转结余</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预留份额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highlight w:val="none"/>
                <w:u w:val="none"/>
              </w:rPr>
            </w:pPr>
          </w:p>
        </w:tc>
        <w:tc>
          <w:tcPr>
            <w:tcW w:w="198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highlight w:val="none"/>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highlight w:val="none"/>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highlight w:val="none"/>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highlight w:val="none"/>
                <w:u w:val="none"/>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合计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一般公共预算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政府性基金预算</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国有资本经营预算</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财政专户管理</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单位资金</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财政拨款结转结余</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非财政拨款结转结余</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中小微企业预留份额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highlight w:val="none"/>
                <w:u w:val="none"/>
              </w:rPr>
            </w:pPr>
          </w:p>
        </w:tc>
        <w:tc>
          <w:tcPr>
            <w:tcW w:w="19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highlight w:val="none"/>
                <w:u w:val="none"/>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highlight w:val="none"/>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highlight w:val="none"/>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highlight w:val="none"/>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highlight w:val="none"/>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小计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小计</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小计</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highlight w:val="none"/>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小计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小计</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小计</w:t>
            </w: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82025.93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77324.52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4701.41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21221.54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26568.86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26362.69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206.17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1452.72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26568.86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26362.69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206.17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1452.72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2023年公用经费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[A07100300]纸制品</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2023年公用经费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新区节能机关创建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97.00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97.00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97.00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档案管理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[C06030300]图书馆和档案馆服务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53.00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53.00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53.00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涉密设备采购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[A02010699]其他机房辅助设备</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56.17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56.17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56.17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办公及配套场所保障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6888.60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6888.60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6888.60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办公及配套场所保障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[B01010000]办公用房施工</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290.00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290.00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290.00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办公及配套场所保障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[C21020000]房屋租赁服务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15944.40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15944.40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15944.40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办公及配套场所保障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[A05010800]组合家具</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115.00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机关运转保障服务项目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公务用车购置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[A02030899]其他电动车辆</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270.00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270.00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公务用车购置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[A02030504]中型客车</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政务辅助服务项目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350.00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350.00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350.00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机关运转购买服务项目（四类服务）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[C22010200]一般会议服务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118.87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118.87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118.87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45.87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机关运转购买服务项目（四类服务）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[C20030300]法律咨询服务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机关运转购买服务项目（四类服务）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[C23170000]摄影服务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印刷服务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[C23090199]其他印刷服务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280.00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280.00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280.00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公文交换智能中心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[C16050000]信息化工程监理服务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公文交换智能中心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[A02019900]其他信息化设备</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131.50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131.50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131.50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机房建设及内网改造项目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[C11990000]其他工程管理服务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34.19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34.19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34.19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专业服务及运维保障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[A07100300]纸制品</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91.85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91.85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91.85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专业服务及运维保障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[C16070200]硬件运维服务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139.08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139.08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139.08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专业服务及运维保障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[C16070300]软件运维服务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191.20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191.20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191.20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党政专用电视会议系统建设项目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[C11030000]装修设计服务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46.76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46.76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46.76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党政专用电视会议系统建设项目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[C16020100]基础环境集成实施服务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32.14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32.14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32.14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党政专用电视会议系统建设项目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[A02019900]其他信息化设备</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套</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643.10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643.10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643.10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专用设备采购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[A02010312]密码产品</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251.00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251.00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251.00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河北雄安新区党工委管委会党政办公室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线路租赁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[C17010200]网络接入服务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145.00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河北雄安新区党工委管委会党群工作部-合计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6299.62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6264.55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35.07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1010.83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河北雄安新区党工委管委会党群工作部-小计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6299.62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6264.55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35.07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1010.83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河北雄安新区党工委管委会党群工作部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政法工作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[C16080300]基础设施运营服务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35.07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35.07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35.07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河北雄安新区党工委管委会党群工作部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党群综合事务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[A02029900]其他办公设备</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111.74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111.74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111.74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111.74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河北雄安新区党工委管委会党群工作部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智慧党建平台二期项目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55.35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55.35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55.35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河北雄安新区党工委管委会党群工作部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智慧党建平台二期项目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[A08060399]其他计算机软件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526.45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526.45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526.45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河北雄安新区党工委管委会党群工作部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投资审计平台二期建设项目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[A02029900]其他办公设备</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350.32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350.32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350.32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河北雄安新区党工委管委会党群工作部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人事工作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河北雄安新区党工委管委会党群工作部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人事工作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[A08060399]其他计算机软件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河北雄安新区党工委管委会党群工作部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人才工作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737.00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737.00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737.00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河北雄安新区党工委管委会党群工作部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人才工作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[C22990000]其他会议、展览、住宿和餐饮服务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23.00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23.00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23.00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河北雄安新区党工委管委会党群工作部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人才引进经费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[C22030000]住宿服务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河北雄安新区党工委管委会党群工作部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审计工作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[C23030000]审计服务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3574.82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3574.82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3574.82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96.09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河北雄安新区党工委管委会党群工作部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审计工作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[C16079900]其他运行维护服务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河北雄安新区党工委管委会党群工作部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政法工作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[C05029900]其他社会治理服务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河北雄安新区党工委管委会党群工作部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政法工作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235.87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235.87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235.87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4173.00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3823.00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350.00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4173.00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3823.00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350.00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文物保护与利用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[C06030400]文物和文化保护服务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75.00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雄安乡愁文化影像资料留存项目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[C06990000]其他文化、体育、娱乐服务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195.00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省级体育彩票公益金专项资金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[C06049900]其他体育服务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场</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雄媒中心运维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[C06010000]新闻服务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雄安发布运维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[C06010000]新闻服务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“影像雄安”拍摄制作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[C06010000]新闻服务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开设河北日报雄安区域版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[C06010000]新闻服务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期</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媒体阵地建设（尾款）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[C06010000]新闻服务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1280.00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1280.00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1280.00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网络舆情全天候监测服务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数据跨境传输安全管理试点建设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49.00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49.00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49.00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应急广播建设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[C06020100]广播服务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社会宣传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白洋淀高铁站广告灯箱租赁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[C06010000]新闻服务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雄安站广告灯箱租赁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135.00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365百姓故事汇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[C06030700]群众文化活动服务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购置“安可”替代产品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[A02021301]碎纸机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0.57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57.00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57.00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《河北画报·画报雄安》杂志项目经费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[C06039900]其他文化艺术服务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87.00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87.00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87.00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文化创作及文艺演出（新春音乐会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[C06030100]艺术创作、表演和交流服务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场</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文物保护与利用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[C06030400]文物和文化保护服务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280.00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280.00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文化服务与旅游行业管理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[C06990000]其他文化、体育、娱乐服务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河北雄安新区党工委管委会宣传网信局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旅游宣传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[C06010000]新闻服务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195.00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河北雄安新区管理委员会改革发展局-合计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2734.45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2194.45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540.00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459.45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河北雄安新区管理委员会改革发展局-小计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2734.45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2194.45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540.00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459.45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河北雄安新区管理委员会改革发展局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第五届河北国际工业设计周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[C22029900]其他展览服务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540.00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540.00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540.00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河北雄安新区管理委员会改革发展局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产业发展专项资金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475.00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475.00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475.00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河北雄安新区管理委员会改革发展局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2023年中国国际数字经济博览会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[C22020100]博览会服务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102.00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102.00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102.00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河北雄安新区管理委员会改革发展局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举办“一赛一周”活动（第六届河北国际工业设计周主会场活动）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[C22029900]其他展览服务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1410.00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1410.00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1410.00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河北雄安新区管理委员会改革发展局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雄安新区政府投资项目审批区块链系统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[C01990000]其他研究和试验开发服务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款</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135.45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135.45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135.45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135.45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河北雄安新区管理委员会改革发展局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统计服务项目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[C01990000]其他研究和试验开发服务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72.00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72.00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72.00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6466.17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6280.47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185.70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3877.87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6466.17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6280.47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185.70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3877.87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2022年医保能力提升补助资金2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68.00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68.00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68.00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2022年医疗服务与保障能力提升补助资金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117.70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117.70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117.70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容东片区医疗卫生筹建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[A02329900]其他医疗设备</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61.00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61.00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61.00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公共卫生服务中心开办运营项目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[A02029900]其他办公设备</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137.84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137.84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137.84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137.84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公共卫生服务中心开办运营项目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[B01010000]办公用房施工</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劳动保障监察（仲裁）经费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万元</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40.45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40.45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40.45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公共服务设施项目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[C21040000]物业管理服务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323.15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323.15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323.15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96.95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政务水平提升购买服务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[C16100000]呼叫中心服务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374.00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374.00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374.00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政务水平提升购买服务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379.00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379.00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379.00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379.00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殡葬服务水平提升购买服务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245.00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245.00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245.00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245.00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“互联网＋政务服务”平台运营管理项目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[C16099900]其他信息技术咨询服务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207.60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207.60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207.60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投资项目审批管理项目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[C20030900]评审咨询服务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86.00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86.00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86.00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2023年公共资源交易辅助购买服务项目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335.00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335.00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335.00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社会信用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[C16990000]其他信息技术服务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142.00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142.00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142.00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公共服务综合保障经费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[A02010105]台式计算机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0.80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143.00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114.40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114.40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公共服务综合保障经费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[A02021003]A4 黑白打印机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0.60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公共服务综合保障经费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[A02010108]便携式计算机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0.80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公共服务综合保障经费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[A02021004]A4 彩色打印机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0.98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0.98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0.98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公共服务综合保障经费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[A02021002]A3 彩色打印机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4.50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4.50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4.50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农业资源保护修复与利用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[C09990000]其他农林牧渔服务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361.55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361.55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361.55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361.55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农业生产发展项目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[C09019900]其他农业服务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425.00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425.00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425.00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中央-渔业成品油价格调整对渔业补助资金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[C09049900]其他渔业服务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中央-医疗服务与保障能力提升补助资金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220.00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220.00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220.00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中央-义务教育薄弱环节改善与提升补助资金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[A02349900]其他安全生产设备</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套</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1563.00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1563.00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1563.00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468.90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中央-城乡义务教育补助经费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[A02349900]其他安全生产设备</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套</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648.00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648.00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648.00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义务教育薄弱环节改善与能力提升资金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[A02349900]其他安全生产设备</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804.00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241.20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河北雄安新区管理委员会公共服务局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城乡义务教育补助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[A02349900]其他安全生产设备</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套</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291.00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291.00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291.00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1319.06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1006.61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312.45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562.81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1319.06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1006.61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312.45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562.81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2022年综合执法局产品质量监督检验项目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[C19010000]技术测试和分析服务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17.64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17.64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17.64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2022-2023年雄安新区卫星遥感即时监测监管服务项目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[C19990000]其他专业技术服务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国土空间生态修复规划（2021-2035）编制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[C19990000]其他专业技术服务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9.60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9.60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9.60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综合执法局法律顾问服务项目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[C23019900]其他法律服务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2023年综合执法局办公设备采购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[A02021003]A4 黑白打印机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0.58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5.22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5.22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2023年综合执法局办公设备采购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[A02010108]便携式计算机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0.96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13.48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13.48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2023年综合执法局办公设备采购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[A02021002]A3 彩色打印机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4.35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8.70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8.70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2023年综合执法局办公设备采购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[A02010105]台式计算机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0.86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68.00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58.67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58.67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2023年综合执法局办公设备采购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[A02021004]A4 彩色打印机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0.62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1.86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1.86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2023-2025年雄安新区地热资源动态监测项目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[C19060000]地质勘测服务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81.02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81.02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81.02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2022-2023年雄安新区卫星遥感即时监测监管服务项目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[C19990000]其他专业技术服务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268.31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268.31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268.31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2023-2024年土地征收转用技术审验服务项目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[C19990000]其他专业技术服务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18.20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18.20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18.20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2022-2023年城乡管理服务中心物业费（含专项物业费）及房屋租赁费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[C21040000]物业管理服务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2022-2023年城乡管理服务中心物业费（含专项物业费）及房屋租赁费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[C21020000]房屋租赁服务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75.21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75.21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75.21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75.21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2023年雄安新区食品安全监督抽检项目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[C19010000]技术测试和分析服务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批次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0.05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3120.00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156.00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156.00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2023年综合执法局产品质量监督检验项目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[C19010000]技术测试和分析服务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63.00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63.00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63.00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雄安新区96365电梯应急救援指挥中心建设项目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[A05010504]保密柜</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组</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0.15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0.15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0.15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雄安新区96365电梯应急救援指挥中心建设项目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[A02021103]LED 显示屏</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0.70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6.30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6.30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雄安新区96365电梯应急救援指挥中心建设项目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[A05010599]其他柜类</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组</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0.10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0.20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0.20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2023年综合执法局保障计量器具强制检定项目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[C19010000]技术测试和分析服务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174.50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174.50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174.50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河北雄安新区管理委员会综合执法局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2023-2024年96365和12315投诉举报中心购买接线员服务项目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[C19990000]其他专业技术服务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91.00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91.00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91.00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河北雄安新区管理委员会应急管理局-合计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1876.50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1726.50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1452.50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河北雄安新区管理委员会应急管理局-小计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1876.50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1726.50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1452.50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河北雄安新区管理委员会应急管理局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2022年中央自然灾害救灾资金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[A02340800]应急救援设备类</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河北雄安新区管理委员会应急管理局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2023年度雄安三县地震监测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[C19020000]地震服务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河北雄安新区管理委员会应急管理局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2023年度雄安三县地震监测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[A02101200]地震仪器</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266.00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266.00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266.00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河北雄安新区管理委员会应急管理局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安全监管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[C19990000]其他专业技术服务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139.00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139.00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139.00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河北雄安新区管理委员会应急管理局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森林消防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[C05039900]其他灾害防治和应急管理服务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1213.50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1213.50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1213.50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1213.50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河北雄安新区管理委员会应急管理局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应急救灾物资采购及保障资金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[A05030399]其他被服</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河北雄安新区管理委员会生态环境局-合计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3134.41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3134.41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1975.41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河北雄安新区管理委员会生态环境局-小计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3134.41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3134.41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1975.41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河北雄安新区管理委员会生态环境局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2023年公用经费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[C23140100]综合零售服务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河北雄安新区管理委员会生态环境局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2023年公用经费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[C23090199]其他印刷服务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河北雄安新区管理委员会生态环境局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2023年公用经费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[C23120301]车辆维修和保养服务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河北雄安新区管理委员会生态环境局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2023年公用经费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[C15990000]其他交通运输、仓储服务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河北雄安新区管理委员会生态环境局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2023年公用经费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河北雄安新区管理委员会生态环境局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2023年公用经费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[A02029900]其他办公设备</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河北雄安新区管理委员会生态环境局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生态环境综合事务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[C23090199]其他印刷服务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河北雄安新区管理委员会生态环境局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生态环境宣传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[C23090199]其他印刷服务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河北雄安新区管理委员会生态环境局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视频会议系统保障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[A02029900]其他办公设备</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套</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河北雄安新区管理委员会生态环境局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2022年中央土壤污染防治资金配套资金（雄安新区铝灰钢渣堆存点清运后土壤污染防治状况调查项目）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[C01031900]环境科学技术研究服务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85.11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85.11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85.11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85.11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河北雄安新区管理委员会生态环境局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智慧监测体系（自动监测设备）运维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[C17990000]其他电信和信息传输服务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223.00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223.00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223.00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河北雄安新区管理委员会生态环境局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智慧监测体系（自动监测设备）运维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[C16990000]其他信息技术服务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219.00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219.00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219.00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河北雄安新区管理委员会生态环境局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智慧监测体系（自动监测设备）运维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[C07990000]其他生态环境保护和治理服务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542.00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542.00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542.00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217.00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河北雄安新区管理委员会生态环境局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雄安新区生态环境监控中心运行保障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[C23120302]车辆加油、添加燃料服务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河北雄安新区管理委员会生态环境局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雄安新区生态环境监控中心运行保障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[C23120301]车辆维修和保养服务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河北雄安新区管理委员会生态环境局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雄安新区生态环境监控中心物业管理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[C21040000]物业管理服务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河北雄安新区管理委员会生态环境局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雄安新区生态环境监控中心房屋租赁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[C21020000]房屋租赁服务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河北雄安新区管理委员会生态环境局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2023年雄安新区乡镇小型空气自动监测站运维项目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[C07990000]其他生态环境保护和治理服务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505.00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河北雄安新区管理委员会生态环境局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监测工作经费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[C07990000]其他生态环境保护和治理服务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444.00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444.00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444.00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河北雄安新区管理委员会生态环境局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雄安新区生态环境非现场执法采购服务项目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[C16079900]其他运行维护服务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中国（河北）自由贸易试验区雄安片区管理委员会-合计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351.00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351.00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中国（河北）自由贸易试验区雄安片区管理委员会-小计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351.00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351.00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中国（河北）自由贸易试验区雄安片区管理委员会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自贸区（二期）综合保税区项目2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[C11990000]其他工程管理服务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51.00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51.00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51.00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中国（河北）自由贸易试验区雄安片区管理委员会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2021年中央外经贸发展资金（跨境电商）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河北雄安新区容东管理委员会-合计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2918.63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1833.47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1085.16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2533.05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河北雄安新区容东管理委员会-小计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2918.63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1833.47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1085.16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2533.05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河北雄安新区容东管理委员会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新时代文明实践中心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[C11030000]装修设计服务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205.00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河北雄安新区容东管理委员会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公服运转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[C21040000]物业管理服务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161.26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161.26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161.26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161.26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河北雄安新区容东管理委员会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就业服务中心建设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445.49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445.49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445.49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445.49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河北雄安新区容东管理委员会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就业服务中心建设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[A02020200]投影仪</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51.92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51.92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51.92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河北雄安新区容东管理委员会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雄安新区人力资源市场建设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[A02029900]其他办公设备</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118.53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118.53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118.53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118.53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河北雄安新区容东管理委员会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2022年后续交付的社区党群服务中心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[A02020200]投影仪</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60.26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60.26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60.26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河北雄安新区容东管理委员会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社区中心一层北侧装修项目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[A05020199]其他厨卫用具</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42.70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42.70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42.70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河北雄安新区容东管理委员会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后勤保障项目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[C21040000]物业管理服务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448.99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448.99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448.99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448.99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河北雄安新区容东管理委员会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思想宣传项目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[C13040000]市容管理服务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282.00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282.00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282.00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282.00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河北雄安新区容东管理委员会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社区便民服务站政务服务项目经费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[C05990000]其他社会服务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420.00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420.00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420.00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河北雄安新区容东管理委员会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民政综合类项目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[C16080300]基础设施运营服务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225.58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225.58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225.58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河北雄安新区容东管理委员会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民政综合类项目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[C05010400]养老服务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河北雄安新区容东管理委员会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文化旅游项目经费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河北雄安新区容东管理委员会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综合执法事务经费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[A02030699]其他专用车辆</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辆</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0.49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4.90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4.90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河北雄安新区容东管理委员会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综合执法事务经费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[A02030699]其他专用车辆</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辆</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5.20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52.00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52.00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河北雄安新区容东管理委员会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容东片区小区内预留公服运营管理项目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[C13990000]其他公共设施管理服务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河北雄安新区容东管理委员会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未来城市支撑技术服务中心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[C11030000]装修设计服务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雄安新区启动区管委会-合计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808.00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808.00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雄安新区启动区管委会-小计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808.00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808.00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雄安新区启动区管委会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启动区执法大队事务性经费补充经费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[A02360300]固体废弃物处理设备</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雄安新区启动区管委会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启动区执法大队事务性经费补充经费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[A02030899]其他电动车辆</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辆</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5.75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69.00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69.00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雄安新区启动区管委会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启动区项目管理及工程技术咨询服务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[C20039900]其他咨询服务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172.00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172.00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172.00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雄安新区启动区管委会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2023年启动区市场化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[C20039900]其他咨询服务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243.00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243.00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243.00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雄安新区启动区管委会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启动区人口导入期及建成后交通组织方案咨询服务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[C20039900]其他咨询服务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210.00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210.00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210.00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雄安新区启动区管委会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启动区执法大队事务性经费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[A02430400]飞行器</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54.00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54.00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河北雄安新区管理委员会自然资源和规划局-合计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2454.90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2454.90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1173.36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河北雄安新区管理委员会自然资源和规划局-小计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2454.90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2454.90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1173.36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河北雄安新区管理委员会自然资源和规划局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2023年土地招拍挂代理服务费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205.00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河北雄安新区管理委员会自然资源和规划局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雄安新区土壤污染状况调查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[C07010100]生态资源调查与监测服务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610.00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610.00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610.00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河北雄安新区管理委员会自然资源和规划局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雄安新区2023年度综合测绘服务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[C19040000]测绘服务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河北雄安新区管理委员会自然资源和规划局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雄安新区2023年度测绘基准升级与维护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[C19040000]测绘服务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河北雄安新区管理委员会自然资源和规划局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昝岗组团浅层地热能资源详细调查评价与 开发利用分区管控项目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[C19060000]地质勘测服务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218.20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218.20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218.20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65.46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河北雄安新区管理委员会自然资源和规划局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2023年林草湿综合监测和森林督查质检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[C09020600]森业经营与管理服务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河北雄安新区管理委员会自然资源和规划局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2023年林业有害生物防治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[C09020400]林业有害生物防治服务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河北雄安新区管理委员会自然资源和规划局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《河北雄安新区森林防火规划（2023-2025年）》编制服务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[C09020500]森林防火服务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河北雄安新区管理委员会自然资源和规划局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2023年省级林业改革发展资金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[C09029900]其他林业服务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河北雄安新区管理委员会自然资源和规划局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白洋淀湿地自然保护地总体规划与科学考察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[C09029900]其他林业服务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75.40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75.40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75.40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75.40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河北雄安新区管理委员会自然资源和规划局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雄安新区BIM模型审查技术咨询服务项目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[C01990000]其他研究和试验开发服务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346.30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346.30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346.30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河北雄安新区管理委员会建设和交通管理局-合计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1839.40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1839.40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1154.40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河北雄安新区管理委员会建设和交通管理局-小计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1839.40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1839.40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1154.40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河北雄安新区管理委员会建设和交通管理局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白洋淀淀区生态功能区勘界立桩项目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[C12990000]其他水利管理服务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165.00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河北雄安新区管理委员会建设和交通管理局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河北雄安新区起步区东西轴线道路交通专题研究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[C19990000]其他专业技术服务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196.50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196.50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196.50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河北雄安新区管理委员会建设和交通管理局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启动区建设期交通组织方案及配套政策专题研究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[C15990000]其他交通运输、仓储服务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186.00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186.00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186.00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河北雄安新区管理委员会建设和交通管理局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雄安新区治理超限超载联网管理检测平台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[C16990000]其他信息技术服务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95.00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河北雄安新区管理委员会建设和交通管理局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起步区第五组团北片道路交通设施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[C15990000]其他交通运输、仓储服务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550.00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550.00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550.00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河北雄安新区管理委员会建设和交通管理局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容城组团慢行交通系统改善规划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[C15990000]其他交通运输、仓储服务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71.90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71.90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71.90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河北雄安新区管理委员会建设和交通管理局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雄安新区治超流动检测设备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河北雄安新区管理委员会建设和交通管理局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雄安新区治超流动检测设备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[A02129900]其他计量标准器具</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32.00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96.00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96.00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河北雄安新区管理委员会建设和交通管理局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城建档案馆咨询服务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[C11990000]其他工程管理服务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河北雄安新区管理委员会建设和交通管理局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建筑市场检查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[C11990000]其他工程管理服务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135.00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河北雄安新区管理委员会建设和交通管理局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妙不可言地下空间示范区建设方案研究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[C19990000]其他专业技术服务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河北雄安新区接待服务中心-合计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270.00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270.00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河北雄安新区接待服务中心-小计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270.00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270.00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河北雄安新区接待服务中心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规划展示中心运营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[C22029900]其他展览服务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270.00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270.00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270.00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河北雄安新区建设工程质量安全检测服务中心-合计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674.06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606.20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67.86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河北雄安新区建设工程质量安全检测服务中心-小计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674.06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606.20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67.86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河北雄安新区建设工程质量安全检测服务中心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2023年公用经费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河北雄安新区建设工程质量安全检测服务中心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2023年公用经费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[A02029900]其他办公设备</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0.83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40.00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33.00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33.00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河北雄安新区建设工程质量安全检测服务中心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工程质量检测费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[C11990000]其他工程管理服务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48.90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48.90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48.90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河北雄安新区建设工程质量安全检测服务中心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设备检测费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0.12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158.00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18.96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18.96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河北雄安新区建设工程质量安全检测服务中心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公路工程检测费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[C11990000]其他工程管理服务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67.80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67.80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67.80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河北雄安新区建设工程质量安全检测服务中心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水利工程检测费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[C11990000]其他工程管理服务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河北雄安新区建设工程质量安全检测服务中心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房建工程检测费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[C11990000]其他工程管理服务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河北雄安新区建设工程质量安全检测服务中心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设备检测费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0.13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1600.00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208.00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208.00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河北雄安新区建设工程质量安全检测服务中心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建设工程质量安全巡查服务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[C19990000]其他专业技术服务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项目</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53.40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53.40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53.40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河北雄安新区建设工程质量安全检测服务中心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建材技术指标编制费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[C19990000]其他专业技术服务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75.00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河北雄安新区政务服务中心-合计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1288.78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1288.78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1178.78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河北雄安新区政务服务中心-小计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1288.78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1288.78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1178.78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河北雄安新区政务服务中心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政务服务运行保障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49.50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49.50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49.50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河北雄安新区政务服务中心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政务服务运行保障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[C22040000]餐饮服务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114.90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114.90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114.90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河北雄安新区政务服务中心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政务服务运行保障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[C16020300]软件集成实施服务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河北雄安新区政务服务中心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公共资源交易中心2023年度运行保障项目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[C21040000]物业管理服务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97.00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97.00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97.00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河北雄安新区政务服务中心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公共资源交易中心2023年度运行保障项目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[C21020000]房屋租赁服务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526.00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526.00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526.00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526.00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河北雄安新区政务服务中心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公共资源交易中心2023年度运行保障项目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[C11990000]其他工程管理服务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河北雄安新区政务服务中心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公共资源交易中心2023年度运行保障项目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[C16070300]软件运维服务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93.28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93.28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93.28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93.28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河北雄安新区政务服务中心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公共资源交易中心2023年度运行保障项目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[C16070200]硬件运维服务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118.10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118.10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118.10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118.10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河北雄安新区土地储备中心-合计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515.75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29.75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486.00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175.55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河北雄安新区土地储备中心-小计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515.75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29.75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486.00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175.55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河北雄安新区土地储备中心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2022年雄安新区征迁安置“测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[C16039900]其他数据处理服务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486.00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486.00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486.00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河北雄安新区土地储备中心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法律服务费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[C23019900]其他法律服务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29.75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29.75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29.75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29.75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投资促进服务中心-合计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123.00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32.00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投资促进服务中心-小计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123.00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32.00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投资促进服务中心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综合保障事务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[C21020000]房屋租赁服务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32.00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32.00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32.00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投资促进服务中心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业务用房租赁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[C21020000]房屋租赁服务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123.00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123.00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123.00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雄安新区群众工作中心-合计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88.00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88.00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雄安新区群众工作中心-小计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88.00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88.00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雄安新区群众工作中心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综合事务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[C21040000]物业管理服务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万元</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88.00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88.00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88.00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雄安新区财政投资评审中心-合计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5646.50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5046.50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雄安新区财政投资评审中心-小计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5646.50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5046.50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雄安新区财政投资评审中心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财政投资评审业务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[C20030900]评审咨询服务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雄安新区财政投资评审中心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财政投资评审业务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[C19990000]其他专业技术服务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5046.50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5046.50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5046.50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雄安新区科技创新发展中心-合计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10548.00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10548.00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雄安新区科技创新发展中心-小计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10548.00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10548.00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雄安新区科技创新发展中心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雄安新区科研共享装置购置费用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[A02319900]其他化学药品和中药设备</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雄安新区科技创新发展中心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雄安新区科技产业创新服务项目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[C05990000]其他社会服务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548.00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548.00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548.00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河北雄安新区纪工委监察组-合计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608.84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608.84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608.84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河北雄安新区纪工委监察组-小计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608.84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608.84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608.84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河北雄安新区纪工委监察组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设备购置与维护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[A02010299]其他网络设备</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套</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55.00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河北雄安新区纪工委监察组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设备购置与维护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[A05010504]保密柜</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0.16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0.48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0.48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河北雄安新区纪工委监察组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设备购置与维护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[A02020400]多功能一体机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0.55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河北雄安新区纪工委监察组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设备购置与维护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[A02010108]便携式计算机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1.02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45.00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45.90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45.90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河北雄安新区纪工委监察组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设备购置与维护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[A02021004]A4 彩色打印机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0.93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1.86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1.86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河北雄安新区纪工委监察组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设备购置与维护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[A02020400]多功能一体机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0.50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4.50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4.50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河北雄安新区纪工委监察组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设备购置与维护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[A02021301]碎纸机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0.07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0.07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0.07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河北雄安新区纪工委监察组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设备购置与维护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[A02021003]A4 黑白打印机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0.25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32.00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河北雄安新区纪工委监察组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设备购置与维护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[A05010599]其他柜类</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0.25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0.50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0.50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河北雄安新区纪工委监察组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设备购置与维护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[A02010105]台式计算机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0.92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19.32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19.32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河北雄安新区纪工委监察组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设备购置与维护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[A02010105]台式计算机</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1.19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7.11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7.11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河北雄安新区纪工委监察组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廉政教育基地（雄县）运营经费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157.00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157.00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157.00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157.00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河北雄安新区纪工委监察组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廉政教育基地（雄县）运营经费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[A07060199]其他农副食品，动、植物油制品</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河北雄安新区纪工委监察组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内网机房与网络改造项目经费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[A02010699]其他机房辅助设备</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套</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44.65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44.65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44.65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44.65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河北雄安新区纪工委监察组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内网机房与网络改造项目经费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[A02010699]其他机房辅助设备</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套</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60.35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60.35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60.35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河北雄安新区纪工委监察组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网络密码设备购置项目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[A02010312]密码产品</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河北雄安新区纪工委监察组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网络密码设备购置项目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[A02010312]密码产品</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河北雄安新区纪工委监察组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网络密码设备购置项目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[A02010312]密码产品</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河北雄安新区建设指挥部-合计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1287.00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987.00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857.00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河北雄安新区建设指挥部-小计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1287.00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987.00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857.00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河北雄安新区建设指挥部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重大应急保障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河北雄安新区建设指挥部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重大应急保障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540.00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540.00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540.00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河北雄安新区建设指挥部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雄安新区建设项目设计协同统筹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河北雄安新区建设指挥部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雄安新区大宗建材集采服务平台指标体系和集采目录动态维护服务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55.00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55.00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河北雄安新区建设指挥部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雄安新区建设项目施工协同统筹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[C99000000]其他服务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192.00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192.00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192.00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right"/>
              <w:textAlignment w:val="top"/>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192.00 </w:t>
            </w:r>
          </w:p>
        </w:tc>
      </w:tr>
    </w:tbl>
    <w:p>
      <w:pPr>
        <w:autoSpaceDE w:val="0"/>
        <w:autoSpaceDN w:val="0"/>
        <w:adjustRightInd w:val="0"/>
        <w:ind w:firstLine="640" w:firstLineChars="200"/>
        <w:jc w:val="left"/>
        <w:rPr>
          <w:rFonts w:hint="default" w:ascii="Times New Roman" w:hAnsi="Times New Roman" w:eastAsia="方正仿宋_GBK" w:cs="Times New Roman"/>
          <w:sz w:val="32"/>
          <w:szCs w:val="32"/>
          <w:highlight w:val="none"/>
        </w:rPr>
      </w:pPr>
    </w:p>
    <w:p>
      <w:pPr>
        <w:autoSpaceDE w:val="0"/>
        <w:autoSpaceDN w:val="0"/>
        <w:adjustRightInd w:val="0"/>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七、国有资产信息</w:t>
      </w:r>
    </w:p>
    <w:p>
      <w:pPr>
        <w:spacing w:line="500" w:lineRule="exact"/>
        <w:ind w:firstLine="560"/>
        <w:rPr>
          <w:rFonts w:hint="default" w:ascii="Times New Roman" w:hAnsi="Times New Roman" w:cs="Times New Roman"/>
          <w:highlight w:val="none"/>
        </w:rPr>
      </w:pPr>
      <w:r>
        <w:rPr>
          <w:rFonts w:hint="default" w:ascii="Times New Roman" w:hAnsi="Times New Roman" w:eastAsia="方正仿宋_GBK" w:cs="Times New Roman"/>
          <w:color w:val="000000"/>
          <w:sz w:val="28"/>
          <w:highlight w:val="none"/>
        </w:rPr>
        <w:t>上年末固定资产金额为</w:t>
      </w:r>
      <w:r>
        <w:rPr>
          <w:rFonts w:hint="default" w:ascii="Times New Roman" w:hAnsi="Times New Roman" w:cs="Times New Roman"/>
          <w:sz w:val="28"/>
          <w:szCs w:val="28"/>
          <w:highlight w:val="none"/>
          <w:lang w:val="en-US" w:eastAsia="zh-CN"/>
        </w:rPr>
        <w:t>27544.9</w:t>
      </w:r>
      <w:r>
        <w:rPr>
          <w:rFonts w:hint="default" w:ascii="Times New Roman" w:hAnsi="Times New Roman" w:eastAsia="方正仿宋_GBK" w:cs="Times New Roman"/>
          <w:color w:val="000000"/>
          <w:sz w:val="28"/>
          <w:highlight w:val="none"/>
        </w:rPr>
        <w:t>万元（详见下表）。</w:t>
      </w:r>
      <w:r>
        <w:rPr>
          <w:rFonts w:hint="default" w:ascii="Times New Roman" w:hAnsi="Times New Roman" w:eastAsia="方正仿宋_GBK" w:cs="Times New Roman"/>
          <w:color w:val="000000"/>
          <w:sz w:val="28"/>
          <w:highlight w:val="none"/>
          <w:lang w:eastAsia="zh-CN"/>
        </w:rPr>
        <w:t>新区本年暂无新增资产，</w:t>
      </w:r>
      <w:r>
        <w:rPr>
          <w:rFonts w:hint="default" w:ascii="Times New Roman" w:hAnsi="Times New Roman" w:eastAsia="方正仿宋_GBK" w:cs="Times New Roman"/>
          <w:color w:val="000000"/>
          <w:sz w:val="28"/>
          <w:highlight w:val="none"/>
        </w:rPr>
        <w:t>本年度拟购置固定资产已按要求列入政府采购预算，详见政府采购预算表。</w:t>
      </w:r>
    </w:p>
    <w:p>
      <w:pPr>
        <w:jc w:val="center"/>
        <w:rPr>
          <w:rFonts w:hint="default" w:ascii="Times New Roman" w:hAnsi="Times New Roman" w:eastAsia="方正小标宋_GBK" w:cs="Times New Roman"/>
          <w:color w:val="000000"/>
          <w:sz w:val="36"/>
          <w:highlight w:val="none"/>
        </w:rPr>
      </w:pPr>
    </w:p>
    <w:p>
      <w:pPr>
        <w:jc w:val="center"/>
        <w:rPr>
          <w:rFonts w:hint="default" w:ascii="Times New Roman" w:hAnsi="Times New Roman" w:cs="Times New Roman"/>
          <w:highlight w:val="none"/>
        </w:rPr>
      </w:pPr>
      <w:r>
        <w:rPr>
          <w:rFonts w:hint="default" w:ascii="Times New Roman" w:hAnsi="Times New Roman" w:eastAsia="方正小标宋_GBK" w:cs="Times New Roman"/>
          <w:color w:val="000000"/>
          <w:sz w:val="36"/>
          <w:highlight w:val="none"/>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6"/>
              <w:keepNext w:val="0"/>
              <w:keepLines w:val="0"/>
              <w:suppressLineNumbers w:val="0"/>
              <w:spacing w:before="0" w:beforeAutospacing="0" w:after="0" w:afterAutospacing="0"/>
              <w:ind w:left="0" w:right="0"/>
              <w:rPr>
                <w:rFonts w:hint="default" w:ascii="Times New Roman" w:hAnsi="Times New Roman" w:eastAsia="方正小标宋_GBK" w:cs="Times New Roman"/>
                <w:highlight w:val="none"/>
                <w:lang w:eastAsia="zh-CN"/>
              </w:rPr>
            </w:pPr>
            <w:r>
              <w:rPr>
                <w:rFonts w:hint="default" w:ascii="Times New Roman" w:hAnsi="Times New Roman" w:cs="Times New Roman"/>
                <w:highlight w:val="none"/>
                <w:lang w:eastAsia="zh-CN"/>
              </w:rPr>
              <w:t>雄安新区管理委员会</w:t>
            </w:r>
          </w:p>
        </w:tc>
        <w:tc>
          <w:tcPr>
            <w:tcW w:w="5669" w:type="dxa"/>
            <w:gridSpan w:val="2"/>
            <w:tcBorders>
              <w:top w:val="single" w:color="FFFFFF" w:sz="6" w:space="0"/>
              <w:left w:val="single" w:color="FFFFFF" w:sz="6" w:space="0"/>
              <w:right w:val="single" w:color="FFFFFF" w:sz="6" w:space="0"/>
            </w:tcBorders>
            <w:vAlign w:val="center"/>
          </w:tcPr>
          <w:p>
            <w:pPr>
              <w:pStyle w:val="7"/>
              <w:keepNext w:val="0"/>
              <w:keepLines w:val="0"/>
              <w:suppressLineNumbers w:val="0"/>
              <w:spacing w:before="0" w:beforeAutospacing="0" w:after="0" w:afterAutospacing="0"/>
              <w:ind w:left="0" w:right="0"/>
              <w:rPr>
                <w:rFonts w:hint="default" w:ascii="Times New Roman" w:hAnsi="Times New Roman" w:cs="Times New Roman"/>
                <w:highlight w:val="none"/>
              </w:rPr>
            </w:pPr>
            <w:r>
              <w:rPr>
                <w:rFonts w:hint="default" w:ascii="Times New Roman" w:hAnsi="Times New Roman" w:cs="Times New Roman"/>
                <w:highlight w:val="none"/>
              </w:rP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keepNext w:val="0"/>
              <w:keepLines w:val="0"/>
              <w:suppressLineNumbers w:val="0"/>
              <w:spacing w:before="0" w:beforeAutospacing="0" w:after="0" w:afterAutospacing="0"/>
              <w:ind w:left="0" w:right="0"/>
              <w:rPr>
                <w:rFonts w:hint="default" w:ascii="Times New Roman" w:hAnsi="Times New Roman" w:cs="Times New Roman"/>
                <w:highlight w:val="none"/>
              </w:rPr>
            </w:pPr>
            <w:r>
              <w:rPr>
                <w:rFonts w:hint="default" w:ascii="Times New Roman" w:hAnsi="Times New Roman" w:cs="Times New Roman"/>
                <w:highlight w:val="none"/>
              </w:rPr>
              <w:t>项   目</w:t>
            </w:r>
          </w:p>
        </w:tc>
        <w:tc>
          <w:tcPr>
            <w:tcW w:w="2835" w:type="dxa"/>
            <w:vAlign w:val="center"/>
          </w:tcPr>
          <w:p>
            <w:pPr>
              <w:pStyle w:val="8"/>
              <w:keepNext w:val="0"/>
              <w:keepLines w:val="0"/>
              <w:suppressLineNumbers w:val="0"/>
              <w:spacing w:before="0" w:beforeAutospacing="0" w:after="0" w:afterAutospacing="0"/>
              <w:ind w:left="0" w:right="0"/>
              <w:rPr>
                <w:rFonts w:hint="default" w:ascii="Times New Roman" w:hAnsi="Times New Roman" w:cs="Times New Roman"/>
                <w:highlight w:val="none"/>
              </w:rPr>
            </w:pPr>
            <w:r>
              <w:rPr>
                <w:rFonts w:hint="default" w:ascii="Times New Roman" w:hAnsi="Times New Roman" w:cs="Times New Roman"/>
                <w:highlight w:val="none"/>
              </w:rPr>
              <w:t>数量</w:t>
            </w:r>
          </w:p>
        </w:tc>
        <w:tc>
          <w:tcPr>
            <w:tcW w:w="2835" w:type="dxa"/>
            <w:vAlign w:val="center"/>
          </w:tcPr>
          <w:p>
            <w:pPr>
              <w:pStyle w:val="8"/>
              <w:keepNext w:val="0"/>
              <w:keepLines w:val="0"/>
              <w:suppressLineNumbers w:val="0"/>
              <w:spacing w:before="0" w:beforeAutospacing="0" w:after="0" w:afterAutospacing="0"/>
              <w:ind w:left="0" w:right="0"/>
              <w:rPr>
                <w:rFonts w:hint="default" w:ascii="Times New Roman" w:hAnsi="Times New Roman" w:cs="Times New Roman"/>
                <w:highlight w:val="none"/>
              </w:rPr>
            </w:pPr>
            <w:r>
              <w:rPr>
                <w:rFonts w:hint="default" w:ascii="Times New Roman" w:hAnsi="Times New Roman" w:cs="Times New Roman"/>
                <w:highlight w:val="none"/>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keepNext w:val="0"/>
              <w:keepLines w:val="0"/>
              <w:suppressLineNumbers w:val="0"/>
              <w:spacing w:before="0" w:beforeAutospacing="0" w:after="0" w:afterAutospacing="0"/>
              <w:ind w:left="0" w:right="0"/>
              <w:rPr>
                <w:rFonts w:hint="default" w:ascii="Times New Roman" w:hAnsi="Times New Roman" w:cs="Times New Roman"/>
                <w:highlight w:val="none"/>
              </w:rPr>
            </w:pPr>
            <w:r>
              <w:rPr>
                <w:rFonts w:hint="default" w:ascii="Times New Roman" w:hAnsi="Times New Roman" w:cs="Times New Roman"/>
                <w:highlight w:val="none"/>
              </w:rPr>
              <w:t>资产总额</w:t>
            </w:r>
          </w:p>
        </w:tc>
        <w:tc>
          <w:tcPr>
            <w:tcW w:w="2835" w:type="dxa"/>
            <w:vAlign w:val="center"/>
          </w:tcPr>
          <w:p>
            <w:pPr>
              <w:pStyle w:val="10"/>
              <w:keepNext w:val="0"/>
              <w:keepLines w:val="0"/>
              <w:suppressLineNumbers w:val="0"/>
              <w:spacing w:before="0" w:beforeAutospacing="0" w:after="0" w:afterAutospacing="0"/>
              <w:ind w:left="0" w:right="0"/>
              <w:rPr>
                <w:rFonts w:hint="default" w:ascii="Times New Roman" w:hAnsi="Times New Roman" w:eastAsia="方正书宋_GBK" w:cs="Times New Roman"/>
                <w:highlight w:val="none"/>
                <w:lang w:val="en-US" w:eastAsia="zh-CN"/>
              </w:rPr>
            </w:pPr>
            <w:r>
              <w:rPr>
                <w:rFonts w:hint="default" w:ascii="Times New Roman" w:hAnsi="Times New Roman" w:cs="Times New Roman"/>
                <w:highlight w:val="none"/>
                <w:lang w:val="en-US" w:eastAsia="zh-CN"/>
              </w:rPr>
              <w:t>35838</w:t>
            </w:r>
          </w:p>
        </w:tc>
        <w:tc>
          <w:tcPr>
            <w:tcW w:w="2835" w:type="dxa"/>
            <w:vAlign w:val="center"/>
          </w:tcPr>
          <w:p>
            <w:pPr>
              <w:pStyle w:val="11"/>
              <w:keepNext w:val="0"/>
              <w:keepLines w:val="0"/>
              <w:suppressLineNumbers w:val="0"/>
              <w:spacing w:before="0" w:beforeAutospacing="0" w:after="0" w:afterAutospacing="0"/>
              <w:ind w:left="0" w:right="0"/>
              <w:rPr>
                <w:rFonts w:hint="default" w:ascii="Times New Roman" w:hAnsi="Times New Roman" w:eastAsia="方正书宋_GBK" w:cs="Times New Roman"/>
                <w:highlight w:val="none"/>
                <w:lang w:val="en-US" w:eastAsia="zh-CN"/>
              </w:rPr>
            </w:pPr>
            <w:r>
              <w:rPr>
                <w:rFonts w:hint="default" w:ascii="Times New Roman" w:hAnsi="Times New Roman" w:cs="Times New Roman"/>
                <w:highlight w:val="none"/>
                <w:lang w:val="en-US" w:eastAsia="zh-CN"/>
              </w:rPr>
              <w:t>27544.9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keepNext w:val="0"/>
              <w:keepLines w:val="0"/>
              <w:suppressLineNumbers w:val="0"/>
              <w:spacing w:before="0" w:beforeAutospacing="0" w:after="0" w:afterAutospacing="0"/>
              <w:ind w:left="0" w:right="0"/>
              <w:rPr>
                <w:rFonts w:hint="default" w:ascii="Times New Roman" w:hAnsi="Times New Roman" w:cs="Times New Roman"/>
                <w:highlight w:val="none"/>
              </w:rPr>
            </w:pPr>
            <w:r>
              <w:rPr>
                <w:rFonts w:hint="default" w:ascii="Times New Roman" w:hAnsi="Times New Roman" w:cs="Times New Roman"/>
                <w:highlight w:val="none"/>
              </w:rPr>
              <w:t>1、房屋（平方米）</w:t>
            </w:r>
          </w:p>
        </w:tc>
        <w:tc>
          <w:tcPr>
            <w:tcW w:w="2835" w:type="dxa"/>
            <w:vAlign w:val="center"/>
          </w:tcPr>
          <w:p>
            <w:pPr>
              <w:pStyle w:val="10"/>
              <w:keepNext w:val="0"/>
              <w:keepLines w:val="0"/>
              <w:suppressLineNumbers w:val="0"/>
              <w:spacing w:before="0" w:beforeAutospacing="0" w:after="0" w:afterAutospacing="0"/>
              <w:ind w:left="0" w:right="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0</w:t>
            </w:r>
          </w:p>
        </w:tc>
        <w:tc>
          <w:tcPr>
            <w:tcW w:w="2835" w:type="dxa"/>
            <w:vAlign w:val="center"/>
          </w:tcPr>
          <w:p>
            <w:pPr>
              <w:pStyle w:val="11"/>
              <w:keepNext w:val="0"/>
              <w:keepLines w:val="0"/>
              <w:suppressLineNumbers w:val="0"/>
              <w:spacing w:before="0" w:beforeAutospacing="0" w:after="0" w:afterAutospacing="0"/>
              <w:ind w:left="0" w:right="0"/>
              <w:rPr>
                <w:rFonts w:hint="default" w:ascii="Times New Roman" w:hAnsi="Times New Roman" w:eastAsia="方正书宋_GBK" w:cs="Times New Roman"/>
                <w:highlight w:val="none"/>
                <w:lang w:val="en-US" w:eastAsia="zh-CN"/>
              </w:rPr>
            </w:pPr>
            <w:r>
              <w:rPr>
                <w:rFonts w:hint="default" w:ascii="Times New Roman" w:hAnsi="Times New Roman" w:cs="Times New Roman"/>
                <w:highlight w:val="none"/>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keepNext w:val="0"/>
              <w:keepLines w:val="0"/>
              <w:suppressLineNumbers w:val="0"/>
              <w:spacing w:before="0" w:beforeAutospacing="0" w:after="0" w:afterAutospacing="0"/>
              <w:ind w:left="0" w:right="0"/>
              <w:rPr>
                <w:rFonts w:hint="default" w:ascii="Times New Roman" w:hAnsi="Times New Roman" w:cs="Times New Roman"/>
                <w:highlight w:val="none"/>
              </w:rPr>
            </w:pPr>
            <w:r>
              <w:rPr>
                <w:rFonts w:hint="default" w:ascii="Times New Roman" w:hAnsi="Times New Roman" w:cs="Times New Roman"/>
                <w:highlight w:val="none"/>
              </w:rPr>
              <w:t>　　其中：办公用房（平方米）</w:t>
            </w:r>
          </w:p>
        </w:tc>
        <w:tc>
          <w:tcPr>
            <w:tcW w:w="2835" w:type="dxa"/>
            <w:vAlign w:val="center"/>
          </w:tcPr>
          <w:p>
            <w:pPr>
              <w:pStyle w:val="10"/>
              <w:keepNext w:val="0"/>
              <w:keepLines w:val="0"/>
              <w:suppressLineNumbers w:val="0"/>
              <w:spacing w:before="0" w:beforeAutospacing="0" w:after="0" w:afterAutospacing="0"/>
              <w:ind w:left="0" w:right="0"/>
              <w:rPr>
                <w:rFonts w:hint="default" w:ascii="Times New Roman" w:hAnsi="Times New Roman" w:eastAsia="方正书宋_GBK" w:cs="Times New Roman"/>
                <w:highlight w:val="none"/>
                <w:lang w:val="en-US" w:eastAsia="zh-CN"/>
              </w:rPr>
            </w:pPr>
            <w:r>
              <w:rPr>
                <w:rFonts w:hint="default" w:ascii="Times New Roman" w:hAnsi="Times New Roman" w:cs="Times New Roman"/>
                <w:highlight w:val="none"/>
                <w:lang w:val="en-US" w:eastAsia="zh-CN"/>
              </w:rPr>
              <w:t>0</w:t>
            </w:r>
          </w:p>
        </w:tc>
        <w:tc>
          <w:tcPr>
            <w:tcW w:w="2835" w:type="dxa"/>
            <w:vAlign w:val="center"/>
          </w:tcPr>
          <w:p>
            <w:pPr>
              <w:pStyle w:val="11"/>
              <w:keepNext w:val="0"/>
              <w:keepLines w:val="0"/>
              <w:suppressLineNumbers w:val="0"/>
              <w:spacing w:before="0" w:beforeAutospacing="0" w:after="0" w:afterAutospacing="0"/>
              <w:ind w:left="0" w:right="0"/>
              <w:rPr>
                <w:rFonts w:hint="default" w:ascii="Times New Roman" w:hAnsi="Times New Roman" w:eastAsia="方正书宋_GBK" w:cs="Times New Roman"/>
                <w:highlight w:val="none"/>
                <w:lang w:val="en-US" w:eastAsia="zh-CN"/>
              </w:rPr>
            </w:pPr>
            <w:r>
              <w:rPr>
                <w:rFonts w:hint="default" w:ascii="Times New Roman" w:hAnsi="Times New Roman" w:cs="Times New Roman"/>
                <w:highlight w:val="none"/>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keepNext w:val="0"/>
              <w:keepLines w:val="0"/>
              <w:suppressLineNumbers w:val="0"/>
              <w:spacing w:before="0" w:beforeAutospacing="0" w:after="0" w:afterAutospacing="0"/>
              <w:ind w:left="0" w:right="0"/>
              <w:rPr>
                <w:rFonts w:hint="default" w:ascii="Times New Roman" w:hAnsi="Times New Roman" w:cs="Times New Roman"/>
                <w:highlight w:val="none"/>
              </w:rPr>
            </w:pPr>
            <w:r>
              <w:rPr>
                <w:rFonts w:hint="default" w:ascii="Times New Roman" w:hAnsi="Times New Roman" w:cs="Times New Roman"/>
                <w:highlight w:val="none"/>
              </w:rPr>
              <w:t>2、车辆（台、辆）</w:t>
            </w:r>
          </w:p>
        </w:tc>
        <w:tc>
          <w:tcPr>
            <w:tcW w:w="2835" w:type="dxa"/>
            <w:vAlign w:val="center"/>
          </w:tcPr>
          <w:p>
            <w:pPr>
              <w:pStyle w:val="10"/>
              <w:keepNext w:val="0"/>
              <w:keepLines w:val="0"/>
              <w:suppressLineNumbers w:val="0"/>
              <w:spacing w:before="0" w:beforeAutospacing="0" w:after="0" w:afterAutospacing="0"/>
              <w:ind w:left="0" w:right="0"/>
              <w:rPr>
                <w:rFonts w:hint="default" w:ascii="Times New Roman" w:hAnsi="Times New Roman" w:eastAsia="方正书宋_GBK" w:cs="Times New Roman"/>
                <w:highlight w:val="none"/>
                <w:lang w:val="en-US" w:eastAsia="zh-CN"/>
              </w:rPr>
            </w:pPr>
            <w:r>
              <w:rPr>
                <w:rFonts w:hint="default" w:ascii="Times New Roman" w:hAnsi="Times New Roman" w:cs="Times New Roman"/>
                <w:highlight w:val="none"/>
                <w:lang w:val="en-US" w:eastAsia="zh-CN"/>
              </w:rPr>
              <w:t>34</w:t>
            </w:r>
          </w:p>
        </w:tc>
        <w:tc>
          <w:tcPr>
            <w:tcW w:w="2835" w:type="dxa"/>
            <w:vAlign w:val="center"/>
          </w:tcPr>
          <w:p>
            <w:pPr>
              <w:pStyle w:val="11"/>
              <w:keepNext w:val="0"/>
              <w:keepLines w:val="0"/>
              <w:suppressLineNumbers w:val="0"/>
              <w:spacing w:before="0" w:beforeAutospacing="0" w:after="0" w:afterAutospacing="0"/>
              <w:ind w:left="0" w:right="0"/>
              <w:rPr>
                <w:rFonts w:hint="default" w:ascii="Times New Roman" w:hAnsi="Times New Roman" w:eastAsia="方正书宋_GBK" w:cs="Times New Roman"/>
                <w:highlight w:val="none"/>
                <w:lang w:val="en-US" w:eastAsia="zh-CN"/>
              </w:rPr>
            </w:pPr>
            <w:r>
              <w:rPr>
                <w:rFonts w:hint="default" w:ascii="Times New Roman" w:hAnsi="Times New Roman" w:cs="Times New Roman"/>
                <w:highlight w:val="none"/>
                <w:lang w:val="en-US" w:eastAsia="zh-CN"/>
              </w:rPr>
              <w:t>1083.75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keepNext w:val="0"/>
              <w:keepLines w:val="0"/>
              <w:suppressLineNumbers w:val="0"/>
              <w:spacing w:before="0" w:beforeAutospacing="0" w:after="0" w:afterAutospacing="0"/>
              <w:ind w:left="0" w:right="0"/>
              <w:rPr>
                <w:rFonts w:hint="default" w:ascii="Times New Roman" w:hAnsi="Times New Roman" w:cs="Times New Roman"/>
                <w:highlight w:val="none"/>
              </w:rPr>
            </w:pPr>
            <w:r>
              <w:rPr>
                <w:rFonts w:hint="default" w:ascii="Times New Roman" w:hAnsi="Times New Roman" w:cs="Times New Roman"/>
                <w:highlight w:val="none"/>
              </w:rPr>
              <w:t>3、单价在20万元以上的设备</w:t>
            </w:r>
          </w:p>
        </w:tc>
        <w:tc>
          <w:tcPr>
            <w:tcW w:w="2835" w:type="dxa"/>
            <w:vAlign w:val="center"/>
          </w:tcPr>
          <w:p>
            <w:pPr>
              <w:pStyle w:val="10"/>
              <w:keepNext w:val="0"/>
              <w:keepLines w:val="0"/>
              <w:suppressLineNumbers w:val="0"/>
              <w:spacing w:before="0" w:beforeAutospacing="0" w:after="0" w:afterAutospacing="0"/>
              <w:ind w:left="0" w:right="0"/>
              <w:rPr>
                <w:rFonts w:hint="default" w:ascii="Times New Roman" w:hAnsi="Times New Roman" w:eastAsia="方正书宋_GBK" w:cs="Times New Roman"/>
                <w:highlight w:val="none"/>
                <w:lang w:val="en-US" w:eastAsia="zh-CN"/>
              </w:rPr>
            </w:pPr>
            <w:r>
              <w:rPr>
                <w:rFonts w:hint="default" w:ascii="Times New Roman" w:hAnsi="Times New Roman" w:cs="Times New Roman"/>
                <w:highlight w:val="none"/>
                <w:lang w:val="en-US" w:eastAsia="zh-CN"/>
              </w:rPr>
              <w:t>99</w:t>
            </w:r>
          </w:p>
        </w:tc>
        <w:tc>
          <w:tcPr>
            <w:tcW w:w="2835" w:type="dxa"/>
            <w:vAlign w:val="center"/>
          </w:tcPr>
          <w:p>
            <w:pPr>
              <w:pStyle w:val="11"/>
              <w:keepNext w:val="0"/>
              <w:keepLines w:val="0"/>
              <w:suppressLineNumbers w:val="0"/>
              <w:spacing w:before="0" w:beforeAutospacing="0" w:after="0" w:afterAutospacing="0"/>
              <w:ind w:left="0" w:right="0"/>
              <w:rPr>
                <w:rFonts w:hint="default" w:ascii="Times New Roman" w:hAnsi="Times New Roman" w:eastAsia="方正书宋_GBK" w:cs="Times New Roman"/>
                <w:highlight w:val="none"/>
                <w:lang w:val="en-US" w:eastAsia="zh-CN"/>
              </w:rPr>
            </w:pPr>
            <w:r>
              <w:rPr>
                <w:rFonts w:hint="default" w:ascii="Times New Roman" w:hAnsi="Times New Roman" w:cs="Times New Roman"/>
                <w:highlight w:val="none"/>
                <w:lang w:val="en-US" w:eastAsia="zh-CN"/>
              </w:rPr>
              <w:t>8676.98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keepNext w:val="0"/>
              <w:keepLines w:val="0"/>
              <w:suppressLineNumbers w:val="0"/>
              <w:spacing w:before="0" w:beforeAutospacing="0" w:after="0" w:afterAutospacing="0"/>
              <w:ind w:left="0" w:right="0"/>
              <w:rPr>
                <w:rFonts w:hint="default" w:ascii="Times New Roman" w:hAnsi="Times New Roman" w:cs="Times New Roman"/>
                <w:highlight w:val="none"/>
              </w:rPr>
            </w:pPr>
            <w:r>
              <w:rPr>
                <w:rFonts w:hint="default" w:ascii="Times New Roman" w:hAnsi="Times New Roman" w:cs="Times New Roman"/>
                <w:highlight w:val="none"/>
              </w:rPr>
              <w:t>4、其他固定资产</w:t>
            </w:r>
          </w:p>
        </w:tc>
        <w:tc>
          <w:tcPr>
            <w:tcW w:w="2835" w:type="dxa"/>
            <w:vAlign w:val="center"/>
          </w:tcPr>
          <w:p>
            <w:pPr>
              <w:pStyle w:val="10"/>
              <w:keepNext w:val="0"/>
              <w:keepLines w:val="0"/>
              <w:suppressLineNumbers w:val="0"/>
              <w:spacing w:before="0" w:beforeAutospacing="0" w:after="0" w:afterAutospacing="0"/>
              <w:ind w:left="0" w:right="0"/>
              <w:rPr>
                <w:rFonts w:hint="default" w:ascii="Times New Roman" w:hAnsi="Times New Roman" w:eastAsia="方正书宋_GBK" w:cs="Times New Roman"/>
                <w:highlight w:val="none"/>
                <w:lang w:val="en-US" w:eastAsia="zh-CN"/>
              </w:rPr>
            </w:pPr>
            <w:r>
              <w:rPr>
                <w:rFonts w:hint="default" w:ascii="Times New Roman" w:hAnsi="Times New Roman" w:cs="Times New Roman"/>
                <w:highlight w:val="none"/>
                <w:lang w:val="en-US" w:eastAsia="zh-CN"/>
              </w:rPr>
              <w:t>35705</w:t>
            </w:r>
          </w:p>
        </w:tc>
        <w:tc>
          <w:tcPr>
            <w:tcW w:w="2835" w:type="dxa"/>
            <w:vAlign w:val="center"/>
          </w:tcPr>
          <w:p>
            <w:pPr>
              <w:pStyle w:val="11"/>
              <w:keepNext w:val="0"/>
              <w:keepLines w:val="0"/>
              <w:suppressLineNumbers w:val="0"/>
              <w:spacing w:before="0" w:beforeAutospacing="0" w:after="0" w:afterAutospacing="0"/>
              <w:ind w:left="0" w:right="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17784.17</w:t>
            </w:r>
          </w:p>
        </w:tc>
      </w:tr>
    </w:tbl>
    <w:p>
      <w:pPr>
        <w:autoSpaceDE w:val="0"/>
        <w:autoSpaceDN w:val="0"/>
        <w:adjustRightInd w:val="0"/>
        <w:ind w:firstLine="640" w:firstLineChars="200"/>
        <w:jc w:val="left"/>
        <w:rPr>
          <w:rFonts w:hint="default" w:ascii="Times New Roman" w:hAnsi="Times New Roman" w:eastAsia="方正仿宋_GBK" w:cs="Times New Roman"/>
          <w:sz w:val="32"/>
          <w:szCs w:val="32"/>
          <w:highlight w:val="none"/>
        </w:rPr>
      </w:pPr>
    </w:p>
    <w:p>
      <w:pPr>
        <w:autoSpaceDE w:val="0"/>
        <w:autoSpaceDN w:val="0"/>
        <w:adjustRightInd w:val="0"/>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八、名词解释</w:t>
      </w:r>
    </w:p>
    <w:p>
      <w:pPr>
        <w:tabs>
          <w:tab w:val="left" w:pos="11490"/>
        </w:tabs>
        <w:ind w:firstLine="643"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sz w:val="32"/>
          <w:szCs w:val="32"/>
          <w:highlight w:val="none"/>
        </w:rPr>
        <w:t>1．一般公共预算拨款收入：</w:t>
      </w:r>
      <w:r>
        <w:rPr>
          <w:rFonts w:hint="default" w:ascii="Times New Roman" w:hAnsi="Times New Roman" w:eastAsia="方正仿宋_GBK" w:cs="Times New Roman"/>
          <w:sz w:val="32"/>
          <w:szCs w:val="32"/>
          <w:highlight w:val="none"/>
        </w:rPr>
        <w:t>指财政当年拨付的资金。</w:t>
      </w:r>
    </w:p>
    <w:p>
      <w:pPr>
        <w:tabs>
          <w:tab w:val="left" w:pos="11490"/>
        </w:tabs>
        <w:ind w:firstLine="643"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sz w:val="32"/>
          <w:szCs w:val="32"/>
          <w:highlight w:val="none"/>
        </w:rPr>
        <w:t>2．事业收入：</w:t>
      </w:r>
      <w:r>
        <w:rPr>
          <w:rFonts w:hint="default" w:ascii="Times New Roman" w:hAnsi="Times New Roman" w:eastAsia="方正仿宋_GBK" w:cs="Times New Roman"/>
          <w:sz w:val="32"/>
          <w:szCs w:val="32"/>
          <w:highlight w:val="none"/>
        </w:rPr>
        <w:t>指事业单位开展专业业务活动及辅助活动所取得的收入。</w:t>
      </w:r>
    </w:p>
    <w:p>
      <w:pPr>
        <w:tabs>
          <w:tab w:val="left" w:pos="11490"/>
        </w:tabs>
        <w:ind w:firstLine="643" w:firstLineChars="200"/>
        <w:rPr>
          <w:rFonts w:hint="default" w:ascii="Times New Roman" w:hAnsi="Times New Roman" w:eastAsia="方正仿宋_GBK" w:cs="Times New Roman"/>
          <w:b/>
          <w:sz w:val="32"/>
          <w:szCs w:val="32"/>
          <w:highlight w:val="none"/>
        </w:rPr>
      </w:pPr>
      <w:r>
        <w:rPr>
          <w:rFonts w:hint="default" w:ascii="Times New Roman" w:hAnsi="Times New Roman" w:eastAsia="方正仿宋_GBK" w:cs="Times New Roman"/>
          <w:b/>
          <w:sz w:val="32"/>
          <w:szCs w:val="32"/>
          <w:highlight w:val="none"/>
        </w:rPr>
        <w:t>3．其他收入：</w:t>
      </w:r>
      <w:r>
        <w:rPr>
          <w:rFonts w:hint="default" w:ascii="Times New Roman" w:hAnsi="Times New Roman" w:eastAsia="方正仿宋_GBK" w:cs="Times New Roman"/>
          <w:sz w:val="32"/>
          <w:szCs w:val="32"/>
          <w:highlight w:val="none"/>
        </w:rPr>
        <w:t>指除“一般公共预算拨款收入”“事业收入”等以外的收入。主要是按规定动用的租房收入、存款利息收入等。</w:t>
      </w:r>
    </w:p>
    <w:p>
      <w:pPr>
        <w:tabs>
          <w:tab w:val="left" w:pos="11490"/>
        </w:tabs>
        <w:ind w:firstLine="643"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sz w:val="32"/>
          <w:szCs w:val="32"/>
          <w:highlight w:val="none"/>
        </w:rPr>
        <w:t>4．基本支出：</w:t>
      </w:r>
      <w:r>
        <w:rPr>
          <w:rFonts w:hint="default" w:ascii="Times New Roman" w:hAnsi="Times New Roman" w:eastAsia="方正仿宋_GBK" w:cs="Times New Roman"/>
          <w:sz w:val="32"/>
          <w:szCs w:val="32"/>
          <w:highlight w:val="none"/>
        </w:rPr>
        <w:t>指为保障机构正常运转、完成日常工作任务而发生的人员支出和公用支出。</w:t>
      </w:r>
    </w:p>
    <w:p>
      <w:pPr>
        <w:tabs>
          <w:tab w:val="left" w:pos="11490"/>
        </w:tabs>
        <w:ind w:firstLine="643"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sz w:val="32"/>
          <w:szCs w:val="32"/>
          <w:highlight w:val="none"/>
        </w:rPr>
        <w:t>5．项目支出：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tabs>
          <w:tab w:val="left" w:pos="11490"/>
        </w:tabs>
        <w:ind w:firstLine="643"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sz w:val="32"/>
          <w:szCs w:val="32"/>
          <w:highlight w:val="none"/>
        </w:rPr>
        <w:t>6．上缴上级支出：</w:t>
      </w:r>
      <w:r>
        <w:rPr>
          <w:rFonts w:hint="default" w:ascii="Times New Roman" w:hAnsi="Times New Roman" w:eastAsia="方正仿宋_GBK" w:cs="Times New Roman"/>
          <w:sz w:val="32"/>
          <w:szCs w:val="32"/>
          <w:highlight w:val="none"/>
        </w:rPr>
        <w:t>指下级单位上缴上级的支出。</w:t>
      </w:r>
    </w:p>
    <w:p>
      <w:pPr>
        <w:tabs>
          <w:tab w:val="left" w:pos="11490"/>
        </w:tabs>
        <w:ind w:firstLine="643"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sz w:val="32"/>
          <w:szCs w:val="32"/>
          <w:highlight w:val="none"/>
        </w:rPr>
        <w:t>7．“三公”经费：</w:t>
      </w:r>
      <w:r>
        <w:rPr>
          <w:rFonts w:hint="default" w:ascii="Times New Roman" w:hAnsi="Times New Roman" w:eastAsia="方正仿宋_GBK" w:cs="Times New Roman"/>
          <w:sz w:val="32"/>
          <w:szCs w:val="32"/>
          <w:highlight w:val="none"/>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tabs>
          <w:tab w:val="left" w:pos="11490"/>
        </w:tabs>
        <w:ind w:firstLine="643"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sz w:val="32"/>
          <w:szCs w:val="32"/>
          <w:highlight w:val="none"/>
        </w:rPr>
        <w:t>8．机关运行费：</w:t>
      </w:r>
      <w:r>
        <w:rPr>
          <w:rFonts w:hint="default" w:ascii="Times New Roman" w:hAnsi="Times New Roman" w:eastAsia="方正仿宋_GBK" w:cs="Times New Roman"/>
          <w:sz w:val="32"/>
          <w:szCs w:val="32"/>
          <w:highlight w:val="none"/>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3" w:firstLineChars="200"/>
        <w:jc w:val="left"/>
        <w:rPr>
          <w:rFonts w:hint="default" w:ascii="Times New Roman" w:hAnsi="Times New Roman" w:cs="Times New Roman"/>
          <w:sz w:val="32"/>
          <w:szCs w:val="32"/>
          <w:highlight w:val="none"/>
        </w:rPr>
      </w:pPr>
      <w:r>
        <w:rPr>
          <w:rFonts w:hint="default" w:ascii="Times New Roman" w:hAnsi="Times New Roman" w:eastAsia="方正仿宋_GBK" w:cs="Times New Roman"/>
          <w:b/>
          <w:sz w:val="32"/>
          <w:szCs w:val="32"/>
          <w:highlight w:val="none"/>
        </w:rPr>
        <w:t>9．上年结转：</w:t>
      </w:r>
      <w:r>
        <w:rPr>
          <w:rFonts w:hint="default" w:ascii="Times New Roman" w:hAnsi="Times New Roman" w:eastAsia="方正仿宋_GBK" w:cs="Times New Roman"/>
          <w:sz w:val="32"/>
          <w:szCs w:val="32"/>
          <w:highlight w:val="none"/>
        </w:rPr>
        <w:t>指以前年度尚未完成、结转到本年仍按原规定用途继续使用的资金。</w:t>
      </w:r>
    </w:p>
    <w:p>
      <w:pPr>
        <w:spacing w:line="500" w:lineRule="exact"/>
        <w:ind w:firstLine="643" w:firstLineChars="200"/>
        <w:jc w:val="left"/>
        <w:rPr>
          <w:rFonts w:hint="default" w:ascii="Times New Roman" w:hAnsi="Times New Roman" w:cs="Times New Roman"/>
          <w:sz w:val="32"/>
          <w:szCs w:val="32"/>
          <w:highlight w:val="none"/>
        </w:rPr>
      </w:pPr>
      <w:r>
        <w:rPr>
          <w:rFonts w:hint="default" w:ascii="Times New Roman" w:hAnsi="Times New Roman" w:eastAsia="方正仿宋_GBK" w:cs="Times New Roman"/>
          <w:b/>
          <w:sz w:val="32"/>
          <w:szCs w:val="32"/>
          <w:highlight w:val="none"/>
        </w:rPr>
        <w:t>10．事业单位经营支出：</w:t>
      </w:r>
      <w:r>
        <w:rPr>
          <w:rFonts w:hint="default" w:ascii="Times New Roman" w:hAnsi="Times New Roman" w:eastAsia="方正仿宋_GBK" w:cs="Times New Roman"/>
          <w:sz w:val="32"/>
          <w:szCs w:val="32"/>
          <w:highlight w:val="none"/>
        </w:rPr>
        <w:t>指事业单位在专业业务活动及其辅助活动之外开展非独立核算经营活动发生的支出。</w:t>
      </w:r>
    </w:p>
    <w:p>
      <w:pPr>
        <w:autoSpaceDE w:val="0"/>
        <w:autoSpaceDN w:val="0"/>
        <w:adjustRightInd w:val="0"/>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九、其他需要说明的事项</w:t>
      </w:r>
    </w:p>
    <w:p>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我部门无其他需要说明的事项。</w:t>
      </w:r>
    </w:p>
    <w:p>
      <w:pPr>
        <w:rPr>
          <w:rFonts w:hint="default" w:ascii="Times New Roman" w:hAnsi="Times New Roman" w:cs="Times New Roman"/>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MzlhNGNjZTdmOTE3ZTJiMmQ1ZjI3YTlhOTI4MjkifQ=="/>
  </w:docVars>
  <w:rsids>
    <w:rsidRoot w:val="00000000"/>
    <w:rsid w:val="014C6B51"/>
    <w:rsid w:val="01853E11"/>
    <w:rsid w:val="026B61EE"/>
    <w:rsid w:val="027125E7"/>
    <w:rsid w:val="04393603"/>
    <w:rsid w:val="05391C88"/>
    <w:rsid w:val="057B5C57"/>
    <w:rsid w:val="0A1B7A08"/>
    <w:rsid w:val="0A656ED5"/>
    <w:rsid w:val="0BB43C70"/>
    <w:rsid w:val="0CF74C6E"/>
    <w:rsid w:val="0E121122"/>
    <w:rsid w:val="0E9E6512"/>
    <w:rsid w:val="0FB110C5"/>
    <w:rsid w:val="10741C20"/>
    <w:rsid w:val="10F55175"/>
    <w:rsid w:val="14B7032D"/>
    <w:rsid w:val="1554671D"/>
    <w:rsid w:val="15684DE7"/>
    <w:rsid w:val="172D2B29"/>
    <w:rsid w:val="18003D99"/>
    <w:rsid w:val="18E90CD1"/>
    <w:rsid w:val="192B5A2E"/>
    <w:rsid w:val="192F6D69"/>
    <w:rsid w:val="1981715C"/>
    <w:rsid w:val="19B72B7E"/>
    <w:rsid w:val="19E41BC5"/>
    <w:rsid w:val="19E75211"/>
    <w:rsid w:val="1C2C1601"/>
    <w:rsid w:val="1D214EDE"/>
    <w:rsid w:val="20784E15"/>
    <w:rsid w:val="21C5052E"/>
    <w:rsid w:val="21F763A4"/>
    <w:rsid w:val="230706D2"/>
    <w:rsid w:val="23B674F2"/>
    <w:rsid w:val="23D4097D"/>
    <w:rsid w:val="269B185D"/>
    <w:rsid w:val="28902F18"/>
    <w:rsid w:val="2A1C2CB5"/>
    <w:rsid w:val="2A994305"/>
    <w:rsid w:val="2C22032B"/>
    <w:rsid w:val="2C5D5807"/>
    <w:rsid w:val="2C7A1F15"/>
    <w:rsid w:val="2D12039F"/>
    <w:rsid w:val="2D391DD0"/>
    <w:rsid w:val="2E7A09AB"/>
    <w:rsid w:val="2EFF4953"/>
    <w:rsid w:val="30226B4B"/>
    <w:rsid w:val="303E1027"/>
    <w:rsid w:val="30843362"/>
    <w:rsid w:val="3196159F"/>
    <w:rsid w:val="322E5C7B"/>
    <w:rsid w:val="32CE4D68"/>
    <w:rsid w:val="333F7A14"/>
    <w:rsid w:val="33A61841"/>
    <w:rsid w:val="381256F7"/>
    <w:rsid w:val="38741F0E"/>
    <w:rsid w:val="387B329C"/>
    <w:rsid w:val="3A4E18F4"/>
    <w:rsid w:val="3A6A7A6C"/>
    <w:rsid w:val="3B2B0729"/>
    <w:rsid w:val="3C4B11D8"/>
    <w:rsid w:val="3D8F1598"/>
    <w:rsid w:val="3EE85404"/>
    <w:rsid w:val="4346094B"/>
    <w:rsid w:val="43CA6669"/>
    <w:rsid w:val="440249D4"/>
    <w:rsid w:val="45C02C36"/>
    <w:rsid w:val="46FA5CD4"/>
    <w:rsid w:val="475A49C5"/>
    <w:rsid w:val="49172B6D"/>
    <w:rsid w:val="49FF5A15"/>
    <w:rsid w:val="4A7D2EA4"/>
    <w:rsid w:val="4AE271AB"/>
    <w:rsid w:val="4AF60EA8"/>
    <w:rsid w:val="4BB37EEF"/>
    <w:rsid w:val="4D44414D"/>
    <w:rsid w:val="4D583754"/>
    <w:rsid w:val="4FE06529"/>
    <w:rsid w:val="50D51A09"/>
    <w:rsid w:val="52EA30A1"/>
    <w:rsid w:val="557B16CA"/>
    <w:rsid w:val="55913CA7"/>
    <w:rsid w:val="55EC2C79"/>
    <w:rsid w:val="56B539C6"/>
    <w:rsid w:val="56B91057"/>
    <w:rsid w:val="578F06BB"/>
    <w:rsid w:val="5980475F"/>
    <w:rsid w:val="59E7658C"/>
    <w:rsid w:val="5B6F05E7"/>
    <w:rsid w:val="5D373386"/>
    <w:rsid w:val="5D7E7207"/>
    <w:rsid w:val="5E5B30A5"/>
    <w:rsid w:val="5EE96902"/>
    <w:rsid w:val="5F3F4774"/>
    <w:rsid w:val="61CE1DDF"/>
    <w:rsid w:val="62612C54"/>
    <w:rsid w:val="62634C1E"/>
    <w:rsid w:val="64A07A63"/>
    <w:rsid w:val="671A30F5"/>
    <w:rsid w:val="675039C2"/>
    <w:rsid w:val="679E3E90"/>
    <w:rsid w:val="695E1C9B"/>
    <w:rsid w:val="6A46404D"/>
    <w:rsid w:val="6DDD5884"/>
    <w:rsid w:val="6ECB0885"/>
    <w:rsid w:val="70424AE3"/>
    <w:rsid w:val="71173B1B"/>
    <w:rsid w:val="711A0B9D"/>
    <w:rsid w:val="712E4649"/>
    <w:rsid w:val="73944C37"/>
    <w:rsid w:val="73B47087"/>
    <w:rsid w:val="73C35316"/>
    <w:rsid w:val="743469A4"/>
    <w:rsid w:val="78857244"/>
    <w:rsid w:val="79A951B4"/>
    <w:rsid w:val="7ABD3FF2"/>
    <w:rsid w:val="7B191EC6"/>
    <w:rsid w:val="7B203254"/>
    <w:rsid w:val="7B4A02D1"/>
    <w:rsid w:val="7C865339"/>
    <w:rsid w:val="7DD722F0"/>
    <w:rsid w:val="7F0C5FC9"/>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customStyle="1" w:styleId="4">
    <w:name w:val="插入文本样式-插入部门职责文件"/>
    <w:basedOn w:val="1"/>
    <w:autoRedefine/>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5">
    <w:name w:val="插入文本样式-插入总体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6">
    <w:name w:val="单元格样式20"/>
    <w:basedOn w:val="1"/>
    <w:autoRedefine/>
    <w:qFormat/>
    <w:uiPriority w:val="0"/>
    <w:rPr>
      <w:rFonts w:ascii="方正小标宋_GBK" w:hAnsi="方正小标宋_GBK" w:eastAsia="方正小标宋_GBK" w:cs="方正小标宋_GBK"/>
    </w:rPr>
  </w:style>
  <w:style w:type="paragraph" w:customStyle="1" w:styleId="7">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8">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9">
    <w:name w:val="单元格样式2"/>
    <w:basedOn w:val="1"/>
    <w:autoRedefine/>
    <w:qFormat/>
    <w:uiPriority w:val="0"/>
    <w:rPr>
      <w:rFonts w:ascii="方正书宋_GBK" w:hAnsi="方正书宋_GBK" w:eastAsia="方正书宋_GBK" w:cs="方正书宋_GBK"/>
      <w:sz w:val="21"/>
    </w:rPr>
  </w:style>
  <w:style w:type="paragraph" w:customStyle="1" w:styleId="10">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1">
    <w:name w:val="单元格样式4"/>
    <w:basedOn w:val="1"/>
    <w:autoRedefine/>
    <w:qFormat/>
    <w:uiPriority w:val="0"/>
    <w:pPr>
      <w:jc w:val="right"/>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23666</Words>
  <Characters>37470</Characters>
  <Lines>0</Lines>
  <Paragraphs>0</Paragraphs>
  <TotalTime>843</TotalTime>
  <ScaleCrop>false</ScaleCrop>
  <LinksUpToDate>false</LinksUpToDate>
  <CharactersWithSpaces>41298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2023-02-17T01:36:00Z</dcterms:created>
  <dc:creator>lenovo</dc:creator>
  <cp:lastModifiedBy>这边有改动</cp:lastModifiedBy>
  <cp:lastPrinted>2023-02-21T01:55:00Z</cp:lastPrinted>
  <dcterms:modified xsi:type="dcterms:W3CDTF">2024-01-10T08:18:12Z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0015AB5AEAC74725B167ECA4A7BF4E30</vt:lpwstr>
  </property>
</Properties>
</file>