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color="auto" w:fill="auto"/>
        <w:jc w:val="left"/>
        <w:rPr>
          <w:rFonts w:hint="eastAsia" w:ascii="Times New Roman" w:hAnsi="Times New Roman" w:eastAsia="仿宋" w:cs="仿宋"/>
          <w:color w:val="000000"/>
          <w:kern w:val="0"/>
          <w:sz w:val="32"/>
          <w:szCs w:val="32"/>
          <w:lang w:val="en-US" w:eastAsia="zh-CN" w:bidi="ar"/>
        </w:rPr>
      </w:pPr>
    </w:p>
    <w:p>
      <w:pPr>
        <w:keepNext w:val="0"/>
        <w:keepLines w:val="0"/>
        <w:widowControl/>
        <w:suppressLineNumbers w:val="0"/>
        <w:shd w:val="clear" w:color="auto" w:fill="auto"/>
        <w:jc w:val="left"/>
        <w:rPr>
          <w:rFonts w:hint="eastAsia" w:ascii="Times New Roman" w:hAnsi="Times New Roman" w:eastAsia="仿宋" w:cs="仿宋"/>
          <w:color w:val="000000"/>
          <w:kern w:val="0"/>
          <w:sz w:val="32"/>
          <w:szCs w:val="32"/>
          <w:lang w:val="en-US" w:eastAsia="zh-CN" w:bidi="ar"/>
        </w:rPr>
      </w:pPr>
      <w:r>
        <w:rPr>
          <w:rFonts w:hint="eastAsia" w:ascii="Times New Roman" w:hAnsi="Times New Roman" w:eastAsia="仿宋" w:cs="仿宋"/>
          <w:color w:val="000000"/>
          <w:kern w:val="0"/>
          <w:sz w:val="32"/>
          <w:szCs w:val="32"/>
          <w:lang w:val="en-US" w:eastAsia="zh-CN" w:bidi="ar"/>
        </w:rPr>
        <w:t>附件2：</w:t>
      </w:r>
      <w:bookmarkStart w:id="0" w:name="_GoBack"/>
      <w:bookmarkEnd w:id="0"/>
    </w:p>
    <w:p>
      <w:pPr>
        <w:keepNext w:val="0"/>
        <w:keepLines w:val="0"/>
        <w:widowControl/>
        <w:suppressLineNumbers w:val="0"/>
        <w:shd w:val="clear" w:color="auto" w:fill="auto"/>
        <w:jc w:val="center"/>
      </w:pPr>
      <w:r>
        <w:rPr>
          <w:rFonts w:hint="eastAsia" w:ascii="Times New Roman" w:hAnsi="Times New Roman" w:eastAsia="方正小标宋简体" w:cs="方正小标宋简体"/>
          <w:color w:val="000000"/>
          <w:kern w:val="0"/>
          <w:sz w:val="44"/>
          <w:szCs w:val="44"/>
          <w:lang w:val="en-US" w:eastAsia="zh-CN" w:bidi="ar"/>
        </w:rPr>
        <w:t>雄安新区第一批实行告知承诺制证明事项目录</w:t>
      </w:r>
    </w:p>
    <w:p>
      <w:pPr>
        <w:pStyle w:val="2"/>
        <w:shd w:val="clear" w:color="auto" w:fill="auto"/>
      </w:pPr>
    </w:p>
    <w:tbl>
      <w:tblPr>
        <w:tblStyle w:val="5"/>
        <w:tblW w:w="4868" w:type="pct"/>
        <w:jc w:val="center"/>
        <w:tblLayout w:type="autofit"/>
        <w:tblCellMar>
          <w:top w:w="0" w:type="dxa"/>
          <w:left w:w="108" w:type="dxa"/>
          <w:bottom w:w="0" w:type="dxa"/>
          <w:right w:w="108" w:type="dxa"/>
        </w:tblCellMar>
      </w:tblPr>
      <w:tblGrid>
        <w:gridCol w:w="544"/>
        <w:gridCol w:w="1307"/>
        <w:gridCol w:w="1388"/>
        <w:gridCol w:w="1873"/>
        <w:gridCol w:w="2079"/>
        <w:gridCol w:w="1986"/>
        <w:gridCol w:w="2187"/>
        <w:gridCol w:w="1232"/>
        <w:gridCol w:w="1313"/>
        <w:gridCol w:w="1042"/>
      </w:tblGrid>
      <w:tr>
        <w:tblPrEx>
          <w:tblCellMar>
            <w:top w:w="0" w:type="dxa"/>
            <w:left w:w="108" w:type="dxa"/>
            <w:bottom w:w="0" w:type="dxa"/>
            <w:right w:w="108" w:type="dxa"/>
          </w:tblCellMar>
        </w:tblPrEx>
        <w:trPr>
          <w:trHeight w:val="640" w:hRule="atLeast"/>
          <w:tblHeader/>
          <w:jc w:val="center"/>
        </w:trPr>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hd w:val="clear" w:color="auto" w:fill="auto"/>
              <w:spacing w:before="12"/>
              <w:jc w:val="center"/>
              <w:rPr>
                <w:rFonts w:hint="eastAsia" w:ascii="Times New Roman" w:hAnsi="Times New Roman" w:eastAsiaTheme="minorEastAsia" w:cstheme="minorEastAsia"/>
                <w:b/>
                <w:sz w:val="20"/>
                <w:szCs w:val="20"/>
              </w:rPr>
            </w:pPr>
            <w:r>
              <w:rPr>
                <w:rFonts w:hint="eastAsia" w:ascii="Times New Roman" w:hAnsi="Times New Roman" w:eastAsiaTheme="minorEastAsia" w:cstheme="minorEastAsia"/>
                <w:b/>
                <w:sz w:val="20"/>
                <w:szCs w:val="20"/>
              </w:rPr>
              <w:t>序号</w:t>
            </w:r>
          </w:p>
        </w:tc>
        <w:tc>
          <w:tcPr>
            <w:tcW w:w="4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hd w:val="clear" w:color="auto" w:fill="auto"/>
              <w:spacing w:before="12"/>
              <w:jc w:val="center"/>
              <w:rPr>
                <w:rFonts w:hint="eastAsia" w:ascii="Times New Roman" w:hAnsi="Times New Roman" w:eastAsiaTheme="minorEastAsia" w:cstheme="minorEastAsia"/>
                <w:b/>
                <w:sz w:val="20"/>
                <w:szCs w:val="20"/>
              </w:rPr>
            </w:pPr>
            <w:r>
              <w:rPr>
                <w:rFonts w:hint="eastAsia" w:ascii="Times New Roman" w:hAnsi="Times New Roman" w:eastAsiaTheme="minorEastAsia" w:cstheme="minorEastAsia"/>
                <w:b/>
                <w:sz w:val="20"/>
                <w:szCs w:val="20"/>
              </w:rPr>
              <w:t>事项名称</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hd w:val="clear" w:color="auto" w:fill="auto"/>
              <w:spacing w:before="12"/>
              <w:jc w:val="center"/>
              <w:rPr>
                <w:rFonts w:hint="eastAsia" w:ascii="Times New Roman" w:hAnsi="Times New Roman" w:eastAsiaTheme="minorEastAsia" w:cstheme="minorEastAsia"/>
                <w:b/>
                <w:sz w:val="20"/>
                <w:szCs w:val="20"/>
              </w:rPr>
            </w:pPr>
            <w:r>
              <w:rPr>
                <w:rFonts w:hint="eastAsia" w:ascii="Times New Roman" w:hAnsi="Times New Roman" w:eastAsiaTheme="minorEastAsia" w:cstheme="minorEastAsia"/>
                <w:b/>
                <w:sz w:val="20"/>
                <w:szCs w:val="20"/>
              </w:rPr>
              <w:t>事项用途</w:t>
            </w:r>
          </w:p>
        </w:tc>
        <w:tc>
          <w:tcPr>
            <w:tcW w:w="271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hd w:val="clear" w:color="auto" w:fill="auto"/>
              <w:spacing w:before="12"/>
              <w:jc w:val="center"/>
              <w:rPr>
                <w:rFonts w:hint="eastAsia" w:ascii="Times New Roman" w:hAnsi="Times New Roman" w:eastAsiaTheme="minorEastAsia" w:cstheme="minorEastAsia"/>
                <w:b/>
                <w:sz w:val="20"/>
                <w:szCs w:val="20"/>
              </w:rPr>
            </w:pPr>
            <w:r>
              <w:rPr>
                <w:rFonts w:hint="eastAsia" w:ascii="Times New Roman" w:hAnsi="Times New Roman" w:eastAsiaTheme="minorEastAsia" w:cstheme="minorEastAsia"/>
                <w:b/>
                <w:sz w:val="20"/>
                <w:szCs w:val="20"/>
              </w:rPr>
              <w:t>设定依据</w:t>
            </w:r>
          </w:p>
        </w:tc>
        <w:tc>
          <w:tcPr>
            <w:tcW w:w="4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hd w:val="clear" w:color="auto" w:fill="auto"/>
              <w:spacing w:before="12"/>
              <w:jc w:val="center"/>
              <w:rPr>
                <w:rFonts w:hint="eastAsia" w:ascii="Times New Roman" w:hAnsi="Times New Roman" w:eastAsiaTheme="minorEastAsia" w:cstheme="minorEastAsia"/>
                <w:b/>
                <w:sz w:val="20"/>
                <w:szCs w:val="20"/>
              </w:rPr>
            </w:pPr>
            <w:r>
              <w:rPr>
                <w:rFonts w:hint="eastAsia" w:ascii="Times New Roman" w:hAnsi="Times New Roman" w:eastAsiaTheme="minorEastAsia" w:cstheme="minorEastAsia"/>
                <w:b/>
                <w:sz w:val="20"/>
                <w:szCs w:val="20"/>
              </w:rPr>
              <w:t>索证部门</w:t>
            </w:r>
          </w:p>
        </w:tc>
        <w:tc>
          <w:tcPr>
            <w:tcW w:w="4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hd w:val="clear" w:color="auto" w:fill="auto"/>
              <w:spacing w:before="12"/>
              <w:jc w:val="center"/>
              <w:rPr>
                <w:rFonts w:hint="eastAsia" w:ascii="Times New Roman" w:hAnsi="Times New Roman" w:eastAsiaTheme="minorEastAsia" w:cstheme="minorEastAsia"/>
                <w:b/>
                <w:sz w:val="20"/>
                <w:szCs w:val="20"/>
              </w:rPr>
            </w:pPr>
            <w:r>
              <w:rPr>
                <w:rFonts w:hint="eastAsia" w:ascii="Times New Roman" w:hAnsi="Times New Roman" w:eastAsiaTheme="minorEastAsia" w:cstheme="minorEastAsia"/>
                <w:b/>
                <w:sz w:val="20"/>
                <w:szCs w:val="20"/>
              </w:rPr>
              <w:t>出具部门</w:t>
            </w:r>
          </w:p>
        </w:tc>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hd w:val="clear" w:color="auto" w:fill="auto"/>
              <w:spacing w:before="12"/>
              <w:jc w:val="center"/>
              <w:rPr>
                <w:rFonts w:hint="eastAsia" w:ascii="Times New Roman" w:hAnsi="Times New Roman" w:eastAsiaTheme="minorEastAsia" w:cstheme="minorEastAsia"/>
                <w:b/>
                <w:sz w:val="20"/>
                <w:szCs w:val="20"/>
              </w:rPr>
            </w:pPr>
            <w:r>
              <w:rPr>
                <w:rFonts w:hint="eastAsia" w:ascii="Times New Roman" w:hAnsi="Times New Roman" w:eastAsiaTheme="minorEastAsia" w:cstheme="minorEastAsia"/>
                <w:b/>
                <w:sz w:val="20"/>
                <w:szCs w:val="20"/>
              </w:rPr>
              <w:t>备注</w:t>
            </w:r>
          </w:p>
        </w:tc>
      </w:tr>
      <w:tr>
        <w:tblPrEx>
          <w:tblCellMar>
            <w:top w:w="0" w:type="dxa"/>
            <w:left w:w="108" w:type="dxa"/>
            <w:bottom w:w="0" w:type="dxa"/>
            <w:right w:w="108" w:type="dxa"/>
          </w:tblCellMar>
        </w:tblPrEx>
        <w:trPr>
          <w:trHeight w:val="740" w:hRule="atLeast"/>
          <w:tblHeader/>
          <w:jc w:val="center"/>
        </w:trPr>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center"/>
              <w:rPr>
                <w:rFonts w:ascii="Times New Roman" w:hAnsi="Times New Roman" w:eastAsia="黑体" w:cs="黑体"/>
                <w:color w:val="000000"/>
                <w:szCs w:val="32"/>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center"/>
              <w:rPr>
                <w:rFonts w:ascii="Times New Roman" w:hAnsi="Times New Roman" w:eastAsia="黑体" w:cs="黑体"/>
                <w:color w:val="000000"/>
                <w:szCs w:val="32"/>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center"/>
              <w:rPr>
                <w:rFonts w:ascii="Times New Roman" w:hAnsi="Times New Roman" w:eastAsia="黑体" w:cs="黑体"/>
                <w:color w:val="000000"/>
                <w:szCs w:val="32"/>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hd w:val="clear" w:color="auto" w:fill="auto"/>
              <w:spacing w:before="12"/>
              <w:jc w:val="center"/>
              <w:rPr>
                <w:rFonts w:hint="eastAsia" w:ascii="Times New Roman" w:hAnsi="Times New Roman" w:eastAsiaTheme="minorEastAsia" w:cstheme="minorEastAsia"/>
                <w:b/>
                <w:sz w:val="20"/>
                <w:szCs w:val="20"/>
              </w:rPr>
            </w:pPr>
            <w:r>
              <w:rPr>
                <w:rFonts w:hint="eastAsia" w:ascii="Times New Roman" w:hAnsi="Times New Roman" w:eastAsiaTheme="minorEastAsia" w:cstheme="minorEastAsia"/>
                <w:b/>
                <w:sz w:val="20"/>
                <w:szCs w:val="20"/>
              </w:rPr>
              <w:t>法律</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hd w:val="clear" w:color="auto" w:fill="auto"/>
              <w:spacing w:before="12"/>
              <w:jc w:val="center"/>
              <w:rPr>
                <w:rFonts w:hint="eastAsia" w:ascii="Times New Roman" w:hAnsi="Times New Roman" w:eastAsiaTheme="minorEastAsia" w:cstheme="minorEastAsia"/>
                <w:b/>
                <w:sz w:val="20"/>
                <w:szCs w:val="20"/>
              </w:rPr>
            </w:pPr>
            <w:r>
              <w:rPr>
                <w:rFonts w:hint="eastAsia" w:ascii="Times New Roman" w:hAnsi="Times New Roman" w:eastAsiaTheme="minorEastAsia" w:cstheme="minorEastAsia"/>
                <w:b/>
                <w:sz w:val="20"/>
                <w:szCs w:val="20"/>
              </w:rPr>
              <w:t>法规</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hd w:val="clear" w:color="auto" w:fill="auto"/>
              <w:spacing w:before="12"/>
              <w:jc w:val="center"/>
              <w:rPr>
                <w:rFonts w:hint="eastAsia" w:ascii="Times New Roman" w:hAnsi="Times New Roman" w:eastAsiaTheme="minorEastAsia" w:cstheme="minorEastAsia"/>
                <w:b/>
                <w:sz w:val="20"/>
                <w:szCs w:val="20"/>
              </w:rPr>
            </w:pPr>
            <w:r>
              <w:rPr>
                <w:rFonts w:hint="eastAsia" w:ascii="Times New Roman" w:hAnsi="Times New Roman" w:eastAsiaTheme="minorEastAsia" w:cstheme="minorEastAsia"/>
                <w:b/>
                <w:sz w:val="20"/>
                <w:szCs w:val="20"/>
              </w:rPr>
              <w:t>国务院决定</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hd w:val="clear" w:color="auto" w:fill="auto"/>
              <w:spacing w:before="12"/>
              <w:jc w:val="center"/>
              <w:rPr>
                <w:rFonts w:hint="eastAsia" w:ascii="Times New Roman" w:hAnsi="Times New Roman" w:eastAsiaTheme="minorEastAsia" w:cstheme="minorEastAsia"/>
                <w:b/>
                <w:sz w:val="20"/>
                <w:szCs w:val="20"/>
              </w:rPr>
            </w:pPr>
            <w:r>
              <w:rPr>
                <w:rFonts w:hint="eastAsia" w:ascii="Times New Roman" w:hAnsi="Times New Roman" w:eastAsiaTheme="minorEastAsia" w:cstheme="minorEastAsia"/>
                <w:b/>
                <w:sz w:val="20"/>
                <w:szCs w:val="20"/>
              </w:rPr>
              <w:t>规章等程序性规定</w:t>
            </w:r>
          </w:p>
        </w:tc>
        <w:tc>
          <w:tcPr>
            <w:tcW w:w="4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center"/>
              <w:rPr>
                <w:rFonts w:ascii="Times New Roman" w:hAnsi="Times New Roman" w:eastAsia="黑体" w:cs="黑体"/>
                <w:color w:val="000000"/>
                <w:szCs w:val="32"/>
              </w:rPr>
            </w:pPr>
          </w:p>
        </w:tc>
        <w:tc>
          <w:tcPr>
            <w:tcW w:w="4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center"/>
              <w:rPr>
                <w:rFonts w:ascii="Times New Roman" w:hAnsi="Times New Roman" w:eastAsia="黑体" w:cs="黑体"/>
                <w:color w:val="000000"/>
                <w:szCs w:val="32"/>
              </w:rPr>
            </w:pPr>
          </w:p>
        </w:tc>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center"/>
              <w:rPr>
                <w:rFonts w:ascii="Times New Roman" w:hAnsi="Times New Roman" w:eastAsia="黑体" w:cs="黑体"/>
                <w:color w:val="000000"/>
                <w:szCs w:val="32"/>
              </w:rPr>
            </w:pPr>
          </w:p>
        </w:tc>
      </w:tr>
      <w:tr>
        <w:tblPrEx>
          <w:tblCellMar>
            <w:top w:w="0" w:type="dxa"/>
            <w:left w:w="108" w:type="dxa"/>
            <w:bottom w:w="0" w:type="dxa"/>
            <w:right w:w="108" w:type="dxa"/>
          </w:tblCellMar>
        </w:tblPrEx>
        <w:trPr>
          <w:trHeight w:val="3374"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kern w:val="0"/>
                <w:sz w:val="21"/>
                <w:szCs w:val="21"/>
                <w:lang w:val="en-US" w:eastAsia="zh-CN" w:bidi="ar"/>
              </w:rPr>
            </w:pPr>
            <w:r>
              <w:rPr>
                <w:rFonts w:hint="eastAsia" w:ascii="Times New Roman" w:hAnsi="Times New Roman" w:cs="仿宋_GB2312"/>
                <w:kern w:val="0"/>
                <w:sz w:val="21"/>
                <w:szCs w:val="21"/>
                <w:lang w:val="en-US" w:eastAsia="zh-CN" w:bidi="ar"/>
              </w:rPr>
              <w:t>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cs="仿宋_GB2312"/>
                <w:kern w:val="0"/>
                <w:sz w:val="21"/>
                <w:szCs w:val="21"/>
                <w:lang w:bidi="ar"/>
              </w:rPr>
            </w:pPr>
            <w:r>
              <w:rPr>
                <w:rFonts w:hint="eastAsia" w:ascii="Times New Roman" w:hAnsi="Times New Roman" w:cs="仿宋_GB2312"/>
                <w:kern w:val="0"/>
                <w:sz w:val="21"/>
                <w:szCs w:val="21"/>
                <w:lang w:bidi="ar"/>
              </w:rPr>
              <w:t>办理户口登记、迁移的亲属关系证明</w:t>
            </w:r>
            <w:r>
              <w:rPr>
                <w:rFonts w:hint="eastAsia" w:eastAsia="宋体" w:cs="仿宋_GB2312"/>
                <w:kern w:val="0"/>
                <w:sz w:val="21"/>
                <w:szCs w:val="21"/>
                <w:lang w:eastAsia="zh-CN" w:bidi="ar"/>
              </w:rPr>
              <w:t>（</w:t>
            </w:r>
            <w:r>
              <w:rPr>
                <w:rFonts w:hint="eastAsia" w:ascii="Times New Roman" w:hAnsi="Times New Roman" w:cs="仿宋_GB2312"/>
                <w:kern w:val="0"/>
                <w:sz w:val="21"/>
                <w:szCs w:val="21"/>
                <w:lang w:bidi="ar"/>
              </w:rPr>
              <w:t>结婚证、户口簿、出生证明等不能证明的</w:t>
            </w:r>
            <w:r>
              <w:rPr>
                <w:rFonts w:hint="eastAsia" w:eastAsia="宋体" w:cs="仿宋_GB2312"/>
                <w:kern w:val="0"/>
                <w:sz w:val="21"/>
                <w:szCs w:val="21"/>
                <w:lang w:eastAsia="zh-CN" w:bidi="ar"/>
              </w:rPr>
              <w:t>）</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cs="仿宋_GB2312"/>
                <w:kern w:val="0"/>
                <w:sz w:val="21"/>
                <w:szCs w:val="21"/>
                <w:lang w:bidi="ar"/>
              </w:rPr>
            </w:pPr>
            <w:r>
              <w:rPr>
                <w:rFonts w:hint="eastAsia" w:ascii="Times New Roman" w:hAnsi="Times New Roman" w:cs="仿宋_GB2312"/>
                <w:kern w:val="0"/>
                <w:sz w:val="21"/>
                <w:szCs w:val="21"/>
                <w:lang w:bidi="ar"/>
              </w:rPr>
              <w:t>办理户口登记、迁移等</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cs="仿宋_GB2312"/>
                <w:kern w:val="0"/>
                <w:sz w:val="21"/>
                <w:szCs w:val="21"/>
                <w:lang w:bidi="ar"/>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cs="仿宋_GB2312"/>
                <w:kern w:val="0"/>
                <w:sz w:val="21"/>
                <w:szCs w:val="21"/>
                <w:lang w:bidi="ar"/>
              </w:rPr>
            </w:pPr>
            <w:r>
              <w:rPr>
                <w:rFonts w:hint="eastAsia" w:ascii="Times New Roman" w:hAnsi="Times New Roman" w:cs="仿宋_GB2312"/>
                <w:kern w:val="0"/>
                <w:sz w:val="21"/>
                <w:szCs w:val="21"/>
                <w:lang w:bidi="ar"/>
              </w:rPr>
              <w:t>《中华人民共和国户口登记条例》</w:t>
            </w:r>
            <w:r>
              <w:rPr>
                <w:rFonts w:hint="eastAsia" w:eastAsia="宋体" w:cs="仿宋_GB2312"/>
                <w:kern w:val="0"/>
                <w:sz w:val="21"/>
                <w:szCs w:val="21"/>
                <w:lang w:eastAsia="zh-CN" w:bidi="ar"/>
              </w:rPr>
              <w:t>（</w:t>
            </w:r>
            <w:r>
              <w:rPr>
                <w:rFonts w:hint="eastAsia" w:ascii="Times New Roman" w:hAnsi="Times New Roman" w:cs="仿宋_GB2312"/>
                <w:kern w:val="0"/>
                <w:sz w:val="21"/>
                <w:szCs w:val="21"/>
                <w:lang w:bidi="ar"/>
              </w:rPr>
              <w:t>1958年1月9日</w:t>
            </w:r>
            <w:r>
              <w:rPr>
                <w:rFonts w:hint="eastAsia" w:eastAsia="宋体" w:cs="仿宋_GB2312"/>
                <w:kern w:val="0"/>
                <w:sz w:val="21"/>
                <w:szCs w:val="21"/>
                <w:lang w:eastAsia="zh-CN" w:bidi="ar"/>
              </w:rPr>
              <w:t>主席令</w:t>
            </w:r>
            <w:r>
              <w:rPr>
                <w:rFonts w:hint="eastAsia" w:ascii="Times New Roman" w:hAnsi="Times New Roman" w:cs="仿宋_GB2312"/>
                <w:kern w:val="0"/>
                <w:sz w:val="21"/>
                <w:szCs w:val="21"/>
                <w:lang w:bidi="ar"/>
              </w:rPr>
              <w:t>公布</w:t>
            </w:r>
            <w:r>
              <w:rPr>
                <w:rFonts w:hint="eastAsia" w:eastAsia="宋体" w:cs="仿宋_GB2312"/>
                <w:kern w:val="0"/>
                <w:sz w:val="21"/>
                <w:szCs w:val="21"/>
                <w:lang w:eastAsia="zh-CN" w:bidi="ar"/>
              </w:rPr>
              <w:t>，</w:t>
            </w:r>
            <w:r>
              <w:rPr>
                <w:rFonts w:hint="eastAsia" w:ascii="Times New Roman" w:hAnsi="Times New Roman" w:cs="仿宋_GB2312"/>
                <w:kern w:val="0"/>
                <w:sz w:val="21"/>
                <w:szCs w:val="21"/>
                <w:lang w:bidi="ar"/>
              </w:rPr>
              <w:t>1958年1月9日起施行</w:t>
            </w:r>
            <w:r>
              <w:rPr>
                <w:rFonts w:hint="eastAsia" w:eastAsia="宋体" w:cs="仿宋_GB2312"/>
                <w:kern w:val="0"/>
                <w:sz w:val="21"/>
                <w:szCs w:val="21"/>
                <w:lang w:eastAsia="zh-CN" w:bidi="ar"/>
              </w:rPr>
              <w:t>）</w:t>
            </w:r>
            <w:r>
              <w:rPr>
                <w:rFonts w:hint="eastAsia" w:ascii="Times New Roman" w:hAnsi="Times New Roman" w:cs="仿宋_GB2312"/>
                <w:kern w:val="0"/>
                <w:sz w:val="21"/>
                <w:szCs w:val="21"/>
                <w:lang w:bidi="ar"/>
              </w:rPr>
              <w:t>第十七条、第十九条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cs="仿宋_GB2312"/>
                <w:kern w:val="0"/>
                <w:sz w:val="21"/>
                <w:szCs w:val="21"/>
                <w:lang w:bidi="ar"/>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cs="仿宋_GB2312"/>
                <w:kern w:val="0"/>
                <w:sz w:val="21"/>
                <w:szCs w:val="21"/>
                <w:lang w:bidi="ar"/>
              </w:rPr>
            </w:pPr>
            <w:r>
              <w:rPr>
                <w:rFonts w:hint="eastAsia" w:ascii="Times New Roman" w:hAnsi="Times New Roman" w:cs="仿宋_GB2312"/>
                <w:kern w:val="0"/>
                <w:sz w:val="21"/>
                <w:szCs w:val="21"/>
                <w:lang w:bidi="ar"/>
              </w:rPr>
              <w:t>公安部等12部门联合印发的《关于改进和规范公安派出所出具证明工作的意见》</w:t>
            </w:r>
            <w:r>
              <w:rPr>
                <w:rFonts w:hint="eastAsia" w:eastAsia="宋体" w:cs="仿宋_GB2312"/>
                <w:kern w:val="0"/>
                <w:sz w:val="21"/>
                <w:szCs w:val="21"/>
                <w:lang w:eastAsia="zh-CN" w:bidi="ar"/>
              </w:rPr>
              <w:t>（</w:t>
            </w:r>
            <w:r>
              <w:rPr>
                <w:rFonts w:hint="eastAsia" w:ascii="Times New Roman" w:hAnsi="Times New Roman" w:cs="仿宋_GB2312"/>
                <w:kern w:val="0"/>
                <w:sz w:val="21"/>
                <w:szCs w:val="21"/>
                <w:lang w:bidi="ar"/>
              </w:rPr>
              <w:t>公通字〔2016〕21号</w:t>
            </w:r>
            <w:r>
              <w:rPr>
                <w:rFonts w:hint="eastAsia" w:eastAsia="宋体" w:cs="仿宋_GB2312"/>
                <w:kern w:val="0"/>
                <w:sz w:val="21"/>
                <w:szCs w:val="21"/>
                <w:lang w:eastAsia="zh-CN" w:bidi="ar"/>
              </w:rPr>
              <w:t>）</w:t>
            </w:r>
            <w:r>
              <w:rPr>
                <w:rFonts w:hint="eastAsia" w:ascii="Times New Roman" w:hAnsi="Times New Roman" w:cs="仿宋_GB2312"/>
                <w:kern w:val="0"/>
                <w:sz w:val="21"/>
                <w:szCs w:val="21"/>
                <w:lang w:bidi="ar"/>
              </w:rPr>
              <w:t>第二条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cs="仿宋_GB2312"/>
                <w:kern w:val="0"/>
                <w:sz w:val="21"/>
                <w:szCs w:val="21"/>
                <w:lang w:bidi="ar"/>
              </w:rPr>
            </w:pPr>
            <w:r>
              <w:rPr>
                <w:rFonts w:hint="eastAsia" w:ascii="Times New Roman" w:hAnsi="Times New Roman" w:cs="仿宋_GB2312"/>
                <w:kern w:val="0"/>
                <w:sz w:val="21"/>
                <w:szCs w:val="21"/>
                <w:lang w:bidi="ar"/>
              </w:rPr>
              <w:t>户口登记</w:t>
            </w:r>
            <w:r>
              <w:rPr>
                <w:rFonts w:hint="eastAsia" w:eastAsia="宋体" w:cs="仿宋_GB2312"/>
                <w:kern w:val="0"/>
                <w:sz w:val="21"/>
                <w:szCs w:val="21"/>
                <w:lang w:eastAsia="zh-CN" w:bidi="ar"/>
              </w:rPr>
              <w:t>、</w:t>
            </w:r>
            <w:r>
              <w:rPr>
                <w:rFonts w:hint="eastAsia" w:ascii="Times New Roman" w:hAnsi="Times New Roman" w:cs="仿宋_GB2312"/>
                <w:kern w:val="0"/>
                <w:sz w:val="21"/>
                <w:szCs w:val="21"/>
                <w:lang w:bidi="ar"/>
              </w:rPr>
              <w:t>户口迁入地公安派出所</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cs="仿宋_GB2312"/>
                <w:kern w:val="0"/>
                <w:sz w:val="21"/>
                <w:szCs w:val="21"/>
                <w:lang w:bidi="ar"/>
              </w:rPr>
            </w:pPr>
            <w:r>
              <w:rPr>
                <w:rFonts w:hint="eastAsia" w:ascii="Times New Roman" w:hAnsi="Times New Roman" w:cs="仿宋_GB2312"/>
                <w:kern w:val="0"/>
                <w:sz w:val="21"/>
                <w:szCs w:val="21"/>
                <w:lang w:bidi="ar"/>
              </w:rPr>
              <w:t>原户口所在地公安派出所</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cs="仿宋_GB2312"/>
                <w:kern w:val="0"/>
                <w:sz w:val="21"/>
                <w:szCs w:val="21"/>
                <w:lang w:bidi="ar"/>
              </w:rPr>
            </w:pPr>
          </w:p>
        </w:tc>
      </w:tr>
      <w:tr>
        <w:tblPrEx>
          <w:tblCellMar>
            <w:top w:w="0" w:type="dxa"/>
            <w:left w:w="108" w:type="dxa"/>
            <w:bottom w:w="0" w:type="dxa"/>
            <w:right w:w="108" w:type="dxa"/>
          </w:tblCellMar>
        </w:tblPrEx>
        <w:trPr>
          <w:trHeight w:val="2711"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sz w:val="21"/>
                <w:szCs w:val="21"/>
                <w:lang w:val="en-US" w:eastAsia="zh-CN"/>
              </w:rPr>
              <w:t>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申请出租汽车驾驶员从业资格考试的人员无暴力犯罪记录，无吸毒记录证明</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出租汽车驾驶员从业资格考试</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《中华人民共和国道路交通安全法》（2021年4月29日修改）第十九条</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《中华人民共和国道路运输条例》（国务院令第406号，2019年3月2日修订）第八十二条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《国务院对确需保留的行政审批项目设定行政许可的决定》（国务院令第412号）第112项</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《出租汽车驾驶员从业资格管理规定》（交通运输部令2016年第63号）第十一条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市、县级出租汽车管理部门、行政审批部门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市、县公安部门</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r>
      <w:tr>
        <w:tblPrEx>
          <w:tblCellMar>
            <w:top w:w="0" w:type="dxa"/>
            <w:left w:w="108" w:type="dxa"/>
            <w:bottom w:w="0" w:type="dxa"/>
            <w:right w:w="108" w:type="dxa"/>
          </w:tblCellMar>
        </w:tblPrEx>
        <w:trPr>
          <w:trHeight w:val="2625"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sz w:val="21"/>
                <w:szCs w:val="21"/>
                <w:lang w:val="en-US" w:eastAsia="zh-CN"/>
              </w:rPr>
              <w:t>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出租汽车驾驶员从业资格考试的无交通肇事犯罪、危险驾驶犯罪记录，无饮酒后驾驶记录，最近连续3个记分周期内没有记满12分记录的证明</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出租汽车驾驶员从业资格考试</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《中华人民共和国道路交通安全法》（2021年4月29日修改）第十九条</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《中华人民共和国道路运输条例》（国务院令第406号，2019年3月2日修订）第八十二条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《国务院对确需保留的行政审批项目设定行政许可的决定》（国务院令第412号）第112项</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《出租汽车驾驶员从业资格管理规定》（交通运输部令2016年第63号）第十一条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市、县级出租汽车管理部门、行政审批部门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市、县公安交管部门</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r>
      <w:tr>
        <w:tblPrEx>
          <w:tblCellMar>
            <w:top w:w="0" w:type="dxa"/>
            <w:left w:w="108" w:type="dxa"/>
            <w:bottom w:w="0" w:type="dxa"/>
            <w:right w:w="108" w:type="dxa"/>
          </w:tblCellMar>
        </w:tblPrEx>
        <w:trPr>
          <w:trHeight w:val="2250"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sz w:val="21"/>
                <w:szCs w:val="21"/>
                <w:lang w:val="en-US" w:eastAsia="zh-CN"/>
              </w:rPr>
              <w:t>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巡游出租汽车经营的投资人、负责人资信证明</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巡游出租车经营许可审批</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《国务院对确需保留的行政审批项目设定行政许可的决定》（国务院令第412号，2004年7月1日起施行）第112项</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《巡游出租汽车经营服务管理规定》（交通运输部令2016年第64号）第九条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市、县级出租汽车管理部门、行政审批部门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具有法定资格的验资机构</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r>
      <w:tr>
        <w:tblPrEx>
          <w:tblCellMar>
            <w:top w:w="0" w:type="dxa"/>
            <w:left w:w="108" w:type="dxa"/>
            <w:bottom w:w="0" w:type="dxa"/>
            <w:right w:w="108" w:type="dxa"/>
          </w:tblCellMar>
        </w:tblPrEx>
        <w:trPr>
          <w:trHeight w:val="2250"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sz w:val="21"/>
                <w:szCs w:val="21"/>
                <w:lang w:val="en-US" w:eastAsia="zh-CN"/>
              </w:rPr>
              <w:t>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网络预约出租汽车经营的投资人、负责人资信证明</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网络预约出租汽车经营许可审批</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《国务院对确需保留的行政审批项目设定行政许可的决定》（国务院令第412号，2004年7月1日起施行）第112项</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《网络预约出租汽车经营服务管理暂行办法》（交通运输部2016年第60号令）第六条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市、县级出租汽车管理部门、行政审批部门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具有法定资格的验资机构</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r>
      <w:tr>
        <w:tblPrEx>
          <w:tblCellMar>
            <w:top w:w="0" w:type="dxa"/>
            <w:left w:w="108" w:type="dxa"/>
            <w:bottom w:w="0" w:type="dxa"/>
            <w:right w:w="108" w:type="dxa"/>
          </w:tblCellMar>
        </w:tblPrEx>
        <w:trPr>
          <w:trHeight w:val="2250"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sz w:val="21"/>
                <w:szCs w:val="21"/>
                <w:lang w:val="en-US" w:eastAsia="zh-CN"/>
              </w:rPr>
              <w:t>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道路旅客运输企业驾驶人员3年内无重大以上交通责任事故证明</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申请从事客运经营或客运班线</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《中华人民共和国道路运输条例》（国务院令第406号，2019年3月2日修订）第八条、第九条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市、县级行政审批部门、交通运输部门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市、县级公安交管部门</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r>
      <w:tr>
        <w:tblPrEx>
          <w:tblCellMar>
            <w:top w:w="0" w:type="dxa"/>
            <w:left w:w="108" w:type="dxa"/>
            <w:bottom w:w="0" w:type="dxa"/>
            <w:right w:w="108" w:type="dxa"/>
          </w:tblCellMar>
        </w:tblPrEx>
        <w:trPr>
          <w:trHeight w:val="1875"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sz w:val="21"/>
                <w:szCs w:val="21"/>
                <w:lang w:val="en-US" w:eastAsia="zh-CN"/>
              </w:rPr>
              <w:t>7</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经营性道路旅客运输驾驶员、道路危险货物运输驾驶员3年内无重大以上交通责任事故证明</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从事客运经营、道路危险货物运输经营的驾驶员应符合的条件</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《中华人民共和国道路运输条例》（国务院令第406号，2019年3月2日修订）第八条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《道路运输从业人员管理规定》（交通运输部2019年18号令）第九条、第十一条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市、县级行政审批部门、交通运输部门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市、县级公安交管部门</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r>
      <w:tr>
        <w:tblPrEx>
          <w:tblCellMar>
            <w:top w:w="0" w:type="dxa"/>
            <w:left w:w="108" w:type="dxa"/>
            <w:bottom w:w="0" w:type="dxa"/>
            <w:right w:w="108" w:type="dxa"/>
          </w:tblCellMar>
        </w:tblPrEx>
        <w:trPr>
          <w:trHeight w:val="2625"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sz w:val="21"/>
                <w:szCs w:val="21"/>
                <w:lang w:val="en-US" w:eastAsia="zh-CN"/>
              </w:rPr>
              <w:t>8</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供养直系亲属与死者关系证明（改为告知承诺制办理，通过部门间数据共享核查）</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办理养老保险丧葬补助金、抚恤金核定；个人账户一次性支付核定（养老保险服务）</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《中华人民共和国社会保险法》（2018年12月29日修正）第十七条、第十四条</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cs="仿宋_GB2312"/>
                <w:kern w:val="0"/>
                <w:sz w:val="21"/>
                <w:szCs w:val="21"/>
                <w:lang w:bidi="ar"/>
              </w:rPr>
            </w:pPr>
            <w:r>
              <w:rPr>
                <w:rFonts w:hint="eastAsia" w:ascii="Times New Roman" w:hAnsi="Times New Roman" w:cs="仿宋_GB2312"/>
                <w:kern w:val="0"/>
                <w:sz w:val="21"/>
                <w:szCs w:val="21"/>
                <w:lang w:bidi="ar"/>
              </w:rPr>
              <w:t>《人力资源社会保障部关于印发机关事业单位工作人员基本养老保险经办规程的通知》（人社部发〔2015〕32号）第四十条、第四十一条</w:t>
            </w:r>
          </w:p>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《关于印发基本养老保险经办业务规程（试行）的通知》（劳社险中心函〔2003〕38号）第六十六条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人力资源社会保障部门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公安派出所</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r>
      <w:tr>
        <w:tblPrEx>
          <w:tblCellMar>
            <w:top w:w="0" w:type="dxa"/>
            <w:left w:w="108" w:type="dxa"/>
            <w:bottom w:w="0" w:type="dxa"/>
            <w:right w:w="108" w:type="dxa"/>
          </w:tblCellMar>
        </w:tblPrEx>
        <w:trPr>
          <w:trHeight w:val="2250"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sz w:val="21"/>
                <w:szCs w:val="21"/>
                <w:lang w:val="en-US" w:eastAsia="zh-CN"/>
              </w:rPr>
              <w:t>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离退休人员死亡证明（通过告知承诺制、部门间数据共享核查）</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办理养老保险丧葬补助金、抚恤金核定；个人账户一次性支付核定（养老保险服务）</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《中华人民共和国社会保险法》（2018年12月29日修正）第十七条</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《中华人民共和国劳动保险条例》（1953年1月2日修正）第十四条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《国务院关于建立统一的城乡居民基本养老保险制度的意见》（国发〔2014〕8号）第七条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宋体" w:cs="仿宋_GB2312"/>
                <w:kern w:val="0"/>
                <w:sz w:val="21"/>
                <w:szCs w:val="21"/>
                <w:lang w:eastAsia="zh-CN" w:bidi="ar"/>
              </w:rPr>
            </w:pPr>
            <w:r>
              <w:rPr>
                <w:rFonts w:hint="eastAsia" w:ascii="Times New Roman" w:hAnsi="Times New Roman" w:cs="仿宋_GB2312"/>
                <w:kern w:val="0"/>
                <w:sz w:val="21"/>
                <w:szCs w:val="21"/>
                <w:lang w:bidi="ar"/>
              </w:rPr>
              <w:t>《机关事业单位工作人员基本养老保险经办规程的通知》（人社部发〔2015〕32号）第四十条、第四十一条</w:t>
            </w:r>
          </w:p>
          <w:p>
            <w:pPr>
              <w:pStyle w:val="2"/>
              <w:shd w:val="clear" w:color="auto" w:fill="auto"/>
              <w:rPr>
                <w:rFonts w:hint="eastAsia"/>
                <w:lang w:eastAsia="zh-CN"/>
              </w:rPr>
            </w:pPr>
          </w:p>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《关于印发基本养老保险经办业务规程（试行）的通知》（劳社险中心函〔2003〕38号）第六十六条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人力资源社会保障部门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公安部门</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r>
      <w:tr>
        <w:tblPrEx>
          <w:tblCellMar>
            <w:top w:w="0" w:type="dxa"/>
            <w:left w:w="108" w:type="dxa"/>
            <w:bottom w:w="0" w:type="dxa"/>
            <w:right w:w="108" w:type="dxa"/>
          </w:tblCellMar>
        </w:tblPrEx>
        <w:trPr>
          <w:trHeight w:val="2625"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default" w:ascii="Times New Roman" w:hAnsi="Times New Roman" w:eastAsia="新宋体" w:cs="仿宋_GB2312"/>
                <w:sz w:val="21"/>
                <w:szCs w:val="21"/>
                <w:lang w:val="en-US" w:eastAsia="zh-CN"/>
              </w:rPr>
            </w:pPr>
            <w:r>
              <w:rPr>
                <w:rFonts w:hint="eastAsia" w:ascii="Times New Roman" w:hAnsi="Times New Roman" w:cs="仿宋_GB2312"/>
                <w:sz w:val="21"/>
                <w:szCs w:val="21"/>
                <w:lang w:val="en-US" w:eastAsia="zh-CN"/>
              </w:rPr>
              <w:t>10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死亡证明（通过告知承诺制、部门间数据共享核查）</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办理基本养老保险个人账户一次性支付核定（养老保险服务）</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《中华人民共和国社会保险法》（2018年12月29日修正）第十四条</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宋体" w:cs="仿宋_GB2312"/>
                <w:kern w:val="0"/>
                <w:sz w:val="21"/>
                <w:szCs w:val="21"/>
                <w:lang w:eastAsia="zh-CN" w:bidi="ar"/>
              </w:rPr>
            </w:pPr>
            <w:r>
              <w:rPr>
                <w:rFonts w:hint="eastAsia" w:ascii="Times New Roman" w:hAnsi="Times New Roman" w:cs="仿宋_GB2312"/>
                <w:kern w:val="0"/>
                <w:sz w:val="21"/>
                <w:szCs w:val="21"/>
                <w:lang w:bidi="ar"/>
              </w:rPr>
              <w:t>《人力资源社会保障部关于印发机关事业单位工作人员基本养老保险经办规程的通知》（人社部发〔2015〕32号）第四十一条</w:t>
            </w:r>
          </w:p>
          <w:p>
            <w:pPr>
              <w:pStyle w:val="2"/>
              <w:shd w:val="clear" w:color="auto" w:fill="auto"/>
              <w:rPr>
                <w:rFonts w:hint="eastAsia"/>
                <w:lang w:eastAsia="zh-CN"/>
              </w:rPr>
            </w:pPr>
          </w:p>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《关于印发基本养老保险经办业务规程（试行）的通知》（劳社险中心函〔2003〕38号）第六十四条、第七十三条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人力资源社会保障部门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公安部门</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r>
      <w:tr>
        <w:tblPrEx>
          <w:tblCellMar>
            <w:top w:w="0" w:type="dxa"/>
            <w:left w:w="108" w:type="dxa"/>
            <w:bottom w:w="0" w:type="dxa"/>
            <w:right w:w="108" w:type="dxa"/>
          </w:tblCellMar>
        </w:tblPrEx>
        <w:trPr>
          <w:trHeight w:val="1875"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kern w:val="0"/>
                <w:sz w:val="21"/>
                <w:szCs w:val="21"/>
                <w:lang w:bidi="ar"/>
              </w:rPr>
              <w:t>1</w:t>
            </w:r>
            <w:r>
              <w:rPr>
                <w:rFonts w:hint="eastAsia" w:ascii="Times New Roman" w:hAnsi="Times New Roman" w:cs="仿宋_GB2312"/>
                <w:kern w:val="0"/>
                <w:sz w:val="21"/>
                <w:szCs w:val="21"/>
                <w:lang w:val="en-US" w:eastAsia="zh-CN" w:bidi="ar"/>
              </w:rPr>
              <w:t>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能够确定指定受益人、法定继承人继承权的公证书</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城乡居民基本养老保险注销登记</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《国务院关于建立统一的城乡居民基本养老保险制度的意见》（国发〔2014〕8号）第七条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《城乡居民基本养老保险经办规程》（人社部发〔2019〕84号）第三十七条、第三十八条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人力资源社会保障部门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公证机构</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r>
      <w:tr>
        <w:tblPrEx>
          <w:tblCellMar>
            <w:top w:w="0" w:type="dxa"/>
            <w:left w:w="108" w:type="dxa"/>
            <w:bottom w:w="0" w:type="dxa"/>
            <w:right w:w="108" w:type="dxa"/>
          </w:tblCellMar>
        </w:tblPrEx>
        <w:trPr>
          <w:trHeight w:val="2625"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kern w:val="0"/>
                <w:sz w:val="21"/>
                <w:szCs w:val="21"/>
                <w:lang w:bidi="ar"/>
              </w:rPr>
              <w:t>1</w:t>
            </w:r>
            <w:r>
              <w:rPr>
                <w:rFonts w:hint="eastAsia" w:ascii="Times New Roman" w:hAnsi="Times New Roman" w:cs="仿宋_GB2312"/>
                <w:kern w:val="0"/>
                <w:sz w:val="21"/>
                <w:szCs w:val="21"/>
                <w:lang w:val="en-US" w:eastAsia="zh-CN" w:bidi="ar"/>
              </w:rPr>
              <w:t>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依靠工亡职工生前提供主要生活来源的证明（告知承诺制办理）</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供养亲属抚恤金申领（工伤保险服务）</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《中华人民共和国社会保险法》（2018年12月29日修正）第三十八条</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《工伤保险条例》（国务院令第586号）第三十九条、第四十一条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《关于印发工伤保险经办规程的通知》的通知（人社部发〔2012〕11号）第七十条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人力资源社会保障部门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户籍所在地公安派出所、街道办事处、乡镇政府</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r>
      <w:tr>
        <w:tblPrEx>
          <w:tblCellMar>
            <w:top w:w="0" w:type="dxa"/>
            <w:left w:w="108" w:type="dxa"/>
            <w:bottom w:w="0" w:type="dxa"/>
            <w:right w:w="108" w:type="dxa"/>
          </w:tblCellMar>
        </w:tblPrEx>
        <w:trPr>
          <w:trHeight w:val="1500"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kern w:val="0"/>
                <w:sz w:val="21"/>
                <w:szCs w:val="21"/>
                <w:lang w:bidi="ar"/>
              </w:rPr>
              <w:t>1</w:t>
            </w:r>
            <w:r>
              <w:rPr>
                <w:rFonts w:hint="eastAsia" w:ascii="Times New Roman" w:hAnsi="Times New Roman" w:cs="仿宋_GB2312"/>
                <w:kern w:val="0"/>
                <w:sz w:val="21"/>
                <w:szCs w:val="21"/>
                <w:lang w:val="en-US" w:eastAsia="zh-CN" w:bidi="ar"/>
              </w:rPr>
              <w:t>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供养直系亲属经济收入情况证明（无固定收入证明）</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离退休（职）人员死亡后，其遗属申请领取供养直系亲属生活补助费</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《中华人民共和国社会保险法》（2018年12月29日修正）第三十八条</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《工伤保险条例》（国务院令第586号）第三十九条、第四十一条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劳动保障部社保中心《关于印发&lt;基本养老保险经办业务规程（试行）&gt;的通知》（劳社险中心函〔2003〕38号）第六十六条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人力资源社会保障部门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基层群众自治组织</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r>
      <w:tr>
        <w:tblPrEx>
          <w:tblCellMar>
            <w:top w:w="0" w:type="dxa"/>
            <w:left w:w="108" w:type="dxa"/>
            <w:bottom w:w="0" w:type="dxa"/>
            <w:right w:w="108" w:type="dxa"/>
          </w:tblCellMar>
        </w:tblPrEx>
        <w:trPr>
          <w:trHeight w:val="1500"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kern w:val="0"/>
                <w:sz w:val="21"/>
                <w:szCs w:val="21"/>
                <w:lang w:bidi="ar"/>
              </w:rPr>
              <w:t>1</w:t>
            </w:r>
            <w:r>
              <w:rPr>
                <w:rFonts w:hint="eastAsia" w:ascii="Times New Roman" w:hAnsi="Times New Roman" w:cs="仿宋_GB2312"/>
                <w:kern w:val="0"/>
                <w:sz w:val="21"/>
                <w:szCs w:val="21"/>
                <w:lang w:val="en-US" w:eastAsia="zh-CN" w:bidi="ar"/>
              </w:rPr>
              <w:t>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死亡证明（无法通过数据比对核查的通过告知承诺制）</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失业保险丧葬补助金和抚恤金申领</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《中华人民共和国社会保险法》（2018年12月29日修正）第四十九条</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《失业保险条例》（中华人民共和国国务院令第258号）第十条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《失业保险金申领发放办法》（中华人民共和国劳动和社会保障部令第8号）第十六条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人力资源社会保障部门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公安部门</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r>
      <w:tr>
        <w:tblPrEx>
          <w:tblCellMar>
            <w:top w:w="0" w:type="dxa"/>
            <w:left w:w="108" w:type="dxa"/>
            <w:bottom w:w="0" w:type="dxa"/>
            <w:right w:w="108" w:type="dxa"/>
          </w:tblCellMar>
        </w:tblPrEx>
        <w:trPr>
          <w:trHeight w:val="1875"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kern w:val="0"/>
                <w:sz w:val="21"/>
                <w:szCs w:val="21"/>
                <w:lang w:bidi="ar"/>
              </w:rPr>
              <w:t>1</w:t>
            </w:r>
            <w:r>
              <w:rPr>
                <w:rFonts w:hint="eastAsia" w:ascii="Times New Roman" w:hAnsi="Times New Roman" w:cs="仿宋_GB2312"/>
                <w:kern w:val="0"/>
                <w:sz w:val="21"/>
                <w:szCs w:val="21"/>
                <w:lang w:val="en-US" w:eastAsia="zh-CN" w:bidi="ar"/>
              </w:rPr>
              <w:t>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死亡证明（无法通过数据比对核查的通过告知承诺制）</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申领一次性工亡补助金（含生活困难，预支50%确认）、丧葬补助金申领</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《中华人民共和国社会保险法》（2018年12月29日修正）第三十八条</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《工伤保险条例》（中华人民共和国国务院令第586号）第三十九条、第四十一条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《关于印发工伤保险经办规程的通知》（人社部发〔2012〕11号）第六十九条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人力资源社会保障部门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公安部门</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r>
      <w:tr>
        <w:tblPrEx>
          <w:tblCellMar>
            <w:top w:w="0" w:type="dxa"/>
            <w:left w:w="108" w:type="dxa"/>
            <w:bottom w:w="0" w:type="dxa"/>
            <w:right w:w="108" w:type="dxa"/>
          </w:tblCellMar>
        </w:tblPrEx>
        <w:trPr>
          <w:trHeight w:val="1875"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kern w:val="0"/>
                <w:sz w:val="21"/>
                <w:szCs w:val="21"/>
                <w:lang w:bidi="ar"/>
              </w:rPr>
              <w:t>1</w:t>
            </w:r>
            <w:r>
              <w:rPr>
                <w:rFonts w:hint="eastAsia" w:ascii="Times New Roman" w:hAnsi="Times New Roman" w:cs="仿宋_GB2312"/>
                <w:kern w:val="0"/>
                <w:sz w:val="21"/>
                <w:szCs w:val="21"/>
                <w:lang w:val="en-US" w:eastAsia="zh-CN" w:bidi="ar"/>
              </w:rPr>
              <w:t>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企业住所或生产地址名称变更的证明</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企业办理工业产品生产许可证住所或生产地址名称变更</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《工业产品生产许可证管理条例》（国务院令第440号）第十条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《工业产品生产许可证实施细则通则》（国家市场监督管理总局公告2018年第26号）第十一条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省市场监管局，市级市场监管部门、行政审批部门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企业所在地行政区划主管部门</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u w:val="single"/>
              </w:rPr>
            </w:pPr>
          </w:p>
        </w:tc>
      </w:tr>
      <w:tr>
        <w:tblPrEx>
          <w:tblCellMar>
            <w:top w:w="0" w:type="dxa"/>
            <w:left w:w="108" w:type="dxa"/>
            <w:bottom w:w="0" w:type="dxa"/>
            <w:right w:w="108" w:type="dxa"/>
          </w:tblCellMar>
        </w:tblPrEx>
        <w:trPr>
          <w:trHeight w:val="1125"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kern w:val="0"/>
                <w:sz w:val="21"/>
                <w:szCs w:val="21"/>
                <w:lang w:bidi="ar"/>
              </w:rPr>
              <w:t>1</w:t>
            </w:r>
            <w:r>
              <w:rPr>
                <w:rFonts w:hint="eastAsia" w:ascii="Times New Roman" w:hAnsi="Times New Roman" w:cs="仿宋_GB2312"/>
                <w:kern w:val="0"/>
                <w:sz w:val="21"/>
                <w:szCs w:val="21"/>
                <w:lang w:val="en-US" w:eastAsia="zh-CN" w:bidi="ar"/>
              </w:rPr>
              <w:t>7</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体检报告</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办理特种设备作业人员取证</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《中华人民共和国特种设备安全法》第十四条</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《特种设备作业人员考核规则》（国家市场监管总局，TSG</w:t>
            </w:r>
            <w:r>
              <w:rPr>
                <w:rFonts w:hint="eastAsia" w:eastAsia="宋体" w:cs="仿宋_GB2312"/>
                <w:kern w:val="0"/>
                <w:sz w:val="21"/>
                <w:szCs w:val="21"/>
                <w:lang w:val="en-US" w:eastAsia="zh-CN" w:bidi="ar"/>
              </w:rPr>
              <w:t xml:space="preserve"> </w:t>
            </w:r>
            <w:r>
              <w:rPr>
                <w:rFonts w:hint="eastAsia" w:ascii="Times New Roman" w:hAnsi="Times New Roman" w:cs="仿宋_GB2312"/>
                <w:kern w:val="0"/>
                <w:sz w:val="21"/>
                <w:szCs w:val="21"/>
                <w:lang w:bidi="ar"/>
              </w:rPr>
              <w:t>Z6001-2019）第十五条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市、县级市场监管部门、行政审批局部门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县级以上医疗机构</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u w:val="single"/>
              </w:rPr>
            </w:pPr>
          </w:p>
        </w:tc>
      </w:tr>
      <w:tr>
        <w:tblPrEx>
          <w:tblCellMar>
            <w:top w:w="0" w:type="dxa"/>
            <w:left w:w="108" w:type="dxa"/>
            <w:bottom w:w="0" w:type="dxa"/>
            <w:right w:w="108" w:type="dxa"/>
          </w:tblCellMar>
        </w:tblPrEx>
        <w:trPr>
          <w:trHeight w:val="1125"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kern w:val="0"/>
                <w:sz w:val="21"/>
                <w:szCs w:val="21"/>
                <w:lang w:bidi="ar"/>
              </w:rPr>
              <w:t>1</w:t>
            </w:r>
            <w:r>
              <w:rPr>
                <w:rFonts w:hint="eastAsia" w:ascii="Times New Roman" w:hAnsi="Times New Roman" w:cs="仿宋_GB2312"/>
                <w:kern w:val="0"/>
                <w:sz w:val="21"/>
                <w:szCs w:val="21"/>
                <w:lang w:val="en-US" w:eastAsia="zh-CN" w:bidi="ar"/>
              </w:rPr>
              <w:t>8</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医疗卫生机构出具的含视力、色盲内容的健康证明</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特种设备作业人员（持证焊工）资格认定</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《中华人民共和国特种设备安全法》第十四条</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《特种设备焊接作业人员考核细则》（国家质量监督检验检疫总局2010第126号）第二十六条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市、县级市场监管部门、行政审批局部门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医疗机构</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u w:val="single"/>
              </w:rPr>
            </w:pPr>
          </w:p>
        </w:tc>
      </w:tr>
      <w:tr>
        <w:tblPrEx>
          <w:tblCellMar>
            <w:top w:w="0" w:type="dxa"/>
            <w:left w:w="108" w:type="dxa"/>
            <w:bottom w:w="0" w:type="dxa"/>
            <w:right w:w="108" w:type="dxa"/>
          </w:tblCellMar>
        </w:tblPrEx>
        <w:trPr>
          <w:trHeight w:val="2250"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kern w:val="0"/>
                <w:sz w:val="21"/>
                <w:szCs w:val="21"/>
                <w:lang w:bidi="ar"/>
              </w:rPr>
              <w:t>1</w:t>
            </w:r>
            <w:r>
              <w:rPr>
                <w:rFonts w:hint="eastAsia" w:ascii="Times New Roman" w:hAnsi="Times New Roman" w:cs="仿宋_GB2312"/>
                <w:kern w:val="0"/>
                <w:sz w:val="21"/>
                <w:szCs w:val="21"/>
                <w:lang w:val="en-US" w:eastAsia="zh-CN" w:bidi="ar"/>
              </w:rPr>
              <w:t>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建设行政相对人的诚信经营情况证明</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房地产开发企业资质核定（二级及以下）要件</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《城市房地产开发经营管理条例》（1998年7月20日起施行，2020年12月11日修改）第九条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《房地产开发企业资质管理规定》（2000年建设部令第77号，2018年12月22日第二次修正）第十七条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市、县级行政审批部门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住房和城乡建设部门</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b w:val="0"/>
                <w:bCs w:val="0"/>
                <w:kern w:val="0"/>
                <w:sz w:val="21"/>
                <w:szCs w:val="21"/>
                <w:lang w:bidi="ar"/>
              </w:rPr>
              <w:t>房地产开发企业资质核定（二级及以下）已变更名称为房地产开发企业二级资质核定</w:t>
            </w:r>
          </w:p>
        </w:tc>
      </w:tr>
      <w:tr>
        <w:tblPrEx>
          <w:tblCellMar>
            <w:top w:w="0" w:type="dxa"/>
            <w:left w:w="108" w:type="dxa"/>
            <w:bottom w:w="0" w:type="dxa"/>
            <w:right w:w="108" w:type="dxa"/>
          </w:tblCellMar>
        </w:tblPrEx>
        <w:trPr>
          <w:trHeight w:val="3750"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default" w:ascii="Times New Roman" w:hAnsi="Times New Roman" w:eastAsia="新宋体" w:cs="仿宋_GB2312"/>
                <w:sz w:val="21"/>
                <w:szCs w:val="21"/>
                <w:lang w:val="en-US" w:eastAsia="zh-CN"/>
              </w:rPr>
            </w:pPr>
            <w:r>
              <w:rPr>
                <w:rFonts w:hint="eastAsia" w:ascii="Times New Roman" w:hAnsi="Times New Roman" w:cs="仿宋_GB2312"/>
                <w:sz w:val="21"/>
                <w:szCs w:val="21"/>
                <w:lang w:val="en-US" w:eastAsia="zh-CN"/>
              </w:rPr>
              <w:t>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申请教师资格认定的思想品德鉴定表</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申请教师资格认定</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《教师资格条例》（国务院令第188号）第十五条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申请人工作单位或所在地街道办事处（乡镇人民政府）、公安派出所</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申请人工作单位或所在地街道办事处（乡镇人民政府）、公安派出所</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u w:val="single"/>
              </w:rPr>
            </w:pPr>
          </w:p>
        </w:tc>
      </w:tr>
      <w:tr>
        <w:tblPrEx>
          <w:tblCellMar>
            <w:top w:w="0" w:type="dxa"/>
            <w:left w:w="108" w:type="dxa"/>
            <w:bottom w:w="0" w:type="dxa"/>
            <w:right w:w="108" w:type="dxa"/>
          </w:tblCellMar>
        </w:tblPrEx>
        <w:trPr>
          <w:trHeight w:val="1500"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kern w:val="0"/>
                <w:sz w:val="21"/>
                <w:szCs w:val="21"/>
                <w:lang w:bidi="ar"/>
              </w:rPr>
              <w:t>2</w:t>
            </w:r>
            <w:r>
              <w:rPr>
                <w:rFonts w:hint="eastAsia" w:ascii="Times New Roman" w:hAnsi="Times New Roman" w:cs="仿宋_GB2312"/>
                <w:kern w:val="0"/>
                <w:sz w:val="21"/>
                <w:szCs w:val="21"/>
                <w:lang w:val="en-US" w:eastAsia="zh-CN" w:bidi="ar"/>
              </w:rPr>
              <w:t>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无故意犯罪记录证明</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对外劳务合作经营资格核准</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《对外劳务合作管理条例》（国务院令第620号）第六条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市级行政审批部门、商务部门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户口所在地公安派出所</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u w:val="single"/>
              </w:rPr>
            </w:pPr>
          </w:p>
        </w:tc>
      </w:tr>
      <w:tr>
        <w:tblPrEx>
          <w:tblCellMar>
            <w:top w:w="0" w:type="dxa"/>
            <w:left w:w="108" w:type="dxa"/>
            <w:bottom w:w="0" w:type="dxa"/>
            <w:right w:w="108" w:type="dxa"/>
          </w:tblCellMar>
        </w:tblPrEx>
        <w:trPr>
          <w:trHeight w:val="2250"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kern w:val="0"/>
                <w:sz w:val="21"/>
                <w:szCs w:val="21"/>
                <w:lang w:bidi="ar"/>
              </w:rPr>
              <w:t>2</w:t>
            </w:r>
            <w:r>
              <w:rPr>
                <w:rFonts w:hint="eastAsia" w:ascii="Times New Roman" w:hAnsi="Times New Roman" w:cs="仿宋_GB2312"/>
                <w:kern w:val="0"/>
                <w:sz w:val="21"/>
                <w:szCs w:val="21"/>
                <w:lang w:val="en-US" w:eastAsia="zh-CN" w:bidi="ar"/>
              </w:rPr>
              <w:t>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水资源税完税证明</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取水许可延续</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《取水许可和水资源费征收管理条例》（国务院令第460号，2017年3月1日修改）第二十五条、第二十八条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宋体" w:cs="仿宋_GB2312"/>
                <w:kern w:val="0"/>
                <w:sz w:val="21"/>
                <w:szCs w:val="21"/>
                <w:lang w:eastAsia="zh-CN" w:bidi="ar"/>
              </w:rPr>
            </w:pPr>
            <w:r>
              <w:rPr>
                <w:rFonts w:hint="eastAsia" w:ascii="Times New Roman" w:hAnsi="Times New Roman" w:cs="仿宋_GB2312"/>
                <w:kern w:val="0"/>
                <w:sz w:val="21"/>
                <w:szCs w:val="21"/>
                <w:lang w:bidi="ar"/>
              </w:rPr>
              <w:t>财政部、国家税务总局、水利部关于印发《水资源税改革试点暂行办法》的通知（财税〔2016〕55号）第十四条</w:t>
            </w:r>
          </w:p>
          <w:p>
            <w:pPr>
              <w:pStyle w:val="2"/>
              <w:shd w:val="clear" w:color="auto" w:fill="auto"/>
              <w:rPr>
                <w:rFonts w:hint="eastAsia"/>
                <w:lang w:eastAsia="zh-CN"/>
              </w:rPr>
            </w:pPr>
          </w:p>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《河北省取水许可管理办法》（省政府令〔2018〕第3号）第二十二条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省水利厅</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税务机关</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r>
      <w:tr>
        <w:tblPrEx>
          <w:tblCellMar>
            <w:top w:w="0" w:type="dxa"/>
            <w:left w:w="108" w:type="dxa"/>
            <w:bottom w:w="0" w:type="dxa"/>
            <w:right w:w="108" w:type="dxa"/>
          </w:tblCellMar>
        </w:tblPrEx>
        <w:trPr>
          <w:trHeight w:val="2250"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kern w:val="0"/>
                <w:sz w:val="21"/>
                <w:szCs w:val="21"/>
                <w:lang w:bidi="ar"/>
              </w:rPr>
              <w:t>2</w:t>
            </w:r>
            <w:r>
              <w:rPr>
                <w:rFonts w:hint="eastAsia" w:ascii="Times New Roman" w:hAnsi="Times New Roman" w:cs="仿宋_GB2312"/>
                <w:kern w:val="0"/>
                <w:sz w:val="21"/>
                <w:szCs w:val="21"/>
                <w:lang w:val="en-US" w:eastAsia="zh-CN" w:bidi="ar"/>
              </w:rPr>
              <w:t>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供养直系亲属经济收入情况证明（无固定收入证明）</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离退休（职）人员死亡后，其遗属申请领取供养直系亲属生活补助费</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《中华人民共和国社会保险法》（2018年12月29日修正）第三十八条</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《工伤保险条例》（国务院令第586号）第三十九条、第四十一条</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宋体" w:cs="仿宋_GB2312"/>
                <w:kern w:val="0"/>
                <w:sz w:val="21"/>
                <w:szCs w:val="21"/>
                <w:lang w:eastAsia="zh-CN" w:bidi="ar"/>
              </w:rPr>
            </w:pPr>
            <w:r>
              <w:rPr>
                <w:rFonts w:hint="eastAsia" w:ascii="Times New Roman" w:hAnsi="Times New Roman" w:cs="仿宋_GB2312"/>
                <w:kern w:val="0"/>
                <w:sz w:val="21"/>
                <w:szCs w:val="21"/>
                <w:lang w:bidi="ar"/>
              </w:rPr>
              <w:t>劳动保障部社保中心《关于印发&lt;基本养老保险经办业务规程（试行）&gt;的通知》（劳社险中心函〔2003〕38号）第六十六条</w:t>
            </w:r>
          </w:p>
          <w:p>
            <w:pPr>
              <w:pStyle w:val="2"/>
              <w:shd w:val="clear" w:color="auto" w:fill="auto"/>
              <w:rPr>
                <w:rFonts w:hint="eastAsia"/>
                <w:lang w:eastAsia="zh-CN"/>
              </w:rPr>
            </w:pPr>
          </w:p>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河北省社会保险事业服务中心《一次性社会保险待遇申领核发操作规范（试行）》（冀社险〔2021〕13号）</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省、市、县人力资源社会保障部门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基层群众自治组织</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b w:val="0"/>
                <w:bCs w:val="0"/>
                <w:kern w:val="0"/>
                <w:sz w:val="21"/>
                <w:szCs w:val="21"/>
                <w:lang w:bidi="ar"/>
              </w:rPr>
              <w:t>新增</w:t>
            </w:r>
          </w:p>
        </w:tc>
      </w:tr>
      <w:tr>
        <w:tblPrEx>
          <w:tblCellMar>
            <w:top w:w="0" w:type="dxa"/>
            <w:left w:w="108" w:type="dxa"/>
            <w:bottom w:w="0" w:type="dxa"/>
            <w:right w:w="108" w:type="dxa"/>
          </w:tblCellMar>
        </w:tblPrEx>
        <w:trPr>
          <w:trHeight w:val="2250" w:hRule="atLeast"/>
          <w:jc w:val="center"/>
        </w:trPr>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新宋体" w:cs="仿宋_GB2312"/>
                <w:sz w:val="21"/>
                <w:szCs w:val="21"/>
                <w:lang w:val="en-US" w:eastAsia="zh-CN"/>
              </w:rPr>
            </w:pPr>
            <w:r>
              <w:rPr>
                <w:rFonts w:hint="eastAsia" w:ascii="Times New Roman" w:hAnsi="Times New Roman" w:cs="仿宋_GB2312"/>
                <w:kern w:val="0"/>
                <w:sz w:val="21"/>
                <w:szCs w:val="21"/>
                <w:lang w:bidi="ar"/>
              </w:rPr>
              <w:t>2</w:t>
            </w:r>
            <w:r>
              <w:rPr>
                <w:rFonts w:hint="eastAsia" w:ascii="Times New Roman" w:hAnsi="Times New Roman" w:cs="仿宋_GB2312"/>
                <w:kern w:val="0"/>
                <w:sz w:val="21"/>
                <w:szCs w:val="21"/>
                <w:lang w:val="en-US" w:eastAsia="zh-CN" w:bidi="ar"/>
              </w:rPr>
              <w:t>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能够确定指定受益人、法定继承人继承权的公证文书</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城乡居民基本养老保险注销登记</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rPr>
                <w:rFonts w:ascii="Times New Roman" w:hAnsi="Times New Roman" w:cs="仿宋_GB2312"/>
                <w:sz w:val="21"/>
                <w:szCs w:val="21"/>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《国务院关于建立统一的城乡居民基本养老保险制度的意见》（国发〔2014〕8号）第七条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hint="eastAsia" w:ascii="Times New Roman" w:hAnsi="Times New Roman" w:eastAsia="宋体" w:cs="仿宋_GB2312"/>
                <w:kern w:val="0"/>
                <w:sz w:val="21"/>
                <w:szCs w:val="21"/>
                <w:lang w:eastAsia="zh-CN" w:bidi="ar"/>
              </w:rPr>
            </w:pPr>
            <w:r>
              <w:rPr>
                <w:rFonts w:hint="eastAsia" w:ascii="Times New Roman" w:hAnsi="Times New Roman" w:cs="仿宋_GB2312"/>
                <w:kern w:val="0"/>
                <w:sz w:val="21"/>
                <w:szCs w:val="21"/>
                <w:lang w:bidi="ar"/>
              </w:rPr>
              <w:t>《城乡居民基本养老保险经办规程》（人社部发〔2019〕84号）第三十七条、第三十八条</w:t>
            </w:r>
          </w:p>
          <w:p>
            <w:pPr>
              <w:pStyle w:val="2"/>
              <w:shd w:val="clear" w:color="auto" w:fill="auto"/>
              <w:rPr>
                <w:rFonts w:hint="eastAsia"/>
                <w:lang w:eastAsia="zh-CN"/>
              </w:rPr>
            </w:pPr>
          </w:p>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河北省社会保险事业服务中心《一次性社会保险待遇申领核发操作规范（试行）》（冀社险〔2021〕13号）</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sz w:val="21"/>
                <w:szCs w:val="21"/>
              </w:rPr>
              <w:t>人力资源社会保障部门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kern w:val="0"/>
                <w:sz w:val="21"/>
                <w:szCs w:val="21"/>
                <w:lang w:bidi="ar"/>
              </w:rPr>
              <w:t>公证机构</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auto"/>
              <w:spacing w:line="240" w:lineRule="auto"/>
              <w:ind w:firstLine="0" w:firstLineChars="0"/>
              <w:jc w:val="both"/>
              <w:textAlignment w:val="center"/>
              <w:rPr>
                <w:rFonts w:ascii="Times New Roman" w:hAnsi="Times New Roman" w:cs="仿宋_GB2312"/>
                <w:sz w:val="21"/>
                <w:szCs w:val="21"/>
              </w:rPr>
            </w:pPr>
            <w:r>
              <w:rPr>
                <w:rFonts w:hint="eastAsia" w:ascii="Times New Roman" w:hAnsi="Times New Roman" w:cs="仿宋_GB2312"/>
                <w:b w:val="0"/>
                <w:bCs w:val="0"/>
                <w:kern w:val="0"/>
                <w:sz w:val="21"/>
                <w:szCs w:val="21"/>
                <w:lang w:bidi="ar"/>
              </w:rPr>
              <w:t>新增</w:t>
            </w:r>
          </w:p>
        </w:tc>
      </w:tr>
    </w:tbl>
    <w:p>
      <w:pPr>
        <w:pStyle w:val="2"/>
        <w:shd w:val="clear" w:color="auto" w:fill="auto"/>
        <w:jc w:val="both"/>
      </w:pPr>
    </w:p>
    <w:p>
      <w:pPr>
        <w:keepNext w:val="0"/>
        <w:keepLines w:val="0"/>
        <w:pageBreakBefore w:val="0"/>
        <w:shd w:val="clear" w:color="auto" w:fill="auto"/>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s="仿宋_GB2312"/>
        </w:rPr>
      </w:pPr>
    </w:p>
    <w:p/>
    <w:sectPr>
      <w:footerReference r:id="rId5" w:type="default"/>
      <w:footerReference r:id="rId6" w:type="even"/>
      <w:pgSz w:w="16840" w:h="11910" w:orient="landscape"/>
      <w:pgMar w:top="960" w:right="1420" w:bottom="1040" w:left="280" w:header="720" w:footer="72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6005195</wp:posOffset>
              </wp:positionH>
              <wp:positionV relativeFrom="page">
                <wp:posOffset>9869805</wp:posOffset>
              </wp:positionV>
              <wp:extent cx="64135" cy="113030"/>
              <wp:effectExtent l="0" t="0" r="0" b="0"/>
              <wp:wrapNone/>
              <wp:docPr id="1" name="Shape 1"/>
              <wp:cNvGraphicFramePr/>
              <a:graphic xmlns:a="http://schemas.openxmlformats.org/drawingml/2006/main">
                <a:graphicData uri="http://schemas.microsoft.com/office/word/2010/wordprocessingShape">
                  <wps:wsp>
                    <wps:cNvSpPr txBox="1"/>
                    <wps:spPr>
                      <a:xfrm>
                        <a:off x="0" y="0"/>
                        <a:ext cx="64135" cy="11303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28"/>
                              <w:szCs w:val="28"/>
                            </w:rPr>
                          </w:pPr>
                        </w:p>
                      </w:txbxContent>
                    </wps:txbx>
                    <wps:bodyPr wrap="none" lIns="0" tIns="0" rIns="0" bIns="0">
                      <a:spAutoFit/>
                    </wps:bodyPr>
                  </wps:wsp>
                </a:graphicData>
              </a:graphic>
            </wp:anchor>
          </w:drawing>
        </mc:Choice>
        <mc:Fallback>
          <w:pict>
            <v:shape id="Shape 1" o:spid="_x0000_s1026" o:spt="202" type="#_x0000_t202" style="position:absolute;left:0pt;margin-left:472.85pt;margin-top:777.15pt;height:8.9pt;width:5.05pt;mso-position-horizontal-relative:page;mso-position-vertical-relative:page;mso-wrap-style:none;z-index:-251657216;mso-width-relative:page;mso-height-relative:page;" filled="f" stroked="f" coordsize="21600,21600" o:gfxdata="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ccomNkA&#10;AAANAQAADwAAAAAAAAABACAAAAAiAAAAZHJzL2Rvd25yZXYueG1sUEsBAhQAFAAAAAgAh07iQEhL&#10;oC2sAQAAbgMAAA4AAAAAAAAAAQAgAAAAKA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lZDc2NTUxYTgzNDFkZmJjNzFmN2M2ZDYxZDEwMGIifQ=="/>
  </w:docVars>
  <w:rsids>
    <w:rsidRoot w:val="60723A08"/>
    <w:rsid w:val="60723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Table Paragraph"/>
    <w:basedOn w:val="1"/>
    <w:qFormat/>
    <w:uiPriority w:val="1"/>
    <w:rPr>
      <w:rFonts w:ascii="新宋体" w:hAnsi="新宋体" w:eastAsia="新宋体" w:cs="新宋体"/>
      <w:lang w:val="zh-CN" w:eastAsia="zh-CN" w:bidi="zh-CN"/>
    </w:rPr>
  </w:style>
  <w:style w:type="paragraph" w:customStyle="1" w:styleId="8">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2023-02-03T08:14:00Z</dcterms:created>
  <dc:creator>一斤鸭梨</dc:creator>
  <cp:lastModifiedBy>一斤鸭梨</cp:lastModifiedBy>
  <dcterms:modified xsi:type="dcterms:W3CDTF">2023-02-03T08:15:04Z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F5BBC12145CF43ADB159951F248363B9</vt:lpwstr>
  </property>
</Properties>
</file>