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河北雄安新区容东管理委员会2022年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根据《中华人民共和国政府信息公开条例》《河北省实施〈中华人民共和国政府信息公开条例〉办法》等规定，发布本年度报告。报告中所列数据统计期限为2022年1月1日至12月31日。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雄安新区容东管理委员会坚持以习近平新时代中国特色社会主义思想为指导，认真贯彻落实党中央、国务院决策部署，省委、省政府和新区党工委、管委会工作安排，坚持以人民为中心深化公开工作，促进政府决策和管理服务更加规范透明，进一步扩大政府信息主动公开范围，完善政府信息公开相关制度，优化拓展政府信息公开渠道，扎实做好政府信息公开各项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（一）主动公开方面。提高政府信息公开工作重视程度，将该工作纳入年度重点工作，建立健全信息发布机制、畅通发布渠道，专人负责收集、整理、上报、发布等一系列工作，着力抓好政策信息公开发布。</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采取图文、视频等形式，对规范性文件和重点工作进行立体式、全方位解读，</w:t>
      </w:r>
      <w:r>
        <w:rPr>
          <w:rFonts w:hint="eastAsia" w:ascii="仿宋_GB2312" w:hAnsi="仿宋_GB2312" w:eastAsia="仿宋_GB2312" w:cs="仿宋_GB2312"/>
          <w:sz w:val="32"/>
          <w:szCs w:val="32"/>
          <w:lang w:val="en-US" w:eastAsia="zh-CN"/>
        </w:rPr>
        <w:t>公示依法行政各类信息。</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（二）依申请公开方面。2022年，未收到申请公开文件，下一步工作中如收到此类文件，我们将认真贯彻落实《河北省政府信息公开申请办理规范》，依法依规办理。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（三）政府信息管理方面。制定了《雄安新区容东管理委员会公文管理规范（试行）》，进一步规范文件信息公开审查工作，将公文属性源头认定和发布审查嵌入发文流程，</w:t>
      </w:r>
      <w:r>
        <w:rPr>
          <w:rFonts w:hint="eastAsia" w:ascii="仿宋_GB2312" w:hAnsi="仿宋_GB2312" w:eastAsia="仿宋_GB2312" w:cs="仿宋_GB2312"/>
          <w:sz w:val="32"/>
          <w:szCs w:val="32"/>
          <w:lang w:val="en-US" w:eastAsia="zh-CN"/>
        </w:rPr>
        <w:t>明确公文主动公开、依申请公开、不公开等属性，从源头上进行规范管理。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（四）政府信息公开平台建设方面。以信息发布、解读回应、办事服务、互动交流等功能定位为主题，完善</w:t>
      </w:r>
      <w:r>
        <w:rPr>
          <w:rFonts w:hint="eastAsia" w:ascii="仿宋_GB2312" w:hAnsi="仿宋_GB2312" w:eastAsia="仿宋_GB2312" w:cs="仿宋_GB2312"/>
          <w:sz w:val="32"/>
          <w:szCs w:val="32"/>
          <w:lang w:val="en-US" w:eastAsia="zh-CN"/>
        </w:rPr>
        <w:t>“容东发布”微信公众平台</w:t>
      </w:r>
      <w:r>
        <w:rPr>
          <w:rFonts w:hint="eastAsia" w:ascii="仿宋_GB2312" w:hAnsi="仿宋_GB2312" w:eastAsia="仿宋_GB2312" w:cs="仿宋_GB2312"/>
          <w:b w:val="0"/>
          <w:bCs w:val="0"/>
          <w:sz w:val="32"/>
          <w:szCs w:val="32"/>
          <w:lang w:val="en-US" w:eastAsia="zh-CN"/>
        </w:rPr>
        <w:t>，聚焦老百姓生活息息相关的一些重要信息，广泛传播。“容东发布”微信传播力、引导力、影响力、公信力不断升级，自运行以来共</w:t>
      </w:r>
      <w:bookmarkStart w:id="0" w:name="_GoBack"/>
      <w:bookmarkEnd w:id="0"/>
      <w:r>
        <w:rPr>
          <w:rFonts w:hint="eastAsia" w:ascii="仿宋_GB2312" w:hAnsi="仿宋_GB2312" w:eastAsia="仿宋_GB2312" w:cs="仿宋_GB2312"/>
          <w:b w:val="0"/>
          <w:bCs w:val="0"/>
          <w:sz w:val="32"/>
          <w:szCs w:val="32"/>
          <w:lang w:val="en-US" w:eastAsia="zh-CN"/>
        </w:rPr>
        <w:t>发布信息1256条。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（五）监督保障方面。容东管委会</w:t>
      </w:r>
      <w:r>
        <w:rPr>
          <w:rFonts w:hint="eastAsia" w:ascii="仿宋_GB2312" w:hAnsi="仿宋_GB2312" w:eastAsia="仿宋_GB2312" w:cs="仿宋_GB2312"/>
          <w:sz w:val="32"/>
          <w:szCs w:val="32"/>
          <w:lang w:val="en-US" w:eastAsia="zh-CN"/>
        </w:rPr>
        <w:t>高度重视政府信息公开工作，明确了政府信息公开工作分管领导和具体工作负责人，不断扩大政府信息公开范围，提高政务公开工作信息质量，保证信息公开的时效性、连续性，全面提高容东管委会行政工作的透明度，接受社区群众监督。</w:t>
      </w:r>
    </w:p>
    <w:p>
      <w:pPr>
        <w:pStyle w:val="2"/>
        <w:ind w:left="0" w:leftChars="0" w:firstLine="0" w:firstLine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二、主动公开政府信息情况</w:t>
      </w:r>
    </w:p>
    <w:tbl>
      <w:tblPr>
        <w:tblStyle w:val="5"/>
        <w:tblpPr w:leftFromText="180" w:rightFromText="180" w:vertAnchor="page" w:horzAnchor="page" w:tblpX="2056" w:tblpY="1710"/>
        <w:tblOverlap w:val="never"/>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100"/>
        <w:gridCol w:w="2075"/>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ascii="仿宋_GB2312" w:hAnsi="仿宋_GB2312" w:eastAsia="仿宋_GB2312" w:cs="仿宋_GB2312"/>
                <w:b/>
                <w:bCs/>
                <w:sz w:val="28"/>
                <w:szCs w:val="36"/>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信息内容</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本年制发件数</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本年废止件数</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规章</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0</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行政规范性文件</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0</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ascii="仿宋_GB2312" w:hAnsi="仿宋_GB2312" w:eastAsia="仿宋_GB2312" w:cs="仿宋_GB2312"/>
                <w:b/>
                <w:bCs/>
                <w:sz w:val="28"/>
                <w:szCs w:val="36"/>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行政许可</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ascii="仿宋_GB2312" w:hAnsi="仿宋_GB2312" w:eastAsia="仿宋_GB2312" w:cs="仿宋_GB2312"/>
                <w:b/>
                <w:bCs/>
                <w:sz w:val="28"/>
                <w:szCs w:val="36"/>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sz w:val="28"/>
                <w:szCs w:val="36"/>
                <w:vertAlign w:val="baseline"/>
                <w:lang w:val="en-US" w:eastAsia="zh-CN"/>
              </w:rPr>
            </w:pPr>
            <w:r>
              <w:rPr>
                <w:rFonts w:hint="eastAsia"/>
                <w:sz w:val="28"/>
                <w:szCs w:val="36"/>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行政处罚</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行政强制</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ascii="仿宋_GB2312" w:hAnsi="仿宋_GB2312" w:eastAsia="仿宋_GB2312" w:cs="仿宋_GB2312"/>
                <w:b/>
                <w:bCs/>
                <w:sz w:val="28"/>
                <w:szCs w:val="36"/>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sz w:val="28"/>
                <w:szCs w:val="36"/>
                <w:vertAlign w:val="baseline"/>
                <w:lang w:val="en-US" w:eastAsia="zh-CN"/>
              </w:rPr>
            </w:pPr>
            <w:r>
              <w:rPr>
                <w:rFonts w:hint="eastAsia"/>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行政事业性收费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三、收到和处理政府信息公开申请情况</w:t>
      </w:r>
    </w:p>
    <w:p>
      <w:pPr>
        <w:pStyle w:val="3"/>
        <w:numPr>
          <w:ilvl w:val="0"/>
          <w:numId w:val="0"/>
        </w:numPr>
        <w:spacing w:line="580" w:lineRule="exact"/>
        <w:ind w:left="0" w:leftChars="0"/>
        <w:rPr>
          <w:rFonts w:hint="eastAsia"/>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79"/>
        <w:gridCol w:w="2333"/>
        <w:gridCol w:w="538"/>
        <w:gridCol w:w="662"/>
        <w:gridCol w:w="650"/>
        <w:gridCol w:w="788"/>
        <w:gridCol w:w="800"/>
        <w:gridCol w:w="500"/>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楷体_GB2312" w:hAnsi="楷体_GB2312" w:eastAsia="楷体_GB2312" w:cs="楷体_GB2312"/>
                <w:w w:val="90"/>
                <w:sz w:val="21"/>
                <w:szCs w:val="24"/>
                <w:vertAlign w:val="baseline"/>
                <w:lang w:val="en-US" w:eastAsia="zh-CN"/>
              </w:rPr>
              <w:t>（本列数据的勾稽关系为：第一项加第二项之和，等于第三项加第四项之和）</w:t>
            </w:r>
          </w:p>
        </w:tc>
        <w:tc>
          <w:tcPr>
            <w:tcW w:w="448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b w:val="0"/>
                <w:bCs w:val="0"/>
                <w:w w:val="90"/>
                <w:sz w:val="28"/>
                <w:szCs w:val="28"/>
                <w:vertAlign w:val="baseline"/>
                <w:lang w:val="en-US" w:eastAsia="zh-CN"/>
              </w:rPr>
            </w:pPr>
          </w:p>
        </w:tc>
        <w:tc>
          <w:tcPr>
            <w:tcW w:w="5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自然人</w:t>
            </w:r>
          </w:p>
        </w:tc>
        <w:tc>
          <w:tcPr>
            <w:tcW w:w="34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法人或其他组织</w:t>
            </w:r>
          </w:p>
        </w:tc>
        <w:tc>
          <w:tcPr>
            <w:tcW w:w="54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037" w:type="dxa"/>
            <w:gridSpan w:val="3"/>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w w:val="90"/>
                <w:sz w:val="28"/>
                <w:szCs w:val="28"/>
                <w:vertAlign w:val="baseline"/>
                <w:lang w:val="en-US" w:eastAsia="zh-CN"/>
              </w:rPr>
            </w:pPr>
          </w:p>
        </w:tc>
        <w:tc>
          <w:tcPr>
            <w:tcW w:w="5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w w:val="90"/>
                <w:sz w:val="21"/>
                <w:szCs w:val="21"/>
                <w:vertAlign w:val="baseline"/>
                <w:lang w:val="en-US" w:eastAsia="zh-CN"/>
              </w:rPr>
            </w:pP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商业企业</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科研机构</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社会公益组织</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法律服务机构</w:t>
            </w:r>
          </w:p>
        </w:tc>
        <w:tc>
          <w:tcPr>
            <w:tcW w:w="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其他</w:t>
            </w:r>
          </w:p>
        </w:tc>
        <w:tc>
          <w:tcPr>
            <w:tcW w:w="5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w w:val="9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3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一、本年新收政府信息公开申请数量</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二、上年结转政府信息公开申请数量</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三、本年度办理结果</w:t>
            </w:r>
          </w:p>
        </w:tc>
        <w:tc>
          <w:tcPr>
            <w:tcW w:w="341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（一）予以公开</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341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（二）部分公开（区分处理的，只计这一情形，不计其他情形）</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（三）不予公开</w:t>
            </w: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1.属于国家秘密</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2.其他法律行政法规禁止公开</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3.危及“三安全一稳定”</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4.保护第三方合法权益</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5.属于三类内部事务信息</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6.属于四类过程性信息</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7.属于行政执法案卷</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8.属于行政查询事项</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（四）无法提供</w:t>
            </w: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1.本机关不掌握相关政府信息</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2.没有现成信息需要另行制作</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3.补正后申请内容仍不明确</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（五）不予处理</w:t>
            </w: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1.信访举报投诉类申请</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2.重复申请</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3.要求提供公开出版物</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4.无正当理由大量反复申请</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5.要求行政机关确认或重新出具已获取信息</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（六）其他处理</w:t>
            </w: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1.申请人无正当理由逾期不补正、行政机关不再处理其政府信息公开申请</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2.申请人逾期未按收费通知要求缴纳费用、行政机关不再处理其政府信息公开申请</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p>
        </w:tc>
        <w:tc>
          <w:tcPr>
            <w:tcW w:w="23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3.其他</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341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（七）总计</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四、结转下年度继续办理</w:t>
            </w:r>
          </w:p>
        </w:tc>
        <w:tc>
          <w:tcPr>
            <w:tcW w:w="5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bl>
    <w:p>
      <w:pPr>
        <w:pStyle w:val="3"/>
        <w:spacing w:line="580" w:lineRule="exact"/>
        <w:ind w:left="0" w:lef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四、政府信息公开行政复议、行政诉讼情况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行政复议</w:t>
            </w:r>
          </w:p>
        </w:tc>
        <w:tc>
          <w:tcPr>
            <w:tcW w:w="5677" w:type="dxa"/>
            <w:gridSpan w:val="10"/>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p>
        </w:tc>
        <w:tc>
          <w:tcPr>
            <w:tcW w:w="2837" w:type="dxa"/>
            <w:gridSpan w:val="5"/>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未经复议直接起诉</w:t>
            </w:r>
          </w:p>
        </w:tc>
        <w:tc>
          <w:tcPr>
            <w:tcW w:w="2840" w:type="dxa"/>
            <w:gridSpan w:val="5"/>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c>
          <w:tcPr>
            <w:tcW w:w="5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c>
          <w:tcPr>
            <w:tcW w:w="56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五、存在的主要问题及改进情况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2022年，雄安新区容东管理委员会政务公开工作取得了一定成效，但还存在一些问题有待完善。主要体现在两方面，一是公开制度体系仍需进一步完善。二是政府信息公开形式较单一、公开渠道不够多元。</w:t>
      </w:r>
      <w:r>
        <w:rPr>
          <w:rFonts w:hint="eastAsia" w:ascii="Times New Roman" w:hAnsi="Times New Roman" w:eastAsia="仿宋_GB2312" w:cs="仿宋_GB2312"/>
          <w:sz w:val="32"/>
          <w:szCs w:val="32"/>
          <w:highlight w:val="none"/>
          <w:lang w:val="en-US" w:eastAsia="zh-CN"/>
        </w:rPr>
        <w:t>下一步，将严格按照新区党工委、管委会决策部署和工作要求，进一步加强</w:t>
      </w:r>
      <w:r>
        <w:rPr>
          <w:rFonts w:hint="eastAsia" w:ascii="Times New Roman" w:hAnsi="Times New Roman" w:eastAsia="仿宋_GB2312" w:cs="仿宋_GB2312"/>
          <w:b w:val="0"/>
          <w:bCs w:val="0"/>
          <w:sz w:val="32"/>
          <w:szCs w:val="32"/>
          <w:highlight w:val="none"/>
          <w:lang w:val="en-US" w:eastAsia="zh-CN"/>
        </w:rPr>
        <w:t>完善政府信息公开相关制度和</w:t>
      </w:r>
      <w:r>
        <w:rPr>
          <w:rFonts w:hint="eastAsia" w:ascii="Times New Roman" w:hAnsi="Times New Roman" w:eastAsia="仿宋_GB2312" w:cs="仿宋_GB2312"/>
          <w:sz w:val="32"/>
          <w:szCs w:val="32"/>
          <w:highlight w:val="none"/>
          <w:lang w:val="en-US" w:eastAsia="zh-CN"/>
        </w:rPr>
        <w:t>工作流程，强化主动发布机制，加强政府信息公开工作学习，扩大公开范围。</w:t>
      </w:r>
      <w:r>
        <w:rPr>
          <w:rFonts w:hint="eastAsia" w:ascii="仿宋_GB2312" w:hAnsi="仿宋_GB2312" w:eastAsia="仿宋_GB2312" w:cs="仿宋_GB2312"/>
          <w:b w:val="0"/>
          <w:bCs w:val="0"/>
          <w:color w:val="auto"/>
          <w:sz w:val="32"/>
          <w:szCs w:val="32"/>
          <w:highlight w:val="none"/>
          <w:lang w:val="en-US" w:eastAsia="zh-CN"/>
        </w:rPr>
        <w:t>对容东片区的重大决策部署、重点领域改革、重大项目规划和实施等情况，全面深入解读，解读内容要通过政务公开网站发布、信息上报等多方式进行反馈，</w:t>
      </w:r>
      <w:r>
        <w:rPr>
          <w:rFonts w:hint="eastAsia" w:ascii="Times New Roman" w:hAnsi="Times New Roman" w:eastAsia="仿宋_GB2312" w:cs="仿宋_GB2312"/>
          <w:sz w:val="32"/>
          <w:szCs w:val="32"/>
          <w:highlight w:val="none"/>
          <w:lang w:val="en-US" w:eastAsia="zh-CN"/>
        </w:rPr>
        <w:t>进一步提升政府信息公开工作水平。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w w:val="100"/>
          <w:sz w:val="32"/>
          <w:szCs w:val="32"/>
          <w:lang w:val="en-US" w:eastAsia="zh-CN"/>
        </w:rPr>
        <w:t>无。</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NDJhYzQzNGE4YzliMWQwZmQ4MjU5MTc5YTI2Y2QifQ=="/>
  </w:docVars>
  <w:rsids>
    <w:rsidRoot w:val="3EE250F5"/>
    <w:rsid w:val="3EE250F5"/>
    <w:rsid w:val="524674EC"/>
    <w:rsid w:val="5AED6569"/>
    <w:rsid w:val="74AC35B3"/>
    <w:rsid w:val="7A8E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书正文"/>
    <w:basedOn w:val="1"/>
    <w:qFormat/>
    <w:uiPriority w:val="0"/>
    <w:pPr>
      <w:spacing w:line="500" w:lineRule="exact"/>
      <w:ind w:firstLine="640" w:firstLineChars="200"/>
    </w:pPr>
  </w:style>
  <w:style w:type="paragraph" w:styleId="3">
    <w:name w:val="index 9"/>
    <w:basedOn w:val="1"/>
    <w:next w:val="1"/>
    <w:unhideWhenUsed/>
    <w:qFormat/>
    <w:uiPriority w:val="0"/>
    <w:pPr>
      <w:ind w:left="1600" w:leftChars="16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1998</Words>
  <Characters>2034</Characters>
  <Lines>0</Lines>
  <Paragraphs>0</Paragraphs>
  <TotalTime>156</TotalTime>
  <ScaleCrop>false</ScaleCrop>
  <LinksUpToDate>false</LinksUpToDate>
  <CharactersWithSpaces>2042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2022-01-25T07:24:00Z</dcterms:created>
  <dc:creator>修舰瑜</dc:creator>
  <cp:lastModifiedBy>辰昕</cp:lastModifiedBy>
  <dcterms:modified xsi:type="dcterms:W3CDTF">2023-01-31T03:14:58Z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C6EAB7E9A1184C9395F37925696068F0</vt:lpwstr>
  </property>
</Properties>
</file>