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0" w:firstLineChars="0"/>
        <w:jc w:val="both"/>
        <w:textAlignment w:val="auto"/>
        <w:rPr>
          <w:rFonts w:hint="default" w:ascii="Times New Roman" w:hAnsi="Times New Roman" w:eastAsia="仿宋" w:cs="Times New Roman"/>
          <w:b w:val="0"/>
          <w:bCs w:val="0"/>
          <w:i w:val="0"/>
          <w:iCs w:val="0"/>
          <w:caps w:val="0"/>
          <w:color w:val="000000"/>
          <w:spacing w:val="0"/>
          <w:kern w:val="0"/>
          <w:sz w:val="32"/>
          <w:szCs w:val="32"/>
          <w:lang w:val="en-US"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中国（河北）自由贸易试验区雄安片区</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管理委员会202</w:t>
      </w:r>
      <w:r>
        <w:rPr>
          <w:rFonts w:hint="eastAsia" w:ascii="Times New Roman" w:hAnsi="Times New Roman" w:eastAsia="方正小标宋简体" w:cs="Times New Roman"/>
          <w:b w:val="0"/>
          <w:bCs w:val="0"/>
          <w:sz w:val="44"/>
          <w:szCs w:val="44"/>
          <w:lang w:val="en-US" w:eastAsia="zh-CN"/>
        </w:rPr>
        <w:t>2</w:t>
      </w:r>
      <w:r>
        <w:rPr>
          <w:rFonts w:hint="default" w:ascii="Times New Roman" w:hAnsi="Times New Roman" w:eastAsia="方正小标宋简体" w:cs="Times New Roman"/>
          <w:b w:val="0"/>
          <w:bCs w:val="0"/>
          <w:sz w:val="44"/>
          <w:szCs w:val="44"/>
          <w:lang w:val="en-US" w:eastAsia="zh-CN"/>
        </w:rPr>
        <w:t>年政府信息公开工作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黑体" w:cs="Times New Roman"/>
          <w:b w:val="0"/>
          <w:bCs w:val="0"/>
          <w:sz w:val="32"/>
          <w:szCs w:val="32"/>
          <w:lang w:val="en-US" w:eastAsia="zh-CN"/>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根据《中华人民共和国政府信息公开条例》《河北省实施〈中华人民共和国政府信息公开条例〉办法》等规定，发布本年度报告。报告中所列数据统计期限为202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年1月1日至12月31日。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一、总体情况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今年以来，根据《河北省202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年政府信息公开工作要点》《河北省政府信息公开申请办理规范》等文件要求和雄安新区政务公开领导小组办公室具体安排，我委高度重视，开展了一系列政府信息公开工作，有关情况如下：</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val="en-US" w:eastAsia="zh-CN"/>
        </w:rPr>
        <w:t>主动公开方面。</w:t>
      </w:r>
      <w:r>
        <w:rPr>
          <w:rFonts w:hint="default" w:ascii="Times New Roman" w:hAnsi="Times New Roman" w:eastAsia="仿宋_GB2312" w:cs="Times New Roman"/>
          <w:sz w:val="32"/>
          <w:szCs w:val="32"/>
          <w:lang w:val="en-US" w:eastAsia="zh-CN"/>
        </w:rPr>
        <w:t>着力抓好各类政府信息公开发布，通过中国（河北）自由贸易试验区雄安片区官网更新各类政府信息44</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条</w:t>
      </w:r>
      <w:r>
        <w:rPr>
          <w:rFonts w:hint="eastAsia" w:ascii="Times New Roman" w:hAnsi="Times New Roman" w:eastAsia="仿宋_GB2312" w:cs="Times New Roman"/>
          <w:sz w:val="32"/>
          <w:szCs w:val="32"/>
          <w:lang w:val="en-US" w:eastAsia="zh-CN"/>
        </w:rPr>
        <w:t>，借助人民网、河北日报、</w:t>
      </w:r>
      <w:r>
        <w:rPr>
          <w:rFonts w:hint="default" w:ascii="Times New Roman" w:hAnsi="Times New Roman" w:eastAsia="仿宋_GB2312" w:cs="Times New Roman"/>
          <w:sz w:val="32"/>
          <w:szCs w:val="32"/>
          <w:lang w:val="en-US" w:eastAsia="zh-CN"/>
        </w:rPr>
        <w:t>中国雄安官网</w:t>
      </w:r>
      <w:r>
        <w:rPr>
          <w:rFonts w:hint="eastAsia" w:ascii="Times New Roman" w:hAnsi="Times New Roman" w:eastAsia="仿宋_GB2312" w:cs="Times New Roman"/>
          <w:sz w:val="32"/>
          <w:szCs w:val="32"/>
          <w:lang w:val="en-US" w:eastAsia="zh-CN"/>
        </w:rPr>
        <w:t>等媒体渠道</w:t>
      </w:r>
      <w:r>
        <w:rPr>
          <w:rFonts w:hint="default" w:ascii="Times New Roman" w:hAnsi="Times New Roman" w:eastAsia="仿宋_GB2312" w:cs="Times New Roman"/>
          <w:sz w:val="32"/>
          <w:szCs w:val="32"/>
          <w:lang w:val="en-US" w:eastAsia="zh-CN"/>
        </w:rPr>
        <w:t>全年</w:t>
      </w:r>
      <w:r>
        <w:rPr>
          <w:rFonts w:hint="eastAsia" w:ascii="Times New Roman" w:hAnsi="Times New Roman" w:eastAsia="仿宋_GB2312" w:cs="Times New Roman"/>
          <w:sz w:val="32"/>
          <w:szCs w:val="32"/>
          <w:lang w:val="en-US" w:eastAsia="zh-CN"/>
        </w:rPr>
        <w:t>发布信息报道120条</w:t>
      </w:r>
      <w:r>
        <w:rPr>
          <w:rFonts w:hint="default" w:ascii="Times New Roman" w:hAnsi="Times New Roman" w:eastAsia="仿宋_GB2312" w:cs="Times New Roman"/>
          <w:sz w:val="32"/>
          <w:szCs w:val="32"/>
          <w:lang w:val="en-US" w:eastAsia="zh-CN"/>
        </w:rPr>
        <w:t>。一是按照新区政务公开领导小组办公室统一安排，出台《中国（河北）自由贸易试验区雄安片区管理委员会信息公开指南》，并及时公开发布。二是</w:t>
      </w:r>
      <w:r>
        <w:rPr>
          <w:rFonts w:hint="eastAsia" w:ascii="Times New Roman" w:hAnsi="Times New Roman" w:eastAsia="仿宋_GB2312" w:cs="Times New Roman"/>
          <w:sz w:val="32"/>
          <w:szCs w:val="32"/>
          <w:lang w:val="en-US" w:eastAsia="zh-CN"/>
        </w:rPr>
        <w:t>发布《河北自由贸易试验区雄安片区挂牌三周年成绩单》等各类本片区和兄弟片区新闻动态395条。</w:t>
      </w:r>
      <w:r>
        <w:rPr>
          <w:rFonts w:hint="default" w:ascii="Times New Roman" w:hAnsi="Times New Roman" w:eastAsia="仿宋_GB2312" w:cs="Times New Roman"/>
          <w:sz w:val="32"/>
          <w:szCs w:val="32"/>
          <w:lang w:val="en-US" w:eastAsia="zh-CN"/>
        </w:rPr>
        <w:t>三是按规定发布河北雄安新区服务贸易课题研究等项目比选事宜公告。四是紧紧围绕打造高质量营商服务，促进高水平对外开放，及时发布《关于促进中国（河北）自由贸易试验区雄安片区高质量发展的意见》</w:t>
      </w:r>
      <w:r>
        <w:rPr>
          <w:rFonts w:hint="eastAsia" w:ascii="Times New Roman" w:hAnsi="Times New Roman" w:eastAsia="仿宋_GB2312" w:cs="Times New Roman"/>
          <w:sz w:val="32"/>
          <w:szCs w:val="32"/>
          <w:lang w:val="en-US" w:eastAsia="zh-CN"/>
        </w:rPr>
        <w:t>《雄安新区外商投资企业投诉工作办法》</w:t>
      </w:r>
      <w:r>
        <w:rPr>
          <w:rFonts w:hint="default" w:ascii="Times New Roman" w:hAnsi="Times New Roman" w:eastAsia="仿宋_GB2312" w:cs="Times New Roman"/>
          <w:sz w:val="32"/>
          <w:szCs w:val="32"/>
          <w:lang w:val="en-US" w:eastAsia="zh-CN"/>
        </w:rPr>
        <w:t>等各级各类政策文件</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份。五是及时回应公众对自贸工作的关切，</w:t>
      </w:r>
      <w:r>
        <w:rPr>
          <w:rFonts w:hint="eastAsia" w:ascii="Times New Roman" w:hAnsi="Times New Roman" w:eastAsia="仿宋_GB2312" w:cs="Times New Roman"/>
          <w:sz w:val="32"/>
          <w:szCs w:val="32"/>
          <w:lang w:val="en-US" w:eastAsia="zh-CN"/>
        </w:rPr>
        <w:t>以一图读懂、新闻报道等形式解读</w:t>
      </w:r>
      <w:r>
        <w:rPr>
          <w:rFonts w:hint="default" w:ascii="Times New Roman" w:hAnsi="Times New Roman" w:eastAsia="仿宋_GB2312" w:cs="Times New Roman"/>
          <w:sz w:val="32"/>
          <w:szCs w:val="32"/>
          <w:lang w:val="en-US" w:eastAsia="zh-CN"/>
        </w:rPr>
        <w:t>《关于促进中国（河北）自由贸易试验区雄安片区高质量发展的意见》《中国（河北）自由贸易试验区雄安片区行政许可事项目录清单》《中国（河北）自由贸易试验区雄安片区除行政许可外事项目录清单》</w:t>
      </w:r>
      <w:r>
        <w:rPr>
          <w:rFonts w:hint="eastAsia" w:ascii="Times New Roman" w:hAnsi="Times New Roman" w:eastAsia="仿宋_GB2312" w:cs="Times New Roman"/>
          <w:sz w:val="32"/>
          <w:szCs w:val="32"/>
          <w:lang w:val="en-US" w:eastAsia="zh-CN"/>
        </w:rPr>
        <w:t>等政策文件，并及时在本单位官方网站及中国雄安官网等宣传渠道进行公开。</w:t>
      </w:r>
      <w:r>
        <w:rPr>
          <w:rFonts w:hint="default" w:ascii="Times New Roman" w:hAnsi="Times New Roman" w:eastAsia="仿宋_GB2312" w:cs="Times New Roman"/>
          <w:sz w:val="32"/>
          <w:szCs w:val="32"/>
          <w:lang w:val="en-US" w:eastAsia="zh-CN"/>
        </w:rPr>
        <w:t>利用河北自贸试验区</w:t>
      </w:r>
      <w:r>
        <w:rPr>
          <w:rFonts w:hint="eastAsia" w:ascii="Times New Roman" w:hAnsi="Times New Roman" w:eastAsia="仿宋_GB2312" w:cs="Times New Roman"/>
          <w:sz w:val="32"/>
          <w:szCs w:val="32"/>
          <w:lang w:val="en-US" w:eastAsia="zh-CN"/>
        </w:rPr>
        <w:t>重点产业招商推介会等渠道</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雄安片区</w:t>
      </w:r>
      <w:r>
        <w:rPr>
          <w:rFonts w:hint="eastAsia" w:ascii="Times New Roman" w:hAnsi="Times New Roman" w:eastAsia="仿宋_GB2312" w:cs="Times New Roman"/>
          <w:sz w:val="32"/>
          <w:szCs w:val="32"/>
          <w:lang w:val="en-US" w:eastAsia="zh-CN"/>
        </w:rPr>
        <w:t>进行专题推介</w:t>
      </w:r>
      <w:r>
        <w:rPr>
          <w:rFonts w:hint="default" w:ascii="Times New Roman" w:hAnsi="Times New Roman" w:eastAsia="仿宋_GB2312" w:cs="Times New Roman"/>
          <w:sz w:val="32"/>
          <w:szCs w:val="32"/>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（二）依申请公开方面。</w:t>
      </w:r>
      <w:r>
        <w:rPr>
          <w:rFonts w:hint="default" w:ascii="Times New Roman" w:hAnsi="Times New Roman" w:eastAsia="仿宋_GB2312" w:cs="Times New Roman"/>
          <w:sz w:val="32"/>
          <w:szCs w:val="32"/>
          <w:lang w:val="en-US" w:eastAsia="zh-CN"/>
        </w:rPr>
        <w:t>严格执行《河北省政府信息公开申请办理规范》，畅通依申请公开渠道。全年暂未收到政府信息公开申请</w:t>
      </w:r>
      <w:r>
        <w:rPr>
          <w:rFonts w:hint="eastAsia" w:ascii="Times New Roman" w:hAnsi="Times New Roman" w:eastAsia="仿宋_GB2312" w:cs="Times New Roman"/>
          <w:sz w:val="32"/>
          <w:szCs w:val="32"/>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（三）政府信息管理方面。</w:t>
      </w:r>
      <w:r>
        <w:rPr>
          <w:rFonts w:hint="default" w:ascii="Times New Roman" w:hAnsi="Times New Roman" w:eastAsia="仿宋_GB2312" w:cs="Times New Roman"/>
          <w:sz w:val="32"/>
          <w:szCs w:val="32"/>
          <w:lang w:val="en-US" w:eastAsia="zh-CN"/>
        </w:rPr>
        <w:t>建立政府信息产生登记机制，对工作中产生的各类文件进行信息公开等级分类，依法依规标注公开等级，做到依法管理、分类管理、及时公开。</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（四）政府信息公开平台建设方面。</w:t>
      </w:r>
      <w:r>
        <w:rPr>
          <w:rFonts w:hint="default" w:ascii="Times New Roman" w:hAnsi="Times New Roman" w:eastAsia="仿宋_GB2312" w:cs="Times New Roman"/>
          <w:sz w:val="32"/>
          <w:szCs w:val="32"/>
          <w:lang w:val="en-US" w:eastAsia="zh-CN"/>
        </w:rPr>
        <w:t>积极通过中国（河北）自由贸易试验区雄安片区官网等渠道加强自贸试验区政府信息传播，保障群众知情权，方便群众查阅信息。</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（五）监督保障方面。</w:t>
      </w:r>
      <w:r>
        <w:rPr>
          <w:rFonts w:hint="default" w:ascii="Times New Roman" w:hAnsi="Times New Roman" w:eastAsia="仿宋_GB2312" w:cs="Times New Roman"/>
          <w:sz w:val="32"/>
          <w:szCs w:val="32"/>
          <w:lang w:val="en-US" w:eastAsia="zh-CN"/>
        </w:rPr>
        <w:t>对各类政府文件梳理形成台账，细化实化责任分工。将政府信息公开工作纳入部门督办和考核，由分管负责同志和政务公开工作人员开展监督检查，强化考核评估结果运用。积极组织工作人员参加雄安新区政务公开培训，持续提升业务能力。</w:t>
      </w:r>
    </w:p>
    <w:p>
      <w:pPr>
        <w:pStyle w:val="3"/>
        <w:widowControl/>
        <w:numPr>
          <w:ilvl w:val="0"/>
          <w:numId w:val="0"/>
        </w:numPr>
        <w:spacing w:beforeAutospacing="0" w:afterAutospacing="0" w:line="58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二、主动公开政府信息情况</w:t>
      </w:r>
    </w:p>
    <w:tbl>
      <w:tblPr>
        <w:tblpPr w:leftFromText="180" w:rightFromText="180" w:vertAnchor="page" w:horzAnchor="page" w:tblpX="1799" w:tblpY="2916"/>
        <w:tblOverlap w:val="never"/>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100"/>
        <w:gridCol w:w="2075"/>
        <w:gridCol w:w="2027"/>
      </w:tblGrid>
      <w:tr>
        <w:tblPrEx>
          <w:tblLayout w:type="fixed"/>
        </w:tblPrEx>
        <w:trPr>
          <w:trHeight w:val="73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第二十条  第（一）项</w:t>
            </w:r>
          </w:p>
        </w:tc>
      </w:tr>
      <w:tr>
        <w:tblPrEx>
          <w:tblLayout w:type="fixed"/>
        </w:tblPrEx>
        <w:trPr>
          <w:trHeight w:val="73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信息内容</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本年制发件数</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本年废止件数</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现行有效件数</w:t>
            </w:r>
          </w:p>
        </w:tc>
      </w:tr>
      <w:tr>
        <w:tblPrEx>
          <w:tblLayout w:type="fixed"/>
        </w:tblPrEx>
        <w:trPr>
          <w:trHeight w:val="73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sz w:val="28"/>
                <w:szCs w:val="36"/>
                <w:vertAlign w:val="baseline"/>
                <w:lang w:val="en-US" w:eastAsia="zh-CN"/>
              </w:rPr>
            </w:pPr>
            <w:r>
              <w:rPr>
                <w:rFonts w:hint="eastAsia"/>
                <w:sz w:val="28"/>
                <w:szCs w:val="36"/>
                <w:vertAlign w:val="baseline"/>
                <w:lang w:val="en-US" w:eastAsia="zh-CN"/>
              </w:rPr>
              <w:t>规章</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0</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0</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0</w:t>
            </w:r>
          </w:p>
        </w:tc>
      </w:tr>
      <w:tr>
        <w:tblPrEx>
          <w:tblLayout w:type="fixed"/>
        </w:tblPrEx>
        <w:trPr>
          <w:trHeight w:val="73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行政规范性文件</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2</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0</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sz w:val="28"/>
                <w:szCs w:val="36"/>
                <w:vertAlign w:val="baseline"/>
                <w:lang w:val="en-US" w:eastAsia="zh-CN"/>
              </w:rPr>
            </w:pPr>
            <w:r>
              <w:rPr>
                <w:rFonts w:hint="default" w:ascii="Times New Roman" w:hAnsi="Times New Roman" w:cs="Times New Roman"/>
                <w:sz w:val="28"/>
                <w:szCs w:val="36"/>
                <w:vertAlign w:val="baseline"/>
                <w:lang w:val="en-US" w:eastAsia="zh-CN"/>
              </w:rPr>
              <w:t>2</w:t>
            </w:r>
          </w:p>
        </w:tc>
      </w:tr>
      <w:tr>
        <w:tblPrEx>
          <w:tblLayout w:type="fixed"/>
        </w:tblPrEx>
        <w:trPr>
          <w:trHeight w:val="73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第二十条  第（五）项</w:t>
            </w:r>
          </w:p>
        </w:tc>
      </w:tr>
      <w:tr>
        <w:tblPrEx>
          <w:tblLayout w:type="fixed"/>
        </w:tblPrEx>
        <w:trPr>
          <w:trHeight w:val="73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36"/>
                <w:vertAlign w:val="baseline"/>
                <w:lang w:val="en-US" w:eastAsia="zh-CN"/>
              </w:rPr>
            </w:pPr>
            <w:r>
              <w:rPr>
                <w:rFonts w:hint="eastAsia"/>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36"/>
                <w:vertAlign w:val="baseline"/>
                <w:lang w:val="en-US" w:eastAsia="zh-CN"/>
              </w:rPr>
            </w:pPr>
            <w:r>
              <w:rPr>
                <w:rFonts w:hint="eastAsia"/>
                <w:sz w:val="28"/>
                <w:szCs w:val="36"/>
                <w:vertAlign w:val="baseline"/>
                <w:lang w:val="en-US" w:eastAsia="zh-CN"/>
              </w:rPr>
              <w:t>本年处理决定数量</w:t>
            </w:r>
          </w:p>
        </w:tc>
      </w:tr>
      <w:tr>
        <w:tblPrEx>
          <w:tblLayout w:type="fixed"/>
        </w:tblPrEx>
        <w:trPr>
          <w:trHeight w:val="73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行政许可</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sz w:val="28"/>
                <w:szCs w:val="36"/>
                <w:vertAlign w:val="baseline"/>
                <w:lang w:val="en-US" w:eastAsia="zh-CN"/>
              </w:rPr>
            </w:pPr>
            <w:r>
              <w:rPr>
                <w:rFonts w:hint="eastAsia" w:ascii="Times New Roman" w:hAnsi="Times New Roman" w:cs="Times New Roman"/>
                <w:sz w:val="28"/>
                <w:szCs w:val="36"/>
                <w:vertAlign w:val="baseline"/>
                <w:lang w:val="en-US" w:eastAsia="zh-CN"/>
              </w:rPr>
              <w:t>0</w:t>
            </w:r>
          </w:p>
        </w:tc>
      </w:tr>
      <w:tr>
        <w:tblPrEx>
          <w:tblLayout w:type="fixed"/>
        </w:tblPrEx>
        <w:trPr>
          <w:trHeight w:val="73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第二十条  第（六）项</w:t>
            </w:r>
          </w:p>
        </w:tc>
      </w:tr>
      <w:tr>
        <w:tblPrEx>
          <w:tblLayout w:type="fixed"/>
        </w:tblPrEx>
        <w:trPr>
          <w:trHeight w:val="73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36"/>
                <w:vertAlign w:val="baseline"/>
                <w:lang w:val="en-US" w:eastAsia="zh-CN"/>
              </w:rPr>
            </w:pPr>
            <w:r>
              <w:rPr>
                <w:rFonts w:hint="eastAsia"/>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36"/>
                <w:vertAlign w:val="baseline"/>
                <w:lang w:val="en-US" w:eastAsia="zh-CN"/>
              </w:rPr>
            </w:pPr>
            <w:r>
              <w:rPr>
                <w:rFonts w:hint="eastAsia"/>
                <w:sz w:val="28"/>
                <w:szCs w:val="36"/>
                <w:vertAlign w:val="baseline"/>
                <w:lang w:val="en-US" w:eastAsia="zh-CN"/>
              </w:rPr>
              <w:t>本年处理决定数量</w:t>
            </w:r>
          </w:p>
        </w:tc>
      </w:tr>
      <w:tr>
        <w:tblPrEx>
          <w:tblLayout w:type="fixed"/>
        </w:tblPrEx>
        <w:trPr>
          <w:trHeight w:val="73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36"/>
                <w:vertAlign w:val="baseline"/>
                <w:lang w:val="en-US" w:eastAsia="zh-CN"/>
              </w:rPr>
            </w:pPr>
            <w:r>
              <w:rPr>
                <w:rFonts w:hint="eastAsia"/>
                <w:sz w:val="28"/>
                <w:szCs w:val="36"/>
                <w:vertAlign w:val="baseline"/>
                <w:lang w:val="en-US" w:eastAsia="zh-CN"/>
              </w:rPr>
              <w:t>行政处罚</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0</w:t>
            </w:r>
          </w:p>
        </w:tc>
      </w:tr>
      <w:tr>
        <w:tblPrEx>
          <w:tblLayout w:type="fixed"/>
        </w:tblPrEx>
        <w:trPr>
          <w:trHeight w:val="73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行政强制</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0</w:t>
            </w:r>
          </w:p>
        </w:tc>
      </w:tr>
      <w:tr>
        <w:tblPrEx>
          <w:tblLayout w:type="fixed"/>
        </w:tblPrEx>
        <w:trPr>
          <w:trHeight w:val="73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第二十条  第（八）项</w:t>
            </w:r>
          </w:p>
        </w:tc>
      </w:tr>
      <w:tr>
        <w:tblPrEx>
          <w:tblLayout w:type="fixed"/>
        </w:tblPrEx>
        <w:trPr>
          <w:trHeight w:val="73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36"/>
                <w:vertAlign w:val="baseline"/>
                <w:lang w:val="en-US" w:eastAsia="zh-CN"/>
              </w:rPr>
            </w:pPr>
            <w:r>
              <w:rPr>
                <w:rFonts w:hint="eastAsia"/>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36"/>
                <w:vertAlign w:val="baseline"/>
                <w:lang w:val="en-US" w:eastAsia="zh-CN"/>
              </w:rPr>
            </w:pPr>
            <w:r>
              <w:rPr>
                <w:rFonts w:hint="eastAsia"/>
                <w:sz w:val="28"/>
                <w:szCs w:val="36"/>
                <w:vertAlign w:val="baseline"/>
                <w:lang w:val="en-US" w:eastAsia="zh-CN"/>
              </w:rPr>
              <w:t>本年收费金额（单位：万元）</w:t>
            </w:r>
          </w:p>
        </w:tc>
      </w:tr>
      <w:tr>
        <w:tblPrEx>
          <w:tblLayout w:type="fixed"/>
        </w:tblPrEx>
        <w:trPr>
          <w:trHeight w:val="73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行政事业性收费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sz w:val="28"/>
                <w:szCs w:val="36"/>
                <w:vertAlign w:val="baseline"/>
                <w:lang w:val="en-US" w:eastAsia="zh-CN"/>
              </w:rPr>
            </w:pPr>
            <w:r>
              <w:rPr>
                <w:rFonts w:hint="eastAsia" w:ascii="Times New Roman" w:hAnsi="Times New Roman" w:cs="Times New Roman"/>
                <w:sz w:val="28"/>
                <w:szCs w:val="36"/>
                <w:vertAlign w:val="baseline"/>
                <w:lang w:val="en-US" w:eastAsia="zh-CN"/>
              </w:rPr>
              <w:t>0</w:t>
            </w:r>
          </w:p>
        </w:tc>
      </w:tr>
    </w:tbl>
    <w:p>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tbl>
      <w:tblPr>
        <w:tblpPr w:leftFromText="180" w:rightFromText="180" w:vertAnchor="text" w:horzAnchor="page" w:tblpX="1837" w:tblpY="6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79"/>
        <w:gridCol w:w="2333"/>
        <w:gridCol w:w="538"/>
        <w:gridCol w:w="662"/>
        <w:gridCol w:w="650"/>
        <w:gridCol w:w="788"/>
        <w:gridCol w:w="800"/>
        <w:gridCol w:w="500"/>
        <w:gridCol w:w="547"/>
      </w:tblGrid>
      <w:tr>
        <w:tblPrEx>
          <w:tblLayout w:type="fixed"/>
        </w:tblPrEx>
        <w:tc>
          <w:tcPr>
            <w:tcW w:w="4037"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8"/>
                <w:szCs w:val="28"/>
                <w:vertAlign w:val="baseline"/>
                <w:lang w:val="en-US" w:eastAsia="zh-CN"/>
              </w:rPr>
            </w:pPr>
            <w:r>
              <w:rPr>
                <w:rFonts w:hint="eastAsia" w:ascii="楷体_GB2312" w:hAnsi="楷体_GB2312" w:eastAsia="楷体_GB2312" w:cs="楷体_GB2312"/>
                <w:w w:val="90"/>
                <w:sz w:val="21"/>
                <w:szCs w:val="24"/>
                <w:vertAlign w:val="baseline"/>
                <w:lang w:val="en-US" w:eastAsia="zh-CN"/>
              </w:rPr>
              <w:t>（本列数据的勾稽关系为：第一项加第二项之和，等于第三项加第四项之和）</w:t>
            </w:r>
          </w:p>
        </w:tc>
        <w:tc>
          <w:tcPr>
            <w:tcW w:w="4485"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申请人情况</w:t>
            </w:r>
          </w:p>
        </w:tc>
      </w:tr>
      <w:tr>
        <w:tblPrEx>
          <w:tblLayout w:type="fixed"/>
        </w:tblPrEx>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8"/>
                <w:szCs w:val="28"/>
                <w:vertAlign w:val="baseline"/>
                <w:lang w:val="en-US" w:eastAsia="zh-CN"/>
              </w:rPr>
            </w:pPr>
          </w:p>
        </w:tc>
        <w:tc>
          <w:tcPr>
            <w:tcW w:w="5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自然人</w:t>
            </w:r>
          </w:p>
        </w:tc>
        <w:tc>
          <w:tcPr>
            <w:tcW w:w="340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法人或其他组织</w:t>
            </w:r>
          </w:p>
        </w:tc>
        <w:tc>
          <w:tcPr>
            <w:tcW w:w="5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总计</w:t>
            </w:r>
          </w:p>
        </w:tc>
      </w:tr>
      <w:tr>
        <w:tblPrEx>
          <w:tblLayout w:type="fixed"/>
        </w:tblPrEx>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w w:val="90"/>
                <w:sz w:val="28"/>
                <w:szCs w:val="28"/>
                <w:vertAlign w:val="baseline"/>
                <w:lang w:val="en-US" w:eastAsia="zh-CN"/>
              </w:rPr>
            </w:pPr>
          </w:p>
        </w:tc>
        <w:tc>
          <w:tcPr>
            <w:tcW w:w="5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p>
        </w:tc>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商业企业</w:t>
            </w:r>
          </w:p>
        </w:tc>
        <w:tc>
          <w:tcPr>
            <w:tcW w:w="6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科研机构</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社会公益组织</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法律服务机构</w:t>
            </w:r>
          </w:p>
        </w:tc>
        <w:tc>
          <w:tcPr>
            <w:tcW w:w="5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r>
              <w:rPr>
                <w:rFonts w:hint="eastAsia" w:ascii="仿宋_GB2312" w:hAnsi="仿宋_GB2312" w:eastAsia="仿宋_GB2312" w:cs="仿宋_GB2312"/>
                <w:w w:val="90"/>
                <w:sz w:val="21"/>
                <w:szCs w:val="21"/>
                <w:vertAlign w:val="baseline"/>
                <w:lang w:val="en-US" w:eastAsia="zh-CN"/>
              </w:rPr>
              <w:t>其他</w:t>
            </w:r>
          </w:p>
        </w:tc>
        <w:tc>
          <w:tcPr>
            <w:tcW w:w="5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1"/>
                <w:vertAlign w:val="baseline"/>
                <w:lang w:val="en-US" w:eastAsia="zh-CN"/>
              </w:rPr>
            </w:pPr>
          </w:p>
        </w:tc>
      </w:tr>
      <w:tr>
        <w:tblPrEx>
          <w:tblLayout w:type="fixed"/>
        </w:tblPrEx>
        <w:trPr>
          <w:trHeight w:val="282" w:hRule="atLeast"/>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一、本年新收政府信息公开申请数量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二、上年结转政府信息公开申请数量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三、本年度办理结果</w:t>
            </w: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（一）予以公开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（二）部分公开</w:t>
            </w:r>
            <w:r>
              <w:rPr>
                <w:rFonts w:hint="eastAsia" w:ascii="楷体_GB2312" w:hAnsi="楷体_GB2312" w:eastAsia="楷体_GB2312" w:cs="楷体_GB2312"/>
                <w:w w:val="90"/>
                <w:sz w:val="20"/>
                <w:szCs w:val="22"/>
                <w:vertAlign w:val="baseline"/>
                <w:lang w:val="en-US" w:eastAsia="zh-CN"/>
              </w:rPr>
              <w:t>（区分处理的，只计这一情形，不计其他情形）</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（三）不予公开</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1.属于国家秘密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2.其他法律行政法规禁止公开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3.危及“三安全一稳定”</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4.保护第三方合法权益</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5.属于三类内部事务信息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6.属于四类过程性信息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rPr>
          <w:trHeight w:val="217" w:hRule="atLeast"/>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7.属于行政执法案卷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8.属于行政查询事项</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（四）无法提供</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1.本机关不掌握相关政府信息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2.没有现成信息需要另行制作</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3.补正后申请内容仍不明确</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（五）不予处理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1.信访举报投诉类申请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3.要求提供公开出版物</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4.无正当理由大量反复申请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5.要求行政机关确认或重新出具已获取信息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（六）其他处理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1.申请人无正当理由逾期不补正、行政机关不再处理其政府信息公开申请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2.申请人逾期未按收费通知要求缴纳费用、行政机关不再处理其政府信息公开申请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3.其他</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w w:val="90"/>
                <w:sz w:val="21"/>
                <w:szCs w:val="24"/>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（七）总计</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r>
        <w:tblPrEx>
          <w:tblLayout w:type="fixed"/>
        </w:tblPrEx>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四、结转下年度继续办理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default" w:ascii="Times New Roman" w:hAnsi="Times New Roman" w:eastAsia="仿宋_GB2312" w:cs="Times New Roman"/>
                <w:b w:val="0"/>
                <w:bCs w:val="0"/>
                <w:w w:val="90"/>
                <w:kern w:val="2"/>
                <w:sz w:val="21"/>
                <w:szCs w:val="21"/>
                <w:vertAlign w:val="baseline"/>
                <w:lang w:val="en-US" w:eastAsia="zh-CN" w:bidi="ar-SA"/>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w w:val="100"/>
          <w:sz w:val="32"/>
          <w:szCs w:val="32"/>
          <w:lang w:val="en-US" w:eastAsia="zh-CN"/>
        </w:rPr>
      </w:pPr>
      <w:r>
        <w:rPr>
          <w:rFonts w:hint="eastAsia" w:ascii="黑体" w:hAnsi="黑体" w:eastAsia="黑体" w:cs="黑体"/>
          <w:b w:val="0"/>
          <w:bCs w:val="0"/>
          <w:w w:val="100"/>
          <w:sz w:val="32"/>
          <w:szCs w:val="32"/>
          <w:lang w:val="en-US" w:eastAsia="zh-CN"/>
        </w:rPr>
        <w:t>收到和处理政府信息公开申请情况</w:t>
      </w:r>
    </w:p>
    <w:p>
      <w:pPr>
        <w:pStyle w:val="2"/>
        <w:numPr>
          <w:ilvl w:val="0"/>
          <w:numId w:val="0"/>
        </w:numPr>
        <w:rPr>
          <w:rFonts w:hint="eastAsia"/>
          <w:lang w:val="en-US" w:eastAsia="zh-CN"/>
        </w:rPr>
      </w:pPr>
    </w:p>
    <w:p>
      <w:pPr>
        <w:rPr>
          <w:rFonts w:hint="eastAsia" w:ascii="黑体" w:hAnsi="黑体" w:eastAsia="黑体" w:cs="黑体"/>
          <w:b w:val="0"/>
          <w:bCs w:val="0"/>
          <w:w w:val="100"/>
          <w:sz w:val="32"/>
          <w:szCs w:val="32"/>
          <w:lang w:val="en-US" w:eastAsia="zh-CN"/>
        </w:rPr>
      </w:pPr>
      <w:r>
        <w:rPr>
          <w:rFonts w:hint="eastAsia" w:ascii="黑体" w:hAnsi="黑体" w:eastAsia="黑体" w:cs="黑体"/>
          <w:b w:val="0"/>
          <w:bCs w:val="0"/>
          <w:w w:val="100"/>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w w:val="100"/>
          <w:sz w:val="32"/>
          <w:szCs w:val="32"/>
          <w:lang w:val="en-US" w:eastAsia="zh-CN"/>
        </w:rPr>
      </w:pPr>
      <w:r>
        <w:rPr>
          <w:rFonts w:hint="eastAsia" w:ascii="黑体" w:hAnsi="黑体" w:eastAsia="黑体" w:cs="黑体"/>
          <w:b w:val="0"/>
          <w:bCs w:val="0"/>
          <w:w w:val="100"/>
          <w:sz w:val="32"/>
          <w:szCs w:val="32"/>
          <w:lang w:val="en-US" w:eastAsia="zh-CN"/>
        </w:rPr>
        <w:t>四、政府信息公开行政复议、行政诉讼情况</w:t>
      </w:r>
    </w:p>
    <w:tbl>
      <w:tblPr>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67"/>
        <w:gridCol w:w="567"/>
        <w:gridCol w:w="567"/>
        <w:gridCol w:w="567"/>
        <w:gridCol w:w="567"/>
        <w:gridCol w:w="567"/>
        <w:gridCol w:w="567"/>
        <w:gridCol w:w="568"/>
        <w:gridCol w:w="568"/>
        <w:gridCol w:w="568"/>
        <w:gridCol w:w="568"/>
        <w:gridCol w:w="568"/>
        <w:gridCol w:w="568"/>
        <w:gridCol w:w="568"/>
      </w:tblGrid>
      <w:tr>
        <w:tblPrEx>
          <w:tblLayout w:type="fixed"/>
        </w:tblPrEx>
        <w:trPr>
          <w:jc w:val="center"/>
        </w:trPr>
        <w:tc>
          <w:tcPr>
            <w:tcW w:w="2835" w:type="dxa"/>
            <w:gridSpan w:val="5"/>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行政复议</w:t>
            </w:r>
          </w:p>
        </w:tc>
        <w:tc>
          <w:tcPr>
            <w:tcW w:w="5677"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行政诉讼</w:t>
            </w:r>
          </w:p>
        </w:tc>
      </w:tr>
      <w:tr>
        <w:tblPrEx>
          <w:tblLayout w:type="fixed"/>
        </w:tblPrEx>
        <w:trPr>
          <w:jc w:val="center"/>
        </w:trPr>
        <w:tc>
          <w:tcPr>
            <w:tcW w:w="2835" w:type="dxa"/>
            <w:gridSpan w:val="5"/>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p>
        </w:tc>
        <w:tc>
          <w:tcPr>
            <w:tcW w:w="2837"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未经复议直接起诉</w:t>
            </w:r>
          </w:p>
        </w:tc>
        <w:tc>
          <w:tcPr>
            <w:tcW w:w="2840"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21"/>
                <w:szCs w:val="24"/>
                <w:vertAlign w:val="baseline"/>
                <w:lang w:val="en-US" w:eastAsia="zh-CN"/>
              </w:rPr>
            </w:pPr>
            <w:r>
              <w:rPr>
                <w:rFonts w:hint="eastAsia" w:ascii="仿宋_GB2312" w:hAnsi="仿宋_GB2312" w:eastAsia="仿宋_GB2312" w:cs="仿宋_GB2312"/>
                <w:w w:val="90"/>
                <w:sz w:val="21"/>
                <w:szCs w:val="24"/>
                <w:vertAlign w:val="baseline"/>
                <w:lang w:val="en-US" w:eastAsia="zh-CN"/>
              </w:rPr>
              <w:t>复议后起诉</w:t>
            </w:r>
          </w:p>
        </w:tc>
      </w:tr>
      <w:tr>
        <w:tblPrEx>
          <w:tblLayout w:type="fixed"/>
        </w:tblPrEx>
        <w:trPr>
          <w:jc w:val="center"/>
        </w:trPr>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结果维持</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结果纠正</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其他结果</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尚未审结</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总计</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结果维持</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结果纠正</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其他结果</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尚未审结</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总计</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结果维持</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结果纠正</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其他结果</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尚未审结</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w w:val="90"/>
                <w:sz w:val="18"/>
                <w:szCs w:val="21"/>
                <w:vertAlign w:val="baseline"/>
                <w:lang w:val="en-US" w:eastAsia="zh-CN"/>
              </w:rPr>
            </w:pPr>
            <w:r>
              <w:rPr>
                <w:rFonts w:hint="eastAsia" w:ascii="仿宋_GB2312" w:hAnsi="仿宋_GB2312" w:eastAsia="仿宋_GB2312" w:cs="仿宋_GB2312"/>
                <w:w w:val="90"/>
                <w:sz w:val="18"/>
                <w:szCs w:val="21"/>
                <w:vertAlign w:val="baseline"/>
                <w:lang w:val="en-US" w:eastAsia="zh-CN"/>
              </w:rPr>
              <w:t>总计</w:t>
            </w:r>
          </w:p>
        </w:tc>
      </w:tr>
      <w:tr>
        <w:tblPrEx>
          <w:tblLayout w:type="fixed"/>
        </w:tblPrEx>
        <w:trPr>
          <w:trHeight w:val="405" w:hRule="atLeast"/>
          <w:jc w:val="center"/>
        </w:trPr>
        <w:tc>
          <w:tcPr>
            <w:tcW w:w="56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c>
          <w:tcPr>
            <w:tcW w:w="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w w:val="90"/>
                <w:kern w:val="2"/>
                <w:sz w:val="21"/>
                <w:szCs w:val="21"/>
                <w:vertAlign w:val="baseline"/>
                <w:lang w:val="en-US" w:eastAsia="zh-CN" w:bidi="ar-SA"/>
              </w:rPr>
            </w:pPr>
            <w:r>
              <w:rPr>
                <w:rFonts w:hint="eastAsia" w:ascii="Times New Roman" w:hAnsi="Times New Roman" w:eastAsia="仿宋_GB2312" w:cs="Times New Roman"/>
                <w:b w:val="0"/>
                <w:bCs w:val="0"/>
                <w:w w:val="90"/>
                <w:kern w:val="2"/>
                <w:sz w:val="21"/>
                <w:szCs w:val="21"/>
                <w:vertAlign w:val="baseline"/>
                <w:lang w:val="en-US" w:eastAsia="zh-CN" w:bidi="ar-SA"/>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w w:val="100"/>
          <w:sz w:val="32"/>
          <w:szCs w:val="32"/>
          <w:lang w:val="en-US" w:eastAsia="zh-CN"/>
        </w:rPr>
      </w:pPr>
      <w:r>
        <w:rPr>
          <w:rFonts w:hint="default" w:ascii="Times New Roman" w:hAnsi="Times New Roman" w:eastAsia="黑体" w:cs="Times New Roman"/>
          <w:b w:val="0"/>
          <w:bCs w:val="0"/>
          <w:w w:val="100"/>
          <w:sz w:val="32"/>
          <w:szCs w:val="32"/>
          <w:lang w:val="en-US" w:eastAsia="zh-CN"/>
        </w:rPr>
        <w:t>五、存在的主要问题及改进情况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虽然我们在政府信息公开方面取得了一定</w:t>
      </w:r>
      <w:r>
        <w:rPr>
          <w:rFonts w:hint="eastAsia" w:ascii="Times New Roman" w:hAnsi="Times New Roman" w:eastAsia="仿宋_GB2312" w:cs="Times New Roman"/>
          <w:sz w:val="32"/>
          <w:szCs w:val="32"/>
          <w:lang w:val="en-US" w:eastAsia="zh-CN"/>
        </w:rPr>
        <w:t>成效</w:t>
      </w:r>
      <w:r>
        <w:rPr>
          <w:rFonts w:hint="default" w:ascii="Times New Roman" w:hAnsi="Times New Roman" w:eastAsia="仿宋_GB2312" w:cs="Times New Roman"/>
          <w:sz w:val="32"/>
          <w:szCs w:val="32"/>
          <w:lang w:val="en-US" w:eastAsia="zh-CN"/>
        </w:rPr>
        <w:t>，但与上级要求和群众期望相比，仍存在差距和不足。主要表现在：</w:t>
      </w:r>
      <w:r>
        <w:rPr>
          <w:rFonts w:hint="default" w:ascii="Times New Roman" w:hAnsi="Times New Roman" w:eastAsia="仿宋_GB2312" w:cs="Times New Roman"/>
          <w:b w:val="0"/>
          <w:bCs w:val="0"/>
          <w:sz w:val="32"/>
          <w:szCs w:val="32"/>
          <w:lang w:val="en-US" w:eastAsia="zh-CN"/>
        </w:rPr>
        <w:t>一是信息公开渠道运用不够广泛，主要以</w:t>
      </w:r>
      <w:r>
        <w:rPr>
          <w:rFonts w:hint="eastAsia" w:ascii="Times New Roman" w:hAnsi="Times New Roman" w:eastAsia="仿宋_GB2312" w:cs="Times New Roman"/>
          <w:b w:val="0"/>
          <w:bCs w:val="0"/>
          <w:sz w:val="32"/>
          <w:szCs w:val="32"/>
          <w:lang w:val="en-US" w:eastAsia="zh-CN"/>
        </w:rPr>
        <w:t>我委官方</w:t>
      </w:r>
      <w:r>
        <w:rPr>
          <w:rFonts w:hint="default" w:ascii="Times New Roman" w:hAnsi="Times New Roman" w:eastAsia="仿宋_GB2312" w:cs="Times New Roman"/>
          <w:b w:val="0"/>
          <w:bCs w:val="0"/>
          <w:sz w:val="32"/>
          <w:szCs w:val="32"/>
          <w:lang w:val="en-US" w:eastAsia="zh-CN"/>
        </w:rPr>
        <w:t>网站为主</w:t>
      </w:r>
      <w:r>
        <w:rPr>
          <w:rFonts w:hint="eastAsia" w:ascii="Times New Roman" w:hAnsi="Times New Roman" w:eastAsia="仿宋_GB2312" w:cs="Times New Roman"/>
          <w:b w:val="0"/>
          <w:bCs w:val="0"/>
          <w:sz w:val="32"/>
          <w:szCs w:val="32"/>
          <w:lang w:val="en-US" w:eastAsia="zh-CN"/>
        </w:rPr>
        <w:t>，影响力有待提升</w:t>
      </w:r>
      <w:r>
        <w:rPr>
          <w:rFonts w:hint="default" w:ascii="Times New Roman" w:hAnsi="Times New Roman" w:eastAsia="仿宋_GB2312" w:cs="Times New Roman"/>
          <w:b w:val="0"/>
          <w:bCs w:val="0"/>
          <w:sz w:val="32"/>
          <w:szCs w:val="32"/>
          <w:lang w:val="en-US" w:eastAsia="zh-CN"/>
        </w:rPr>
        <w:t>。二是信息公开主动性和实效性仍需进一步提高，政府信息公开的范围和内容有待深化和拓展</w:t>
      </w:r>
      <w:r>
        <w:rPr>
          <w:rFonts w:hint="eastAsia" w:ascii="Times New Roman" w:hAnsi="Times New Roman" w:eastAsia="仿宋_GB2312" w:cs="Times New Roman"/>
          <w:b w:val="0"/>
          <w:bCs w:val="0"/>
          <w:sz w:val="32"/>
          <w:szCs w:val="32"/>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接下来，我们将进一步深化落实举措，扎实拓展工作成效。</w:t>
      </w:r>
      <w:r>
        <w:rPr>
          <w:rFonts w:hint="default" w:ascii="Times New Roman" w:hAnsi="Times New Roman" w:eastAsia="仿宋_GB2312" w:cs="Times New Roman"/>
          <w:b w:val="0"/>
          <w:bCs w:val="0"/>
          <w:sz w:val="32"/>
          <w:szCs w:val="32"/>
          <w:lang w:val="en-US" w:eastAsia="zh-CN"/>
        </w:rPr>
        <w:t>一</w:t>
      </w:r>
      <w:r>
        <w:rPr>
          <w:rFonts w:hint="eastAsia" w:ascii="Times New Roman" w:hAnsi="Times New Roman" w:eastAsia="仿宋_GB2312" w:cs="Times New Roman"/>
          <w:b w:val="0"/>
          <w:bCs w:val="0"/>
          <w:sz w:val="32"/>
          <w:szCs w:val="32"/>
          <w:lang w:val="en-US" w:eastAsia="zh-CN"/>
        </w:rPr>
        <w:t>是加大技术保障力度，</w:t>
      </w:r>
      <w:r>
        <w:rPr>
          <w:rFonts w:hint="default" w:ascii="Times New Roman" w:hAnsi="Times New Roman" w:eastAsia="仿宋_GB2312" w:cs="Times New Roman"/>
          <w:sz w:val="32"/>
          <w:szCs w:val="32"/>
          <w:lang w:val="en-US" w:eastAsia="zh-CN"/>
        </w:rPr>
        <w:t>强化我委官方网站日常运维管理，用实用细官网信息平台，进一步丰富信息公开、新闻动态、互动交流等专栏内容，</w:t>
      </w:r>
      <w:r>
        <w:rPr>
          <w:rFonts w:hint="eastAsia" w:ascii="Times New Roman" w:hAnsi="Times New Roman" w:eastAsia="仿宋_GB2312" w:cs="Times New Roman"/>
          <w:sz w:val="32"/>
          <w:szCs w:val="32"/>
          <w:lang w:val="en-US" w:eastAsia="zh-CN"/>
        </w:rPr>
        <w:t>借助政务新媒体传播速度快、受众面广、服务黏性大等优势，</w:t>
      </w:r>
      <w:r>
        <w:rPr>
          <w:rFonts w:hint="default" w:ascii="Times New Roman" w:hAnsi="Times New Roman" w:eastAsia="仿宋_GB2312" w:cs="Times New Roman"/>
          <w:sz w:val="32"/>
          <w:szCs w:val="32"/>
          <w:lang w:val="en-US" w:eastAsia="zh-CN"/>
        </w:rPr>
        <w:t>打造雄安自贸工作政府信息公开宣传矩阵。</w:t>
      </w:r>
      <w:r>
        <w:rPr>
          <w:rFonts w:hint="eastAsia" w:ascii="Times New Roman" w:hAnsi="Times New Roman" w:eastAsia="仿宋_GB2312" w:cs="Times New Roman"/>
          <w:sz w:val="32"/>
          <w:szCs w:val="32"/>
          <w:lang w:val="en-US" w:eastAsia="zh-CN"/>
        </w:rPr>
        <w:t>二是提高委内干部职工</w:t>
      </w:r>
      <w:r>
        <w:rPr>
          <w:rFonts w:hint="default" w:ascii="Times New Roman" w:hAnsi="Times New Roman" w:eastAsia="仿宋_GB2312" w:cs="Times New Roman"/>
          <w:b w:val="0"/>
          <w:bCs w:val="0"/>
          <w:sz w:val="32"/>
          <w:szCs w:val="32"/>
          <w:lang w:val="en-US" w:eastAsia="zh-CN"/>
        </w:rPr>
        <w:t>信息公开</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主动性和实效性</w:t>
      </w:r>
      <w:r>
        <w:rPr>
          <w:rFonts w:hint="eastAsia" w:ascii="Times New Roman" w:hAnsi="Times New Roman" w:eastAsia="仿宋_GB2312" w:cs="Times New Roman"/>
          <w:b w:val="0"/>
          <w:bCs w:val="0"/>
          <w:sz w:val="32"/>
          <w:szCs w:val="32"/>
          <w:lang w:val="en-US" w:eastAsia="zh-CN"/>
        </w:rPr>
        <w:t>，通过图示图解、卡通动漫、短视频等多元化解读形式，拓展政务信息公开的广度和深度。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w w:val="100"/>
          <w:sz w:val="32"/>
          <w:szCs w:val="32"/>
          <w:lang w:val="en-US" w:eastAsia="zh-CN"/>
        </w:rPr>
      </w:pPr>
      <w:r>
        <w:rPr>
          <w:rFonts w:hint="default" w:ascii="Times New Roman" w:hAnsi="Times New Roman" w:eastAsia="黑体" w:cs="Times New Roman"/>
          <w:b w:val="0"/>
          <w:bCs w:val="0"/>
          <w:w w:val="100"/>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w w:val="100"/>
          <w:kern w:val="0"/>
          <w:sz w:val="32"/>
          <w:szCs w:val="32"/>
          <w:lang w:val="en-US" w:eastAsia="zh-CN" w:bidi="ar"/>
        </w:rPr>
      </w:pPr>
      <w:r>
        <w:rPr>
          <w:rFonts w:hint="default" w:ascii="Times New Roman" w:hAnsi="Times New Roman" w:eastAsia="仿宋_GB2312" w:cs="Times New Roman"/>
          <w:b w:val="0"/>
          <w:bCs w:val="0"/>
          <w:w w:val="100"/>
          <w:kern w:val="0"/>
          <w:sz w:val="32"/>
          <w:szCs w:val="32"/>
          <w:lang w:val="en-US" w:eastAsia="zh-CN" w:bidi="ar"/>
        </w:rPr>
        <w:t>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仿宋" w:hAnsi="仿宋" w:eastAsia="仿宋" w:cs="仿宋"/>
          <w:sz w:val="32"/>
          <w:szCs w:val="32"/>
          <w:lang w:val="en-US" w:eastAsia="zh-CN"/>
        </w:rPr>
      </w:pPr>
    </w:p>
    <w:sectPr>
      <w:footerReference r:id="rId3" w:type="default"/>
      <w:pgSz w:w="11906" w:h="16838"/>
      <w:pgMar w:top="2098" w:right="1474" w:bottom="1984" w:left="1587" w:header="851" w:footer="1701" w:gutter="0"/>
      <w:pgBorders>
        <w:top w:val="none" w:color="auto" w:sz="0" w:space="0"/>
        <w:left w:val="none" w:color="auto" w:sz="0" w:space="0"/>
        <w:bottom w:val="none" w:color="auto" w:sz="0" w:space="0"/>
        <w:right w:val="none" w:color="auto" w:sz="0" w:space="0"/>
      </w:pgBorders>
      <w:pgNumType w:fmt="numberInDash"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embedRegular r:id="rId1" w:fontKey="{92FB0097-ACF8-A4A3-9E32-CB639A71BCFB}"/>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0" w:usb1="00000000" w:usb2="00000000" w:usb3="00000000" w:csb0="00040000" w:csb1="00000000"/>
    <w:embedRegular r:id="rId2" w:fontKey="{1E85A136-2B03-3980-9E32-CB63D8813D0D}"/>
  </w:font>
  <w:font w:name="等线">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00000000" w:usb1="00000000" w:usb2="00000016" w:usb3="00000000" w:csb0="00040001" w:csb1="00000000"/>
    <w:embedRegular r:id="rId3" w:fontKey="{848A5564-6A4B-CA0F-9E32-CB63A20AC17C}"/>
  </w:font>
  <w:font w:name="方正小标宋简体">
    <w:panose1 w:val="03000509000000000000"/>
    <w:charset w:val="86"/>
    <w:family w:val="auto"/>
    <w:pitch w:val="default"/>
    <w:sig w:usb0="00000000" w:usb1="00000000" w:usb2="00000000" w:usb3="00000000" w:csb0="00040000" w:csb1="00000000"/>
    <w:embedRegular r:id="rId4" w:fontKey="{00723192-2FC8-EE96-9E32-CB63AA85F625}"/>
  </w:font>
  <w:font w:name="楷体_GB2312">
    <w:panose1 w:val="02010609030101010101"/>
    <w:charset w:val="86"/>
    <w:family w:val="auto"/>
    <w:pitch w:val="default"/>
    <w:sig w:usb0="00000000" w:usb1="00000000" w:usb2="00000000" w:usb3="00000000" w:csb0="00040000" w:csb1="00000000"/>
    <w:embedRegular r:id="rId5" w:fontKey="{E2657EE5-F5EC-7C00-9E32-CB637B819E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p>
                    <w:pPr>
                      <w:tabs>
                        <w:tab w:val="center" w:pos="4153"/>
                        <w:tab w:val="right" w:pos="830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F6D7"/>
    <w:multiLevelType w:val="singleLevel"/>
    <w:tmpl w:val="052FF6D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Document Map"/>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书正文"/>
    <w:basedOn w:val="1"/>
    <w:qFormat/>
    <w:uiPriority w:val="0"/>
    <w:pPr>
      <w:spacing w:line="500" w:lineRule="exact"/>
      <w:ind w:firstLine="64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2287</Words>
  <Characters>2324</Characters>
  <Lines>0</Lines>
  <Paragraphs>0</Paragraphs>
  <TotalTime>0</TotalTime>
  <ScaleCrop>false</ScaleCrop>
  <LinksUpToDate>false</LinksUpToDate>
  <CharactersWithSpaces>2332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2021-04-11T17:32:00Z</dcterms:created>
  <dc:creator>Lenovo</dc:creator>
  <cp:lastModifiedBy>iPhone</cp:lastModifiedBy>
  <cp:lastPrinted>2022-01-20T21:15:00Z</cp:lastPrinted>
  <dcterms:modified xsi:type="dcterms:W3CDTF">2023-01-21T08:32:30Z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2052-11.33.1</vt:lpwstr>
  </property>
  <property fmtid="{D5CDD505-2E9C-101B-9397-08002B2CF9AE}" pid="3" name="ICV">
    <vt:lpwstr>4C0559342202661F9E32CB63817794EF_33</vt:lpwstr>
  </property>
  <property fmtid="{D5CDD505-2E9C-101B-9397-08002B2CF9AE}" pid="4" name="KSOSaveFontToCloudKey">
    <vt:lpwstr>0_btnclosed</vt:lpwstr>
  </property>
</Properties>
</file>