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0" w:firstLineChars="0"/>
        <w:jc w:val="both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0" w:firstLineChars="0"/>
        <w:jc w:val="center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“名校英才入冀”计划引进范围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一、普通高等院校和科研院所（55个）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北京大学、北京航空航天大学、北京理工大学、北京师范大学、大连理工大学、电子科技大学、东北大学、东南大学、复旦大学、 国防科技大学、哈尔滨工业大学、湖南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大学、华东师范大学、 华南理工大学、华中科技大学、吉林大学、兰州大学、南京大学、 南开大学、清华大学、山东大学、上海交通大学、四川大学、 天津大学、同济大学、武汉大学、西安交通大学、西北工业大学、 西北农林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sz w:val="32"/>
          <w:szCs w:val="32"/>
        </w:rPr>
        <w:t>技大学、厦门大学、浙江大学、中国海洋大学、 中国科学技术大学、中国农业大学、中国人民大学、中南大学、 中山大学、中央民族大学、重庆大学、东北财经大学、对外经济贸易大学、华东政法大学、江西财经大学、山东财经学院、上海财经大学、 西北政法大学、西南财经大学、西南政法大学、中国政法大学、 中南财经政法大学、中央财经大学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财政部财政科学研究所、中国科学院、中国社会科学院、中国水利水电科学研究院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二、国家重点学科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教育部评选的国家重点学科（含一级学科、二级学科，参见教育部中国学位与研究生教育网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http：//www.cdgdc.edu.cn）。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ZDZjOTNiNjIzZmNkYjM4OGM1Y2QxODE2ZjdiMDgifQ=="/>
  </w:docVars>
  <w:rsids>
    <w:rsidRoot w:val="2CEF7718"/>
    <w:rsid w:val="2CE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99"/>
    <w:pPr>
      <w:ind w:left="3360"/>
    </w:pPr>
    <w:rPr>
      <w:rFonts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2022-11-05T11:28:00Z</dcterms:created>
  <dc:creator>张策</dc:creator>
  <cp:lastModifiedBy>张策</cp:lastModifiedBy>
  <dcterms:modified xsi:type="dcterms:W3CDTF">2022-11-05T11:28:57Z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C93C168A3A97492DA20E905400C3BF52</vt:lpwstr>
  </property>
</Properties>
</file>