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spacing w:after="156" w:afterLines="50" w:line="5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</w:rPr>
        <w:t>雄安新区新建房屋建筑和市政基础设施</w:t>
      </w:r>
    </w:p>
    <w:p>
      <w:pPr>
        <w:spacing w:after="156" w:afterLines="50" w:line="5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工程监理人员配备数量参考</w:t>
      </w:r>
      <w:bookmarkEnd w:id="0"/>
    </w:p>
    <w:tbl>
      <w:tblPr>
        <w:tblStyle w:val="4"/>
        <w:tblW w:w="877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547"/>
        <w:gridCol w:w="1548"/>
        <w:gridCol w:w="1441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5" w:hRule="atLeast"/>
        </w:trPr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类别</w:t>
            </w: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建设规模（平方米）</w:t>
            </w:r>
          </w:p>
          <w:p>
            <w:pPr>
              <w:ind w:firstLine="56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或工程投资（元）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监理人员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最低人数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公共建筑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</w:t>
            </w: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建设规模＜2万平方米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2万平≤建设规模＜5万平方米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5万平≤建设规模＜10万平方米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5～8人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5万平方米对应5人，10万平米对应8人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10万平≤建设规模＜20万平方米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8～12人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10万平方米对应8人，20万平方米对应12人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建设规模≥20万平方米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每2万平方米建筑面积不得少于1人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住宅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</w:t>
            </w: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建设规模＜10万平方米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10万平≤建设规模＜30万平方米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5～15人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10万平方米对应5人，30万平方米对应15人，每增加2万平方米增加1人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建设规模≥30万平方米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15人以上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每增加2万平方米增加1人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市政公用</w:t>
            </w: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</w:t>
            </w: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投资＜3000万元方米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3000万元≤投资＜2亿元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3～10人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投资3000万元对应3人，2亿元对应10人，每增加3000万元增加1人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投资≥2亿元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10人以上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每增加5000万元增加1人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轨道交通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</w:t>
            </w:r>
          </w:p>
        </w:tc>
        <w:tc>
          <w:tcPr>
            <w:tcW w:w="1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车站（1座）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明（盖）挖法</w:t>
            </w:r>
          </w:p>
        </w:tc>
        <w:tc>
          <w:tcPr>
            <w:tcW w:w="1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注册监理工程师不少于1人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矿山法</w:t>
            </w:r>
          </w:p>
        </w:tc>
        <w:tc>
          <w:tcPr>
            <w:tcW w:w="14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监理员不少于4人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高架法</w:t>
            </w:r>
          </w:p>
        </w:tc>
        <w:tc>
          <w:tcPr>
            <w:tcW w:w="14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区间（按设2个竖井计）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明(盖)挖</w:t>
            </w:r>
          </w:p>
        </w:tc>
        <w:tc>
          <w:tcPr>
            <w:tcW w:w="14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注册监理工程师不少于1人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矿山</w:t>
            </w:r>
          </w:p>
        </w:tc>
        <w:tc>
          <w:tcPr>
            <w:tcW w:w="14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监理员不少于4人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盾构</w:t>
            </w:r>
          </w:p>
        </w:tc>
        <w:tc>
          <w:tcPr>
            <w:tcW w:w="14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4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高架</w:t>
            </w:r>
          </w:p>
        </w:tc>
        <w:tc>
          <w:tcPr>
            <w:tcW w:w="14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监理员不少于2人</w:t>
            </w:r>
          </w:p>
        </w:tc>
      </w:tr>
    </w:tbl>
    <w:p>
      <w:pPr>
        <w:ind w:firstLine="210" w:firstLineChars="1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1.以上监理人员为项目监理机构配备的总监理工程师、专业监理工程师和监理员数量之和，其中注册监理工程师与监理员配备比例建议为1:1～1:2。</w:t>
      </w:r>
    </w:p>
    <w:p>
      <w:pPr>
        <w:spacing w:line="240" w:lineRule="auto"/>
        <w:ind w:left="0" w:leftChars="0" w:right="0" w:rightChars="0" w:firstLine="21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2.以上为监理人员配备最低参考标准，建设单位对监理人员配备有具体要求的，可根据项目具体情况，对人员配备情况进行调整，以双方约定或投标承诺为准，原则上应达到监理机构人员配备的最低标准要求。</w:t>
      </w:r>
    </w:p>
    <w:p/>
    <w:sectPr>
      <w:footerReference r:id="rId3" w:type="default"/>
      <w:pgSz w:w="11906" w:h="16838"/>
      <w:pgMar w:top="1928" w:right="1531" w:bottom="1814" w:left="1531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2BE2F72"/>
    <w:rsid w:val="32B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7"/>
    <w:basedOn w:val="1"/>
    <w:next w:val="1"/>
    <w:qFormat/>
    <w:uiPriority w:val="0"/>
    <w:pPr>
      <w:ind w:left="2520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2022-10-19T03:26:00Z</dcterms:created>
  <dc:creator>你恐怖就比较古怪n</dc:creator>
  <cp:lastModifiedBy>你恐怖就比较古怪n</cp:lastModifiedBy>
  <dcterms:modified xsi:type="dcterms:W3CDTF">2022-10-19T03:27:09Z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D2849909CD3940A68CF686563EFBE93E</vt:lpwstr>
  </property>
</Properties>
</file>