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rPr>
      </w:pPr>
      <w:r>
        <w:rPr>
          <w:rFonts w:hint="eastAsia" w:ascii="黑体" w:hAnsi="黑体" w:eastAsia="黑体" w:cs="黑体"/>
          <w:szCs w:val="32"/>
        </w:rPr>
        <w:t>附表3</w:t>
      </w:r>
    </w:p>
    <w:p>
      <w:pPr>
        <w:ind w:firstLine="640"/>
        <w:jc w:val="center"/>
        <w:rPr>
          <w:rFonts w:ascii="方正小标宋简体" w:hAnsi="方正小标宋简体" w:eastAsia="方正小标宋简体" w:cs="方正小标宋简体"/>
          <w:sz w:val="44"/>
          <w:szCs w:val="44"/>
        </w:rPr>
      </w:pPr>
      <w:bookmarkStart w:id="0" w:name="_GoBack"/>
      <w:r>
        <w:rPr>
          <w:rFonts w:hint="default" w:ascii="方正小标宋简体" w:hAnsi="方正小标宋简体" w:eastAsia="方正小标宋简体" w:cs="方正小标宋简体"/>
          <w:sz w:val="44"/>
          <w:szCs w:val="44"/>
        </w:rPr>
        <w:t>近零能耗园区指标表</w:t>
      </w:r>
      <w:bookmarkEnd w:id="0"/>
    </w:p>
    <w:tbl>
      <w:tblPr>
        <w:tblStyle w:val="5"/>
        <w:tblpPr w:leftFromText="180" w:rightFromText="180" w:vertAnchor="text" w:horzAnchor="page" w:tblpX="1124" w:tblpY="320"/>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864"/>
        <w:gridCol w:w="1298"/>
        <w:gridCol w:w="3566"/>
        <w:gridCol w:w="119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spacing w:line="240" w:lineRule="auto"/>
              <w:ind w:firstLine="0" w:firstLineChars="0"/>
              <w:jc w:val="center"/>
              <w:rPr>
                <w:b/>
                <w:bCs/>
                <w:sz w:val="24"/>
              </w:rPr>
            </w:pPr>
            <w:r>
              <w:rPr>
                <w:b/>
                <w:bCs/>
                <w:sz w:val="24"/>
              </w:rPr>
              <w:t>序号</w:t>
            </w:r>
          </w:p>
        </w:tc>
        <w:tc>
          <w:tcPr>
            <w:tcW w:w="1864" w:type="dxa"/>
            <w:vAlign w:val="center"/>
          </w:tcPr>
          <w:p>
            <w:pPr>
              <w:spacing w:line="240" w:lineRule="auto"/>
              <w:ind w:firstLine="0" w:firstLineChars="0"/>
              <w:jc w:val="center"/>
              <w:rPr>
                <w:b/>
                <w:bCs/>
                <w:sz w:val="24"/>
              </w:rPr>
            </w:pPr>
            <w:r>
              <w:rPr>
                <w:b/>
                <w:bCs/>
                <w:sz w:val="24"/>
              </w:rPr>
              <w:t>指标名称</w:t>
            </w:r>
          </w:p>
        </w:tc>
        <w:tc>
          <w:tcPr>
            <w:tcW w:w="1298" w:type="dxa"/>
            <w:vAlign w:val="center"/>
          </w:tcPr>
          <w:p>
            <w:pPr>
              <w:spacing w:line="240" w:lineRule="auto"/>
              <w:ind w:firstLine="0" w:firstLineChars="0"/>
              <w:jc w:val="center"/>
              <w:rPr>
                <w:b/>
                <w:bCs/>
                <w:sz w:val="24"/>
              </w:rPr>
            </w:pPr>
            <w:r>
              <w:rPr>
                <w:b/>
                <w:bCs/>
                <w:sz w:val="24"/>
              </w:rPr>
              <w:t>指标要求</w:t>
            </w:r>
          </w:p>
        </w:tc>
        <w:tc>
          <w:tcPr>
            <w:tcW w:w="3566" w:type="dxa"/>
            <w:vAlign w:val="center"/>
          </w:tcPr>
          <w:p>
            <w:pPr>
              <w:spacing w:line="240" w:lineRule="auto"/>
              <w:ind w:firstLine="0" w:firstLineChars="0"/>
              <w:jc w:val="center"/>
              <w:rPr>
                <w:b/>
                <w:bCs/>
                <w:sz w:val="24"/>
              </w:rPr>
            </w:pPr>
            <w:r>
              <w:rPr>
                <w:b/>
                <w:bCs/>
                <w:sz w:val="24"/>
              </w:rPr>
              <w:t>指标内容</w:t>
            </w:r>
          </w:p>
        </w:tc>
        <w:tc>
          <w:tcPr>
            <w:tcW w:w="1194" w:type="dxa"/>
            <w:vAlign w:val="center"/>
          </w:tcPr>
          <w:p>
            <w:pPr>
              <w:spacing w:line="240" w:lineRule="auto"/>
              <w:ind w:firstLine="0" w:firstLineChars="0"/>
              <w:jc w:val="center"/>
              <w:rPr>
                <w:b/>
                <w:bCs/>
                <w:sz w:val="24"/>
              </w:rPr>
            </w:pPr>
            <w:r>
              <w:rPr>
                <w:b/>
                <w:bCs/>
                <w:sz w:val="24"/>
              </w:rPr>
              <w:t>适用范围</w:t>
            </w:r>
          </w:p>
        </w:tc>
        <w:tc>
          <w:tcPr>
            <w:tcW w:w="1212" w:type="dxa"/>
            <w:vAlign w:val="center"/>
          </w:tcPr>
          <w:p>
            <w:pPr>
              <w:spacing w:line="240" w:lineRule="auto"/>
              <w:ind w:firstLine="0" w:firstLineChars="0"/>
              <w:jc w:val="center"/>
              <w:rPr>
                <w:b/>
                <w:bCs/>
                <w:sz w:val="24"/>
              </w:rPr>
            </w:pPr>
            <w:r>
              <w:rPr>
                <w:b/>
                <w:bCs/>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近零能耗建筑比例</w:t>
            </w:r>
          </w:p>
        </w:tc>
        <w:tc>
          <w:tcPr>
            <w:tcW w:w="1298" w:type="dxa"/>
            <w:vAlign w:val="center"/>
          </w:tcPr>
          <w:p>
            <w:pPr>
              <w:spacing w:line="240" w:lineRule="auto"/>
              <w:ind w:firstLine="0" w:firstLineChars="0"/>
              <w:jc w:val="center"/>
              <w:rPr>
                <w:sz w:val="24"/>
              </w:rPr>
            </w:pPr>
            <w:r>
              <w:rPr>
                <w:sz w:val="24"/>
              </w:rPr>
              <w:t>≥50%</w:t>
            </w:r>
          </w:p>
        </w:tc>
        <w:tc>
          <w:tcPr>
            <w:tcW w:w="3566" w:type="dxa"/>
            <w:vAlign w:val="center"/>
          </w:tcPr>
          <w:p>
            <w:pPr>
              <w:spacing w:line="240" w:lineRule="auto"/>
              <w:ind w:firstLine="0" w:firstLineChars="0"/>
              <w:rPr>
                <w:sz w:val="24"/>
              </w:rPr>
            </w:pPr>
            <w:r>
              <w:rPr>
                <w:sz w:val="24"/>
              </w:rPr>
              <w:t>达到近零能耗建筑要求的项目建筑面积占示范区总建筑面积的比例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零能耗建筑比例</w:t>
            </w:r>
          </w:p>
        </w:tc>
        <w:tc>
          <w:tcPr>
            <w:tcW w:w="1298" w:type="dxa"/>
            <w:vAlign w:val="center"/>
          </w:tcPr>
          <w:p>
            <w:pPr>
              <w:spacing w:line="240" w:lineRule="auto"/>
              <w:ind w:firstLine="0" w:firstLineChars="0"/>
              <w:jc w:val="center"/>
              <w:rPr>
                <w:sz w:val="24"/>
              </w:rPr>
            </w:pPr>
            <w:r>
              <w:rPr>
                <w:sz w:val="24"/>
              </w:rPr>
              <w:t>≥10%</w:t>
            </w:r>
          </w:p>
        </w:tc>
        <w:tc>
          <w:tcPr>
            <w:tcW w:w="3566" w:type="dxa"/>
            <w:vAlign w:val="center"/>
          </w:tcPr>
          <w:p>
            <w:pPr>
              <w:spacing w:line="240" w:lineRule="auto"/>
              <w:ind w:firstLine="0" w:firstLineChars="0"/>
              <w:rPr>
                <w:sz w:val="24"/>
              </w:rPr>
            </w:pPr>
            <w:r>
              <w:rPr>
                <w:sz w:val="24"/>
              </w:rPr>
              <w:t>达到零能耗建筑要求的项目建筑面积占园区内总建筑面积的比例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冷热源可再生能源利用率</w:t>
            </w:r>
          </w:p>
        </w:tc>
        <w:tc>
          <w:tcPr>
            <w:tcW w:w="1298" w:type="dxa"/>
            <w:vAlign w:val="center"/>
          </w:tcPr>
          <w:p>
            <w:pPr>
              <w:spacing w:line="240" w:lineRule="auto"/>
              <w:ind w:firstLine="0" w:firstLineChars="0"/>
              <w:jc w:val="center"/>
              <w:rPr>
                <w:sz w:val="24"/>
              </w:rPr>
            </w:pPr>
            <w:r>
              <w:rPr>
                <w:sz w:val="24"/>
              </w:rPr>
              <w:t>≥30%</w:t>
            </w:r>
          </w:p>
        </w:tc>
        <w:tc>
          <w:tcPr>
            <w:tcW w:w="3566" w:type="dxa"/>
            <w:vAlign w:val="center"/>
          </w:tcPr>
          <w:p>
            <w:pPr>
              <w:spacing w:line="240" w:lineRule="auto"/>
              <w:ind w:firstLine="0" w:firstLineChars="0"/>
              <w:rPr>
                <w:sz w:val="24"/>
              </w:rPr>
            </w:pPr>
            <w:r>
              <w:rPr>
                <w:sz w:val="24"/>
              </w:rPr>
              <w:t>由可再生能源提供的供暖空调冷热量比例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能耗监测系统覆盖率</w:t>
            </w:r>
          </w:p>
        </w:tc>
        <w:tc>
          <w:tcPr>
            <w:tcW w:w="1298" w:type="dxa"/>
            <w:vAlign w:val="center"/>
          </w:tcPr>
          <w:p>
            <w:pPr>
              <w:spacing w:line="240" w:lineRule="auto"/>
              <w:ind w:firstLine="0" w:firstLineChars="0"/>
              <w:jc w:val="center"/>
              <w:rPr>
                <w:sz w:val="24"/>
              </w:rPr>
            </w:pPr>
            <w:r>
              <w:rPr>
                <w:sz w:val="24"/>
              </w:rPr>
              <w:t>100%</w:t>
            </w:r>
          </w:p>
        </w:tc>
        <w:tc>
          <w:tcPr>
            <w:tcW w:w="3566" w:type="dxa"/>
            <w:vAlign w:val="center"/>
          </w:tcPr>
          <w:p>
            <w:pPr>
              <w:spacing w:line="240" w:lineRule="auto"/>
              <w:ind w:firstLine="0" w:firstLineChars="0"/>
              <w:rPr>
                <w:sz w:val="24"/>
              </w:rPr>
            </w:pPr>
            <w:r>
              <w:rPr>
                <w:sz w:val="24"/>
              </w:rPr>
              <w:t>设置能耗监测系统并接入城市能耗监测系统的建筑面积比例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光伏建筑一体化比例</w:t>
            </w:r>
          </w:p>
        </w:tc>
        <w:tc>
          <w:tcPr>
            <w:tcW w:w="1298" w:type="dxa"/>
            <w:vAlign w:val="center"/>
          </w:tcPr>
          <w:p>
            <w:pPr>
              <w:spacing w:line="240" w:lineRule="auto"/>
              <w:ind w:firstLine="0" w:firstLineChars="0"/>
              <w:jc w:val="center"/>
              <w:rPr>
                <w:sz w:val="24"/>
              </w:rPr>
            </w:pPr>
            <w:r>
              <w:rPr>
                <w:sz w:val="24"/>
              </w:rPr>
              <w:t>≥20%</w:t>
            </w:r>
          </w:p>
        </w:tc>
        <w:tc>
          <w:tcPr>
            <w:tcW w:w="3566" w:type="dxa"/>
            <w:vAlign w:val="center"/>
          </w:tcPr>
          <w:p>
            <w:pPr>
              <w:spacing w:line="240" w:lineRule="auto"/>
              <w:ind w:firstLine="0" w:firstLineChars="0"/>
              <w:rPr>
                <w:sz w:val="24"/>
              </w:rPr>
            </w:pPr>
            <w:r>
              <w:rPr>
                <w:sz w:val="24"/>
              </w:rPr>
              <w:t>采用光伏建筑一体化设计，且光伏发电量不小于建筑总用电量10%的建筑的建筑面积占示范区总建筑面积比例</w:t>
            </w:r>
          </w:p>
        </w:tc>
        <w:tc>
          <w:tcPr>
            <w:tcW w:w="1194" w:type="dxa"/>
            <w:vAlign w:val="center"/>
          </w:tcPr>
          <w:p>
            <w:pPr>
              <w:spacing w:line="240" w:lineRule="auto"/>
              <w:ind w:firstLine="0" w:firstLineChars="0"/>
              <w:jc w:val="center"/>
              <w:rPr>
                <w:sz w:val="24"/>
              </w:rPr>
            </w:pPr>
            <w:r>
              <w:rPr>
                <w:sz w:val="24"/>
              </w:rPr>
              <w:t>公共建筑</w:t>
            </w:r>
          </w:p>
        </w:tc>
        <w:tc>
          <w:tcPr>
            <w:tcW w:w="1212" w:type="dxa"/>
            <w:vAlign w:val="center"/>
          </w:tcPr>
          <w:p>
            <w:pPr>
              <w:spacing w:line="240" w:lineRule="auto"/>
              <w:ind w:firstLine="0" w:firstLineChars="0"/>
              <w:jc w:val="center"/>
              <w:rPr>
                <w:sz w:val="24"/>
              </w:rPr>
            </w:pPr>
            <w:r>
              <w:rPr>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智慧照明使用率</w:t>
            </w:r>
          </w:p>
        </w:tc>
        <w:tc>
          <w:tcPr>
            <w:tcW w:w="1298" w:type="dxa"/>
            <w:vAlign w:val="center"/>
          </w:tcPr>
          <w:p>
            <w:pPr>
              <w:spacing w:line="240" w:lineRule="auto"/>
              <w:ind w:firstLine="0" w:firstLineChars="0"/>
              <w:jc w:val="center"/>
              <w:rPr>
                <w:sz w:val="24"/>
              </w:rPr>
            </w:pPr>
            <w:r>
              <w:rPr>
                <w:sz w:val="24"/>
              </w:rPr>
              <w:t>≥50%</w:t>
            </w:r>
          </w:p>
        </w:tc>
        <w:tc>
          <w:tcPr>
            <w:tcW w:w="3566" w:type="dxa"/>
            <w:vAlign w:val="center"/>
          </w:tcPr>
          <w:p>
            <w:pPr>
              <w:spacing w:line="240" w:lineRule="auto"/>
              <w:ind w:firstLine="0" w:firstLineChars="0"/>
              <w:rPr>
                <w:sz w:val="24"/>
              </w:rPr>
            </w:pPr>
            <w:r>
              <w:rPr>
                <w:sz w:val="24"/>
              </w:rPr>
              <w:t>人工照明控制采用随天然光照度自动调节的采光区域建筑面积占总建筑面积的比例</w:t>
            </w:r>
          </w:p>
        </w:tc>
        <w:tc>
          <w:tcPr>
            <w:tcW w:w="1194" w:type="dxa"/>
            <w:vAlign w:val="center"/>
          </w:tcPr>
          <w:p>
            <w:pPr>
              <w:spacing w:line="240" w:lineRule="auto"/>
              <w:ind w:firstLine="0" w:firstLineChars="0"/>
              <w:jc w:val="center"/>
              <w:rPr>
                <w:sz w:val="24"/>
              </w:rPr>
            </w:pPr>
            <w:r>
              <w:rPr>
                <w:sz w:val="24"/>
              </w:rPr>
              <w:t>公共建筑</w:t>
            </w:r>
          </w:p>
        </w:tc>
        <w:tc>
          <w:tcPr>
            <w:tcW w:w="1212" w:type="dxa"/>
            <w:vAlign w:val="center"/>
          </w:tcPr>
          <w:p>
            <w:pPr>
              <w:spacing w:line="240" w:lineRule="auto"/>
              <w:ind w:firstLine="0" w:firstLineChars="0"/>
              <w:jc w:val="center"/>
              <w:rPr>
                <w:sz w:val="24"/>
              </w:rPr>
            </w:pPr>
            <w:r>
              <w:rPr>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光储直柔建筑比例</w:t>
            </w:r>
          </w:p>
        </w:tc>
        <w:tc>
          <w:tcPr>
            <w:tcW w:w="1298" w:type="dxa"/>
            <w:vAlign w:val="center"/>
          </w:tcPr>
          <w:p>
            <w:pPr>
              <w:spacing w:line="240" w:lineRule="auto"/>
              <w:ind w:firstLine="0" w:firstLineChars="0"/>
              <w:jc w:val="center"/>
              <w:rPr>
                <w:sz w:val="24"/>
              </w:rPr>
            </w:pPr>
            <w:r>
              <w:rPr>
                <w:sz w:val="24"/>
              </w:rPr>
              <w:t>≥10%</w:t>
            </w:r>
          </w:p>
        </w:tc>
        <w:tc>
          <w:tcPr>
            <w:tcW w:w="3566" w:type="dxa"/>
            <w:vAlign w:val="center"/>
          </w:tcPr>
          <w:p>
            <w:pPr>
              <w:spacing w:line="240" w:lineRule="auto"/>
              <w:ind w:firstLine="0" w:firstLineChars="0"/>
              <w:rPr>
                <w:sz w:val="24"/>
              </w:rPr>
            </w:pPr>
            <w:r>
              <w:rPr>
                <w:sz w:val="24"/>
              </w:rPr>
              <w:t>应用光储直柔技术的建筑面积占园区总建筑面积的比例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购买绿色电力比例</w:t>
            </w:r>
          </w:p>
        </w:tc>
        <w:tc>
          <w:tcPr>
            <w:tcW w:w="1298" w:type="dxa"/>
            <w:vAlign w:val="center"/>
          </w:tcPr>
          <w:p>
            <w:pPr>
              <w:spacing w:line="240" w:lineRule="auto"/>
              <w:ind w:firstLine="0" w:firstLineChars="0"/>
              <w:jc w:val="center"/>
              <w:rPr>
                <w:sz w:val="24"/>
              </w:rPr>
            </w:pPr>
            <w:r>
              <w:rPr>
                <w:rFonts w:hint="eastAsia"/>
                <w:sz w:val="24"/>
              </w:rPr>
              <w:t>≤</w:t>
            </w:r>
            <w:r>
              <w:rPr>
                <w:sz w:val="24"/>
              </w:rPr>
              <w:t>20</w:t>
            </w:r>
            <w:r>
              <w:rPr>
                <w:rFonts w:hint="eastAsia"/>
                <w:sz w:val="24"/>
              </w:rPr>
              <w:t>%</w:t>
            </w:r>
          </w:p>
        </w:tc>
        <w:tc>
          <w:tcPr>
            <w:tcW w:w="3566" w:type="dxa"/>
            <w:vAlign w:val="center"/>
          </w:tcPr>
          <w:p>
            <w:pPr>
              <w:spacing w:line="240" w:lineRule="auto"/>
              <w:ind w:firstLine="0" w:firstLineChars="0"/>
              <w:rPr>
                <w:sz w:val="24"/>
              </w:rPr>
            </w:pPr>
            <w:r>
              <w:rPr>
                <w:sz w:val="24"/>
              </w:rPr>
              <w:t>通过中国绿色电力证书认购交易平台或其他正规认可的交易平台购买的绿色电力占园区总用电量的比例</w:t>
            </w:r>
          </w:p>
        </w:tc>
        <w:tc>
          <w:tcPr>
            <w:tcW w:w="1194" w:type="dxa"/>
            <w:vAlign w:val="center"/>
          </w:tcPr>
          <w:p>
            <w:pPr>
              <w:spacing w:line="240" w:lineRule="auto"/>
              <w:ind w:firstLine="0" w:firstLineChars="0"/>
              <w:jc w:val="center"/>
              <w:rPr>
                <w:sz w:val="24"/>
              </w:rPr>
            </w:pPr>
            <w:r>
              <w:rPr>
                <w:sz w:val="24"/>
              </w:rPr>
              <w:t>园区</w:t>
            </w:r>
          </w:p>
        </w:tc>
        <w:tc>
          <w:tcPr>
            <w:tcW w:w="1212" w:type="dxa"/>
            <w:vAlign w:val="center"/>
          </w:tcPr>
          <w:p>
            <w:pPr>
              <w:spacing w:line="240" w:lineRule="auto"/>
              <w:ind w:firstLine="0" w:firstLineChars="0"/>
              <w:jc w:val="center"/>
              <w:rPr>
                <w:sz w:val="24"/>
              </w:rPr>
            </w:pPr>
            <w:r>
              <w:rPr>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751" w:type="dxa"/>
            <w:vAlign w:val="center"/>
          </w:tcPr>
          <w:p>
            <w:pPr>
              <w:widowControl w:val="0"/>
              <w:numPr>
                <w:ilvl w:val="0"/>
                <w:numId w:val="1"/>
              </w:numPr>
              <w:spacing w:line="240" w:lineRule="auto"/>
              <w:ind w:left="0" w:firstLine="0" w:firstLineChars="0"/>
              <w:jc w:val="center"/>
              <w:rPr>
                <w:sz w:val="24"/>
              </w:rPr>
            </w:pPr>
          </w:p>
        </w:tc>
        <w:tc>
          <w:tcPr>
            <w:tcW w:w="1864" w:type="dxa"/>
            <w:vAlign w:val="center"/>
          </w:tcPr>
          <w:p>
            <w:pPr>
              <w:spacing w:line="240" w:lineRule="auto"/>
              <w:ind w:firstLine="0" w:firstLineChars="0"/>
              <w:rPr>
                <w:sz w:val="24"/>
              </w:rPr>
            </w:pPr>
            <w:r>
              <w:rPr>
                <w:sz w:val="24"/>
              </w:rPr>
              <w:t>公共建筑碳排放强度降低率</w:t>
            </w:r>
          </w:p>
        </w:tc>
        <w:tc>
          <w:tcPr>
            <w:tcW w:w="1298" w:type="dxa"/>
            <w:vAlign w:val="center"/>
          </w:tcPr>
          <w:p>
            <w:pPr>
              <w:pStyle w:val="4"/>
              <w:spacing w:after="0"/>
              <w:ind w:left="0" w:leftChars="0" w:firstLine="0" w:firstLineChars="0"/>
            </w:pPr>
            <w:r>
              <w:rPr>
                <w:rFonts w:eastAsia="仿宋_GB2312"/>
                <w:sz w:val="24"/>
              </w:rPr>
              <w:t>≥50%</w:t>
            </w:r>
          </w:p>
        </w:tc>
        <w:tc>
          <w:tcPr>
            <w:tcW w:w="3566" w:type="dxa"/>
            <w:vAlign w:val="center"/>
          </w:tcPr>
          <w:p>
            <w:pPr>
              <w:spacing w:line="240" w:lineRule="auto"/>
              <w:ind w:firstLine="0" w:firstLineChars="0"/>
              <w:rPr>
                <w:sz w:val="24"/>
              </w:rPr>
            </w:pPr>
            <w:r>
              <w:rPr>
                <w:sz w:val="24"/>
              </w:rPr>
              <w:t>碳排放强度比基准值降低的比例</w:t>
            </w:r>
          </w:p>
        </w:tc>
        <w:tc>
          <w:tcPr>
            <w:tcW w:w="1194" w:type="dxa"/>
            <w:vAlign w:val="center"/>
          </w:tcPr>
          <w:p>
            <w:pPr>
              <w:spacing w:line="240" w:lineRule="auto"/>
              <w:ind w:firstLine="0" w:firstLineChars="0"/>
              <w:jc w:val="center"/>
              <w:rPr>
                <w:sz w:val="24"/>
              </w:rPr>
            </w:pPr>
            <w:r>
              <w:rPr>
                <w:sz w:val="24"/>
              </w:rPr>
              <w:t>公共建筑</w:t>
            </w:r>
          </w:p>
        </w:tc>
        <w:tc>
          <w:tcPr>
            <w:tcW w:w="1212" w:type="dxa"/>
            <w:vAlign w:val="center"/>
          </w:tcPr>
          <w:p>
            <w:pPr>
              <w:spacing w:line="240" w:lineRule="auto"/>
              <w:ind w:firstLine="0" w:firstLineChars="0"/>
              <w:jc w:val="center"/>
              <w:rPr>
                <w:sz w:val="24"/>
              </w:rPr>
            </w:pPr>
            <w:r>
              <w:rPr>
                <w:sz w:val="24"/>
              </w:rPr>
              <w:t>引导性</w:t>
            </w:r>
          </w:p>
        </w:tc>
      </w:tr>
    </w:tbl>
    <w:p>
      <w:pPr>
        <w:spacing w:line="500" w:lineRule="exact"/>
        <w:ind w:firstLine="0" w:firstLineChars="0"/>
        <w:jc w:val="left"/>
        <w:rPr>
          <w:sz w:val="24"/>
          <w:szCs w:val="24"/>
        </w:rPr>
      </w:pPr>
      <w:r>
        <w:rPr>
          <w:sz w:val="24"/>
          <w:szCs w:val="24"/>
        </w:rPr>
        <w:t>备注：</w:t>
      </w:r>
      <w:r>
        <w:rPr>
          <w:rFonts w:hint="eastAsia"/>
          <w:sz w:val="24"/>
          <w:szCs w:val="24"/>
        </w:rPr>
        <w:t>1.光储直柔，是在建筑领域应用太阳能光伏、储能、直流配电和柔性交互四项技术的简称。2.碳排放强度基准值应为附表4和附表5相应数值之和</w:t>
      </w:r>
      <w:r>
        <w:rPr>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DFC36"/>
    <w:multiLevelType w:val="singleLevel"/>
    <w:tmpl w:val="339DFC36"/>
    <w:lvl w:ilvl="0" w:tentative="0">
      <w:start w:val="1"/>
      <w:numFmt w:val="decimal"/>
      <w:suff w:val="nothing"/>
      <w:lvlText w:val="%1"/>
      <w:lvlJc w:val="left"/>
      <w:pPr>
        <w:tabs>
          <w:tab w:val="left" w:pos="0"/>
        </w:tabs>
        <w:ind w:left="454" w:hanging="454"/>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01E32398"/>
    <w:rsid w:val="01E32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200" w:firstLineChars="200"/>
      <w:jc w:val="both"/>
    </w:pPr>
    <w:rPr>
      <w:rFonts w:ascii="仿宋_GB2312" w:hAnsi="宋体" w:eastAsia="仿宋_GB2312" w:cstheme="minorBidi"/>
      <w:kern w:val="2"/>
      <w:sz w:val="32"/>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qFormat/>
    <w:uiPriority w:val="99"/>
    <w:pPr>
      <w:widowControl w:val="0"/>
      <w:adjustRightInd w:val="0"/>
      <w:spacing w:line="420" w:lineRule="atLeast"/>
      <w:textAlignment w:val="baseline"/>
    </w:pPr>
    <w:rPr>
      <w:rFonts w:ascii="Calibri" w:hAnsi="Calibri" w:eastAsia="宋体" w:cs="Times New Roman"/>
      <w:sz w:val="21"/>
      <w:lang w:val="en-US" w:eastAsia="zh-CN" w:bidi="ar-SA"/>
    </w:r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unhideWhenUsed/>
    <w:qFormat/>
    <w:uiPriority w:val="99"/>
    <w:pPr>
      <w:widowControl w:val="0"/>
      <w:spacing w:line="240" w:lineRule="auto"/>
      <w:ind w:firstLine="42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2022-08-02T04:46:00Z</dcterms:created>
  <dc:creator>官网人工审稿窗口</dc:creator>
  <cp:lastModifiedBy>官网人工审稿窗口</cp:lastModifiedBy>
  <dcterms:modified xsi:type="dcterms:W3CDTF">2022-08-02T04:46:46Z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AC817CBD38234D0C904E7621E8B28BA5</vt:lpwstr>
  </property>
</Properties>
</file>