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hint="eastAsia" w:ascii="黑体" w:hAnsi="黑体" w:eastAsia="黑体" w:cs="黑体"/>
          <w:szCs w:val="32"/>
        </w:rPr>
      </w:pPr>
      <w:r>
        <w:rPr>
          <w:rFonts w:hint="eastAsia" w:ascii="黑体" w:hAnsi="黑体" w:eastAsia="黑体" w:cs="黑体"/>
          <w:szCs w:val="32"/>
        </w:rPr>
        <w:t>附表2</w:t>
      </w:r>
    </w:p>
    <w:p>
      <w:pPr>
        <w:adjustRightInd w:val="0"/>
        <w:snapToGrid w:val="0"/>
        <w:spacing w:line="500" w:lineRule="exact"/>
        <w:ind w:firstLine="640"/>
        <w:jc w:val="center"/>
        <w:rPr>
          <w:rFonts w:ascii="方正小标宋简体" w:hAnsi="方正小标宋简体" w:eastAsia="方正小标宋简体" w:cs="方正小标宋简体"/>
          <w:szCs w:val="32"/>
        </w:rPr>
      </w:pPr>
      <w:bookmarkStart w:id="0" w:name="_GoBack"/>
      <w:r>
        <w:rPr>
          <w:rFonts w:hint="default" w:ascii="方正小标宋简体" w:hAnsi="方正小标宋简体" w:eastAsia="方正小标宋简体" w:cs="方正小标宋简体"/>
          <w:sz w:val="44"/>
          <w:szCs w:val="44"/>
        </w:rPr>
        <w:t>近零能耗街坊（社区）指标表</w:t>
      </w:r>
      <w:bookmarkEnd w:id="0"/>
    </w:p>
    <w:tbl>
      <w:tblPr>
        <w:tblStyle w:val="3"/>
        <w:tblpPr w:leftFromText="180" w:rightFromText="180" w:vertAnchor="text" w:horzAnchor="page" w:tblpX="1124" w:tblpY="320"/>
        <w:tblOverlap w:val="never"/>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55"/>
        <w:gridCol w:w="1365"/>
        <w:gridCol w:w="3600"/>
        <w:gridCol w:w="1183"/>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spacing w:line="240" w:lineRule="auto"/>
              <w:ind w:firstLine="0" w:firstLineChars="0"/>
              <w:jc w:val="center"/>
              <w:rPr>
                <w:b/>
                <w:bCs/>
                <w:sz w:val="24"/>
              </w:rPr>
            </w:pPr>
            <w:r>
              <w:rPr>
                <w:b/>
                <w:bCs/>
                <w:sz w:val="24"/>
              </w:rPr>
              <w:t>序号</w:t>
            </w:r>
          </w:p>
        </w:tc>
        <w:tc>
          <w:tcPr>
            <w:tcW w:w="1755" w:type="dxa"/>
            <w:vAlign w:val="center"/>
          </w:tcPr>
          <w:p>
            <w:pPr>
              <w:spacing w:line="240" w:lineRule="auto"/>
              <w:ind w:firstLine="0" w:firstLineChars="0"/>
              <w:jc w:val="center"/>
              <w:rPr>
                <w:b/>
                <w:bCs/>
                <w:sz w:val="24"/>
              </w:rPr>
            </w:pPr>
            <w:r>
              <w:rPr>
                <w:b/>
                <w:bCs/>
                <w:sz w:val="24"/>
              </w:rPr>
              <w:t>指标名称</w:t>
            </w:r>
          </w:p>
        </w:tc>
        <w:tc>
          <w:tcPr>
            <w:tcW w:w="1365" w:type="dxa"/>
            <w:vAlign w:val="center"/>
          </w:tcPr>
          <w:p>
            <w:pPr>
              <w:spacing w:line="240" w:lineRule="auto"/>
              <w:ind w:firstLine="0" w:firstLineChars="0"/>
              <w:jc w:val="center"/>
              <w:rPr>
                <w:b/>
                <w:bCs/>
                <w:sz w:val="24"/>
              </w:rPr>
            </w:pPr>
            <w:r>
              <w:rPr>
                <w:b/>
                <w:bCs/>
                <w:sz w:val="24"/>
              </w:rPr>
              <w:t>指标要求</w:t>
            </w:r>
          </w:p>
        </w:tc>
        <w:tc>
          <w:tcPr>
            <w:tcW w:w="3600" w:type="dxa"/>
            <w:vAlign w:val="center"/>
          </w:tcPr>
          <w:p>
            <w:pPr>
              <w:spacing w:line="240" w:lineRule="auto"/>
              <w:ind w:firstLine="0" w:firstLineChars="0"/>
              <w:jc w:val="center"/>
              <w:rPr>
                <w:b/>
                <w:bCs/>
                <w:sz w:val="24"/>
              </w:rPr>
            </w:pPr>
            <w:r>
              <w:rPr>
                <w:b/>
                <w:bCs/>
                <w:sz w:val="24"/>
              </w:rPr>
              <w:t>指标内容</w:t>
            </w:r>
          </w:p>
        </w:tc>
        <w:tc>
          <w:tcPr>
            <w:tcW w:w="1183" w:type="dxa"/>
            <w:vAlign w:val="center"/>
          </w:tcPr>
          <w:p>
            <w:pPr>
              <w:spacing w:line="240" w:lineRule="auto"/>
              <w:ind w:firstLine="0" w:firstLineChars="0"/>
              <w:jc w:val="center"/>
              <w:rPr>
                <w:b/>
                <w:bCs/>
                <w:sz w:val="24"/>
              </w:rPr>
            </w:pPr>
            <w:r>
              <w:rPr>
                <w:b/>
                <w:bCs/>
                <w:sz w:val="24"/>
              </w:rPr>
              <w:t>适用范围</w:t>
            </w:r>
          </w:p>
        </w:tc>
        <w:tc>
          <w:tcPr>
            <w:tcW w:w="1211" w:type="dxa"/>
            <w:vAlign w:val="center"/>
          </w:tcPr>
          <w:p>
            <w:pPr>
              <w:spacing w:line="240" w:lineRule="auto"/>
              <w:ind w:firstLine="0" w:firstLineChars="0"/>
              <w:jc w:val="center"/>
              <w:rPr>
                <w:b/>
                <w:bCs/>
                <w:sz w:val="24"/>
              </w:rPr>
            </w:pPr>
            <w:r>
              <w:rPr>
                <w:b/>
                <w:bCs/>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val="0"/>
              <w:numPr>
                <w:ilvl w:val="0"/>
                <w:numId w:val="1"/>
              </w:numPr>
              <w:spacing w:line="240" w:lineRule="auto"/>
              <w:ind w:left="0" w:firstLine="0" w:firstLineChars="0"/>
              <w:jc w:val="center"/>
              <w:rPr>
                <w:sz w:val="24"/>
              </w:rPr>
            </w:pPr>
          </w:p>
        </w:tc>
        <w:tc>
          <w:tcPr>
            <w:tcW w:w="1755" w:type="dxa"/>
            <w:vAlign w:val="center"/>
          </w:tcPr>
          <w:p>
            <w:pPr>
              <w:spacing w:line="240" w:lineRule="auto"/>
              <w:ind w:firstLine="0" w:firstLineChars="0"/>
              <w:rPr>
                <w:sz w:val="24"/>
              </w:rPr>
            </w:pPr>
            <w:r>
              <w:rPr>
                <w:rFonts w:hAnsi="仿宋_GB2312" w:cs="仿宋_GB2312"/>
                <w:sz w:val="24"/>
              </w:rPr>
              <w:t>超低能耗建筑比例</w:t>
            </w:r>
          </w:p>
        </w:tc>
        <w:tc>
          <w:tcPr>
            <w:tcW w:w="1365" w:type="dxa"/>
            <w:vAlign w:val="center"/>
          </w:tcPr>
          <w:p>
            <w:pPr>
              <w:spacing w:line="240" w:lineRule="auto"/>
              <w:ind w:firstLine="0" w:firstLineChars="0"/>
              <w:jc w:val="center"/>
              <w:rPr>
                <w:sz w:val="24"/>
              </w:rPr>
            </w:pPr>
            <w:r>
              <w:rPr>
                <w:rFonts w:hAnsi="仿宋_GB2312" w:cs="仿宋_GB2312"/>
                <w:sz w:val="24"/>
              </w:rPr>
              <w:t>≥80%</w:t>
            </w:r>
          </w:p>
        </w:tc>
        <w:tc>
          <w:tcPr>
            <w:tcW w:w="3600" w:type="dxa"/>
            <w:vAlign w:val="center"/>
          </w:tcPr>
          <w:p>
            <w:pPr>
              <w:spacing w:line="240" w:lineRule="auto"/>
              <w:ind w:firstLine="0" w:firstLineChars="0"/>
              <w:rPr>
                <w:sz w:val="24"/>
              </w:rPr>
            </w:pPr>
            <w:r>
              <w:rPr>
                <w:rFonts w:hAnsi="仿宋_GB2312" w:cs="仿宋_GB2312"/>
                <w:sz w:val="24"/>
              </w:rPr>
              <w:t>达到超低能耗建筑要求的项目建筑面积占示范区总建筑面积的比例</w:t>
            </w:r>
          </w:p>
        </w:tc>
        <w:tc>
          <w:tcPr>
            <w:tcW w:w="1183" w:type="dxa"/>
            <w:vAlign w:val="center"/>
          </w:tcPr>
          <w:p>
            <w:pPr>
              <w:spacing w:line="240" w:lineRule="auto"/>
              <w:ind w:firstLine="0" w:firstLineChars="0"/>
              <w:jc w:val="center"/>
              <w:rPr>
                <w:sz w:val="24"/>
              </w:rPr>
            </w:pPr>
            <w:r>
              <w:rPr>
                <w:rFonts w:hAnsi="仿宋_GB2312" w:cs="仿宋_GB2312"/>
                <w:sz w:val="24"/>
              </w:rPr>
              <w:t>示范区</w:t>
            </w:r>
          </w:p>
        </w:tc>
        <w:tc>
          <w:tcPr>
            <w:tcW w:w="1211" w:type="dxa"/>
            <w:vAlign w:val="center"/>
          </w:tcPr>
          <w:p>
            <w:pPr>
              <w:spacing w:line="240" w:lineRule="auto"/>
              <w:ind w:firstLine="0" w:firstLineChars="0"/>
              <w:jc w:val="center"/>
              <w:rPr>
                <w:sz w:val="24"/>
              </w:rPr>
            </w:pPr>
            <w:r>
              <w:rPr>
                <w:rFonts w:hAnsi="仿宋_GB2312" w:cs="仿宋_GB2312"/>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val="0"/>
              <w:numPr>
                <w:ilvl w:val="0"/>
                <w:numId w:val="1"/>
              </w:numPr>
              <w:spacing w:line="240" w:lineRule="auto"/>
              <w:ind w:left="0" w:firstLine="0" w:firstLineChars="0"/>
              <w:jc w:val="center"/>
              <w:rPr>
                <w:sz w:val="24"/>
              </w:rPr>
            </w:pPr>
          </w:p>
        </w:tc>
        <w:tc>
          <w:tcPr>
            <w:tcW w:w="1755" w:type="dxa"/>
            <w:vAlign w:val="center"/>
          </w:tcPr>
          <w:p>
            <w:pPr>
              <w:spacing w:line="240" w:lineRule="auto"/>
              <w:ind w:firstLine="0" w:firstLineChars="0"/>
              <w:rPr>
                <w:sz w:val="24"/>
              </w:rPr>
            </w:pPr>
            <w:r>
              <w:rPr>
                <w:rFonts w:hAnsi="仿宋_GB2312" w:cs="仿宋_GB2312"/>
                <w:sz w:val="24"/>
              </w:rPr>
              <w:t>近零能耗建筑比例</w:t>
            </w:r>
          </w:p>
        </w:tc>
        <w:tc>
          <w:tcPr>
            <w:tcW w:w="1365" w:type="dxa"/>
            <w:vAlign w:val="center"/>
          </w:tcPr>
          <w:p>
            <w:pPr>
              <w:spacing w:line="240" w:lineRule="auto"/>
              <w:ind w:firstLine="0" w:firstLineChars="0"/>
              <w:jc w:val="center"/>
              <w:rPr>
                <w:sz w:val="24"/>
              </w:rPr>
            </w:pPr>
            <w:r>
              <w:rPr>
                <w:rFonts w:hAnsi="仿宋_GB2312" w:cs="仿宋_GB2312"/>
                <w:sz w:val="24"/>
              </w:rPr>
              <w:t>≥20%</w:t>
            </w:r>
          </w:p>
        </w:tc>
        <w:tc>
          <w:tcPr>
            <w:tcW w:w="3600" w:type="dxa"/>
            <w:vAlign w:val="center"/>
          </w:tcPr>
          <w:p>
            <w:pPr>
              <w:spacing w:line="240" w:lineRule="auto"/>
              <w:ind w:firstLine="0" w:firstLineChars="0"/>
              <w:rPr>
                <w:sz w:val="24"/>
              </w:rPr>
            </w:pPr>
            <w:r>
              <w:rPr>
                <w:rFonts w:hAnsi="仿宋_GB2312" w:cs="仿宋_GB2312"/>
                <w:sz w:val="24"/>
              </w:rPr>
              <w:t>达到近零能耗建筑要求的项目建筑面积占示范区总建筑面积的比例</w:t>
            </w:r>
          </w:p>
        </w:tc>
        <w:tc>
          <w:tcPr>
            <w:tcW w:w="1183" w:type="dxa"/>
            <w:vAlign w:val="center"/>
          </w:tcPr>
          <w:p>
            <w:pPr>
              <w:spacing w:line="240" w:lineRule="auto"/>
              <w:ind w:firstLine="0" w:firstLineChars="0"/>
              <w:jc w:val="center"/>
              <w:rPr>
                <w:sz w:val="24"/>
              </w:rPr>
            </w:pPr>
            <w:r>
              <w:rPr>
                <w:rFonts w:hAnsi="仿宋_GB2312" w:cs="仿宋_GB2312"/>
                <w:sz w:val="24"/>
              </w:rPr>
              <w:t>示范区</w:t>
            </w:r>
          </w:p>
        </w:tc>
        <w:tc>
          <w:tcPr>
            <w:tcW w:w="1211" w:type="dxa"/>
            <w:vAlign w:val="center"/>
          </w:tcPr>
          <w:p>
            <w:pPr>
              <w:spacing w:line="240" w:lineRule="auto"/>
              <w:ind w:firstLine="0" w:firstLineChars="0"/>
              <w:jc w:val="center"/>
              <w:rPr>
                <w:sz w:val="24"/>
              </w:rPr>
            </w:pPr>
            <w:r>
              <w:rPr>
                <w:rFonts w:hAnsi="仿宋_GB2312" w:cs="仿宋_GB2312"/>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Align w:val="center"/>
          </w:tcPr>
          <w:p>
            <w:pPr>
              <w:widowControl w:val="0"/>
              <w:numPr>
                <w:ilvl w:val="0"/>
                <w:numId w:val="1"/>
              </w:numPr>
              <w:spacing w:line="240" w:lineRule="auto"/>
              <w:ind w:left="0" w:firstLine="0" w:firstLineChars="0"/>
              <w:jc w:val="center"/>
              <w:rPr>
                <w:sz w:val="24"/>
              </w:rPr>
            </w:pPr>
          </w:p>
        </w:tc>
        <w:tc>
          <w:tcPr>
            <w:tcW w:w="1755" w:type="dxa"/>
            <w:vAlign w:val="center"/>
          </w:tcPr>
          <w:p>
            <w:pPr>
              <w:spacing w:line="240" w:lineRule="auto"/>
              <w:ind w:firstLine="0" w:firstLineChars="0"/>
              <w:rPr>
                <w:sz w:val="24"/>
              </w:rPr>
            </w:pPr>
            <w:r>
              <w:rPr>
                <w:rFonts w:hAnsi="仿宋_GB2312" w:cs="仿宋_GB2312"/>
                <w:sz w:val="24"/>
              </w:rPr>
              <w:t>能耗监测系统覆盖率</w:t>
            </w:r>
          </w:p>
        </w:tc>
        <w:tc>
          <w:tcPr>
            <w:tcW w:w="1365" w:type="dxa"/>
            <w:vAlign w:val="center"/>
          </w:tcPr>
          <w:p>
            <w:pPr>
              <w:spacing w:line="240" w:lineRule="auto"/>
              <w:ind w:firstLine="0" w:firstLineChars="0"/>
              <w:jc w:val="center"/>
              <w:rPr>
                <w:sz w:val="24"/>
              </w:rPr>
            </w:pPr>
            <w:r>
              <w:rPr>
                <w:rFonts w:hAnsi="仿宋_GB2312" w:cs="仿宋_GB2312"/>
                <w:sz w:val="24"/>
              </w:rPr>
              <w:t>100%</w:t>
            </w:r>
          </w:p>
        </w:tc>
        <w:tc>
          <w:tcPr>
            <w:tcW w:w="3600" w:type="dxa"/>
            <w:vAlign w:val="center"/>
          </w:tcPr>
          <w:p>
            <w:pPr>
              <w:spacing w:line="240" w:lineRule="auto"/>
              <w:ind w:firstLine="0" w:firstLineChars="0"/>
              <w:rPr>
                <w:sz w:val="24"/>
              </w:rPr>
            </w:pPr>
            <w:r>
              <w:rPr>
                <w:rFonts w:hAnsi="仿宋_GB2312" w:cs="仿宋_GB2312"/>
                <w:sz w:val="24"/>
              </w:rPr>
              <w:t>设置能源监测系统并接入城市能源监测系统的建筑面积比例</w:t>
            </w:r>
          </w:p>
        </w:tc>
        <w:tc>
          <w:tcPr>
            <w:tcW w:w="1183" w:type="dxa"/>
            <w:vAlign w:val="center"/>
          </w:tcPr>
          <w:p>
            <w:pPr>
              <w:spacing w:line="240" w:lineRule="auto"/>
              <w:ind w:firstLine="0" w:firstLineChars="0"/>
              <w:jc w:val="center"/>
              <w:rPr>
                <w:sz w:val="24"/>
              </w:rPr>
            </w:pPr>
            <w:r>
              <w:rPr>
                <w:rFonts w:hAnsi="仿宋_GB2312" w:cs="仿宋_GB2312"/>
                <w:sz w:val="24"/>
              </w:rPr>
              <w:t>示范区</w:t>
            </w:r>
          </w:p>
        </w:tc>
        <w:tc>
          <w:tcPr>
            <w:tcW w:w="1211" w:type="dxa"/>
            <w:vAlign w:val="center"/>
          </w:tcPr>
          <w:p>
            <w:pPr>
              <w:spacing w:line="240" w:lineRule="auto"/>
              <w:ind w:firstLine="0" w:firstLineChars="0"/>
              <w:jc w:val="center"/>
              <w:rPr>
                <w:sz w:val="24"/>
              </w:rPr>
            </w:pPr>
            <w:r>
              <w:rPr>
                <w:rFonts w:hAnsi="仿宋_GB2312" w:cs="仿宋_GB2312"/>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val="0"/>
              <w:numPr>
                <w:ilvl w:val="0"/>
                <w:numId w:val="1"/>
              </w:numPr>
              <w:spacing w:line="240" w:lineRule="auto"/>
              <w:ind w:left="0" w:firstLine="0" w:firstLineChars="0"/>
              <w:jc w:val="center"/>
              <w:rPr>
                <w:sz w:val="24"/>
              </w:rPr>
            </w:pPr>
          </w:p>
        </w:tc>
        <w:tc>
          <w:tcPr>
            <w:tcW w:w="1755" w:type="dxa"/>
            <w:vAlign w:val="center"/>
          </w:tcPr>
          <w:p>
            <w:pPr>
              <w:spacing w:line="240" w:lineRule="auto"/>
              <w:ind w:firstLine="0" w:firstLineChars="0"/>
              <w:rPr>
                <w:sz w:val="24"/>
              </w:rPr>
            </w:pPr>
            <w:r>
              <w:rPr>
                <w:rFonts w:hAnsi="仿宋_GB2312" w:cs="仿宋_GB2312"/>
                <w:sz w:val="24"/>
              </w:rPr>
              <w:t>人均碳排放量</w:t>
            </w:r>
          </w:p>
        </w:tc>
        <w:tc>
          <w:tcPr>
            <w:tcW w:w="1365" w:type="dxa"/>
            <w:vAlign w:val="center"/>
          </w:tcPr>
          <w:p>
            <w:pPr>
              <w:spacing w:line="240" w:lineRule="auto"/>
              <w:ind w:firstLine="0" w:firstLineChars="0"/>
              <w:jc w:val="center"/>
              <w:rPr>
                <w:sz w:val="24"/>
              </w:rPr>
            </w:pPr>
            <w:r>
              <w:rPr>
                <w:rFonts w:hAnsi="仿宋_GB2312" w:cs="仿宋_GB2312"/>
                <w:spacing w:val="0"/>
                <w:w w:val="84"/>
                <w:kern w:val="0"/>
                <w:sz w:val="24"/>
                <w:fitText w:val="1260" w:id="722085955"/>
              </w:rPr>
              <w:t>≤0.79tCO</w:t>
            </w:r>
            <w:r>
              <w:rPr>
                <w:rFonts w:hAnsi="仿宋_GB2312" w:cs="仿宋_GB2312"/>
                <w:spacing w:val="0"/>
                <w:w w:val="84"/>
                <w:kern w:val="0"/>
                <w:sz w:val="24"/>
                <w:fitText w:val="1260" w:id="722085955"/>
                <w:vertAlign w:val="subscript"/>
              </w:rPr>
              <w:t>2</w:t>
            </w:r>
            <w:r>
              <w:rPr>
                <w:rFonts w:hAnsi="仿宋_GB2312" w:cs="仿宋_GB2312"/>
                <w:spacing w:val="0"/>
                <w:w w:val="84"/>
                <w:kern w:val="0"/>
                <w:sz w:val="24"/>
                <w:fitText w:val="1260" w:id="722085955"/>
              </w:rPr>
              <w:t>/人</w:t>
            </w:r>
          </w:p>
        </w:tc>
        <w:tc>
          <w:tcPr>
            <w:tcW w:w="3600" w:type="dxa"/>
            <w:vAlign w:val="center"/>
          </w:tcPr>
          <w:p>
            <w:pPr>
              <w:spacing w:line="240" w:lineRule="auto"/>
              <w:ind w:firstLine="0" w:firstLineChars="0"/>
              <w:rPr>
                <w:sz w:val="24"/>
              </w:rPr>
            </w:pPr>
            <w:r>
              <w:rPr>
                <w:rFonts w:hAnsi="仿宋_GB2312" w:cs="仿宋_GB2312"/>
                <w:sz w:val="24"/>
              </w:rPr>
              <w:t>示范区内人均碳排放量指标</w:t>
            </w:r>
          </w:p>
        </w:tc>
        <w:tc>
          <w:tcPr>
            <w:tcW w:w="1183" w:type="dxa"/>
            <w:vAlign w:val="center"/>
          </w:tcPr>
          <w:p>
            <w:pPr>
              <w:spacing w:line="240" w:lineRule="auto"/>
              <w:ind w:firstLine="0" w:firstLineChars="0"/>
              <w:jc w:val="center"/>
              <w:rPr>
                <w:sz w:val="24"/>
              </w:rPr>
            </w:pPr>
            <w:r>
              <w:rPr>
                <w:rFonts w:hAnsi="仿宋_GB2312" w:cs="仿宋_GB2312"/>
                <w:sz w:val="24"/>
              </w:rPr>
              <w:t>居住建筑</w:t>
            </w:r>
          </w:p>
        </w:tc>
        <w:tc>
          <w:tcPr>
            <w:tcW w:w="1211" w:type="dxa"/>
            <w:vAlign w:val="center"/>
          </w:tcPr>
          <w:p>
            <w:pPr>
              <w:spacing w:line="240" w:lineRule="auto"/>
              <w:ind w:firstLine="0" w:firstLineChars="0"/>
              <w:jc w:val="center"/>
              <w:rPr>
                <w:sz w:val="24"/>
              </w:rPr>
            </w:pPr>
            <w:r>
              <w:rPr>
                <w:rFonts w:hAnsi="仿宋_GB2312" w:cs="仿宋_GB2312"/>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val="0"/>
              <w:numPr>
                <w:ilvl w:val="0"/>
                <w:numId w:val="1"/>
              </w:numPr>
              <w:spacing w:line="240" w:lineRule="auto"/>
              <w:ind w:left="0" w:firstLine="0" w:firstLineChars="0"/>
              <w:jc w:val="center"/>
              <w:rPr>
                <w:sz w:val="24"/>
              </w:rPr>
            </w:pPr>
          </w:p>
        </w:tc>
        <w:tc>
          <w:tcPr>
            <w:tcW w:w="1755" w:type="dxa"/>
            <w:vAlign w:val="center"/>
          </w:tcPr>
          <w:p>
            <w:pPr>
              <w:spacing w:line="240" w:lineRule="auto"/>
              <w:ind w:firstLine="0" w:firstLineChars="0"/>
              <w:rPr>
                <w:sz w:val="24"/>
              </w:rPr>
            </w:pPr>
            <w:r>
              <w:rPr>
                <w:rFonts w:hAnsi="仿宋_GB2312" w:cs="仿宋_GB2312"/>
                <w:sz w:val="24"/>
              </w:rPr>
              <w:t>零能耗或零碳建筑数量</w:t>
            </w:r>
          </w:p>
        </w:tc>
        <w:tc>
          <w:tcPr>
            <w:tcW w:w="1365" w:type="dxa"/>
            <w:vAlign w:val="center"/>
          </w:tcPr>
          <w:p>
            <w:pPr>
              <w:spacing w:line="240" w:lineRule="auto"/>
              <w:ind w:firstLine="0" w:firstLineChars="0"/>
              <w:jc w:val="left"/>
              <w:rPr>
                <w:sz w:val="24"/>
              </w:rPr>
            </w:pPr>
            <w:r>
              <w:rPr>
                <w:rFonts w:hAnsi="仿宋_GB2312" w:cs="仿宋_GB2312"/>
                <w:sz w:val="24"/>
              </w:rPr>
              <w:t>≥1栋</w:t>
            </w:r>
          </w:p>
        </w:tc>
        <w:tc>
          <w:tcPr>
            <w:tcW w:w="3600" w:type="dxa"/>
            <w:vAlign w:val="center"/>
          </w:tcPr>
          <w:p>
            <w:pPr>
              <w:spacing w:line="240" w:lineRule="auto"/>
              <w:ind w:firstLine="0" w:firstLineChars="0"/>
              <w:rPr>
                <w:sz w:val="24"/>
              </w:rPr>
            </w:pPr>
            <w:r>
              <w:rPr>
                <w:rFonts w:hAnsi="仿宋_GB2312" w:cs="仿宋_GB2312"/>
                <w:sz w:val="24"/>
              </w:rPr>
              <w:t>达到零能耗或零碳建筑要求的项目数量</w:t>
            </w:r>
          </w:p>
        </w:tc>
        <w:tc>
          <w:tcPr>
            <w:tcW w:w="1183" w:type="dxa"/>
            <w:vAlign w:val="center"/>
          </w:tcPr>
          <w:p>
            <w:pPr>
              <w:spacing w:line="240" w:lineRule="auto"/>
              <w:ind w:firstLine="0" w:firstLineChars="0"/>
              <w:jc w:val="center"/>
              <w:rPr>
                <w:sz w:val="24"/>
              </w:rPr>
            </w:pPr>
            <w:r>
              <w:rPr>
                <w:rFonts w:hAnsi="仿宋_GB2312" w:cs="仿宋_GB2312"/>
                <w:sz w:val="24"/>
              </w:rPr>
              <w:t>示范区</w:t>
            </w:r>
          </w:p>
        </w:tc>
        <w:tc>
          <w:tcPr>
            <w:tcW w:w="1211" w:type="dxa"/>
            <w:vAlign w:val="center"/>
          </w:tcPr>
          <w:p>
            <w:pPr>
              <w:spacing w:line="240" w:lineRule="auto"/>
              <w:ind w:firstLine="0" w:firstLineChars="0"/>
              <w:jc w:val="center"/>
              <w:rPr>
                <w:sz w:val="24"/>
              </w:rPr>
            </w:pPr>
            <w:r>
              <w:rPr>
                <w:rFonts w:hAnsi="仿宋_GB2312" w:cs="仿宋_GB2312"/>
                <w:sz w:val="24"/>
              </w:rPr>
              <w:t>引导性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val="0"/>
              <w:numPr>
                <w:ilvl w:val="0"/>
                <w:numId w:val="1"/>
              </w:numPr>
              <w:spacing w:line="240" w:lineRule="auto"/>
              <w:ind w:left="0" w:firstLine="0" w:firstLineChars="0"/>
              <w:jc w:val="center"/>
              <w:rPr>
                <w:sz w:val="24"/>
              </w:rPr>
            </w:pPr>
          </w:p>
        </w:tc>
        <w:tc>
          <w:tcPr>
            <w:tcW w:w="1755" w:type="dxa"/>
            <w:vAlign w:val="center"/>
          </w:tcPr>
          <w:p>
            <w:pPr>
              <w:spacing w:line="240" w:lineRule="auto"/>
              <w:ind w:firstLine="0" w:firstLineChars="0"/>
              <w:rPr>
                <w:sz w:val="24"/>
              </w:rPr>
            </w:pPr>
            <w:r>
              <w:rPr>
                <w:rFonts w:hAnsi="仿宋_GB2312" w:cs="仿宋_GB2312"/>
                <w:sz w:val="24"/>
              </w:rPr>
              <w:t>建筑外遮阳使用率</w:t>
            </w:r>
          </w:p>
        </w:tc>
        <w:tc>
          <w:tcPr>
            <w:tcW w:w="1365" w:type="dxa"/>
            <w:vAlign w:val="center"/>
          </w:tcPr>
          <w:p>
            <w:pPr>
              <w:spacing w:line="240" w:lineRule="auto"/>
              <w:ind w:firstLine="0" w:firstLineChars="0"/>
              <w:jc w:val="center"/>
              <w:rPr>
                <w:sz w:val="24"/>
              </w:rPr>
            </w:pPr>
            <w:r>
              <w:rPr>
                <w:rFonts w:hint="eastAsia" w:hAnsi="仿宋_GB2312" w:cs="仿宋_GB2312"/>
                <w:sz w:val="24"/>
              </w:rPr>
              <w:t>东、西向≥70%，南向≥40%</w:t>
            </w:r>
          </w:p>
        </w:tc>
        <w:tc>
          <w:tcPr>
            <w:tcW w:w="3600" w:type="dxa"/>
            <w:vAlign w:val="center"/>
          </w:tcPr>
          <w:p>
            <w:pPr>
              <w:spacing w:line="240" w:lineRule="auto"/>
              <w:ind w:firstLine="0" w:firstLineChars="0"/>
              <w:rPr>
                <w:sz w:val="24"/>
              </w:rPr>
            </w:pPr>
            <w:r>
              <w:rPr>
                <w:rFonts w:hint="eastAsia" w:hAnsi="仿宋_GB2312" w:cs="仿宋_GB2312"/>
                <w:sz w:val="24"/>
              </w:rPr>
              <w:t>除北向外，东、西、南向建筑外窗和幕墙透明部分安装建筑外遮阳的外窗面积占该立面外窗面积的比例</w:t>
            </w:r>
          </w:p>
        </w:tc>
        <w:tc>
          <w:tcPr>
            <w:tcW w:w="1183" w:type="dxa"/>
            <w:vAlign w:val="center"/>
          </w:tcPr>
          <w:p>
            <w:pPr>
              <w:spacing w:line="240" w:lineRule="auto"/>
              <w:ind w:firstLine="0" w:firstLineChars="0"/>
              <w:jc w:val="center"/>
              <w:rPr>
                <w:rFonts w:hAnsi="仿宋_GB2312" w:cs="仿宋_GB2312"/>
                <w:sz w:val="24"/>
              </w:rPr>
            </w:pPr>
            <w:r>
              <w:rPr>
                <w:rFonts w:hAnsi="仿宋_GB2312" w:cs="仿宋_GB2312"/>
                <w:sz w:val="24"/>
              </w:rPr>
              <w:t>居住建筑</w:t>
            </w:r>
          </w:p>
          <w:p>
            <w:pPr>
              <w:spacing w:line="240" w:lineRule="auto"/>
              <w:ind w:firstLine="0" w:firstLineChars="0"/>
              <w:jc w:val="center"/>
              <w:rPr>
                <w:sz w:val="24"/>
              </w:rPr>
            </w:pPr>
            <w:r>
              <w:rPr>
                <w:rFonts w:hAnsi="仿宋_GB2312" w:cs="仿宋_GB2312"/>
                <w:sz w:val="24"/>
              </w:rPr>
              <w:t>公共建筑</w:t>
            </w:r>
          </w:p>
        </w:tc>
        <w:tc>
          <w:tcPr>
            <w:tcW w:w="1211" w:type="dxa"/>
            <w:vAlign w:val="center"/>
          </w:tcPr>
          <w:p>
            <w:pPr>
              <w:spacing w:line="240" w:lineRule="auto"/>
              <w:ind w:firstLine="0" w:firstLineChars="0"/>
              <w:jc w:val="center"/>
              <w:rPr>
                <w:sz w:val="24"/>
              </w:rPr>
            </w:pPr>
            <w:r>
              <w:rPr>
                <w:rFonts w:hAnsi="仿宋_GB2312" w:cs="仿宋_GB2312"/>
                <w:sz w:val="24"/>
              </w:rPr>
              <w:t>引导性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val="0"/>
              <w:numPr>
                <w:ilvl w:val="0"/>
                <w:numId w:val="1"/>
              </w:numPr>
              <w:spacing w:line="240" w:lineRule="auto"/>
              <w:ind w:left="0" w:firstLine="0" w:firstLineChars="0"/>
              <w:jc w:val="center"/>
              <w:rPr>
                <w:sz w:val="24"/>
              </w:rPr>
            </w:pPr>
          </w:p>
        </w:tc>
        <w:tc>
          <w:tcPr>
            <w:tcW w:w="1755" w:type="dxa"/>
            <w:vAlign w:val="center"/>
          </w:tcPr>
          <w:p>
            <w:pPr>
              <w:spacing w:line="240" w:lineRule="auto"/>
              <w:ind w:firstLine="0" w:firstLineChars="0"/>
              <w:rPr>
                <w:sz w:val="24"/>
              </w:rPr>
            </w:pPr>
            <w:r>
              <w:rPr>
                <w:rFonts w:hint="eastAsia" w:hAnsi="仿宋_GB2312" w:cs="仿宋_GB2312"/>
                <w:sz w:val="24"/>
              </w:rPr>
              <w:t>可再生能源生活热水使用率</w:t>
            </w:r>
          </w:p>
        </w:tc>
        <w:tc>
          <w:tcPr>
            <w:tcW w:w="1365" w:type="dxa"/>
            <w:vAlign w:val="center"/>
          </w:tcPr>
          <w:p>
            <w:pPr>
              <w:spacing w:line="240" w:lineRule="auto"/>
              <w:ind w:firstLine="0" w:firstLineChars="0"/>
              <w:jc w:val="center"/>
              <w:rPr>
                <w:sz w:val="24"/>
              </w:rPr>
            </w:pPr>
            <w:r>
              <w:rPr>
                <w:rFonts w:hAnsi="仿宋_GB2312" w:cs="仿宋_GB2312"/>
                <w:sz w:val="24"/>
              </w:rPr>
              <w:t>100%</w:t>
            </w:r>
          </w:p>
        </w:tc>
        <w:tc>
          <w:tcPr>
            <w:tcW w:w="3600" w:type="dxa"/>
            <w:vAlign w:val="center"/>
          </w:tcPr>
          <w:p>
            <w:pPr>
              <w:spacing w:line="240" w:lineRule="auto"/>
              <w:ind w:firstLine="0" w:firstLineChars="0"/>
              <w:rPr>
                <w:sz w:val="24"/>
              </w:rPr>
            </w:pPr>
            <w:r>
              <w:rPr>
                <w:rFonts w:hint="eastAsia" w:hAnsi="仿宋_GB2312" w:cs="仿宋_GB2312"/>
                <w:sz w:val="24"/>
              </w:rPr>
              <w:t>使用可再生能源提供生活热水的</w:t>
            </w:r>
            <w:r>
              <w:rPr>
                <w:rFonts w:hAnsi="仿宋_GB2312" w:cs="仿宋_GB2312"/>
                <w:sz w:val="24"/>
              </w:rPr>
              <w:t>户数与总户数的比例</w:t>
            </w:r>
          </w:p>
        </w:tc>
        <w:tc>
          <w:tcPr>
            <w:tcW w:w="1183" w:type="dxa"/>
            <w:vAlign w:val="center"/>
          </w:tcPr>
          <w:p>
            <w:pPr>
              <w:spacing w:line="240" w:lineRule="auto"/>
              <w:ind w:firstLine="0" w:firstLineChars="0"/>
              <w:jc w:val="center"/>
              <w:rPr>
                <w:sz w:val="24"/>
              </w:rPr>
            </w:pPr>
            <w:r>
              <w:rPr>
                <w:rFonts w:hAnsi="仿宋_GB2312" w:cs="仿宋_GB2312"/>
                <w:sz w:val="24"/>
              </w:rPr>
              <w:t>居住建筑</w:t>
            </w:r>
          </w:p>
        </w:tc>
        <w:tc>
          <w:tcPr>
            <w:tcW w:w="1211" w:type="dxa"/>
            <w:vAlign w:val="center"/>
          </w:tcPr>
          <w:p>
            <w:pPr>
              <w:spacing w:line="240" w:lineRule="auto"/>
              <w:ind w:firstLine="0" w:firstLineChars="0"/>
              <w:jc w:val="center"/>
              <w:rPr>
                <w:sz w:val="24"/>
              </w:rPr>
            </w:pPr>
            <w:r>
              <w:rPr>
                <w:rFonts w:hAnsi="仿宋_GB2312" w:cs="仿宋_GB2312"/>
                <w:sz w:val="24"/>
              </w:rPr>
              <w:t>引导性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val="0"/>
              <w:numPr>
                <w:ilvl w:val="0"/>
                <w:numId w:val="1"/>
              </w:numPr>
              <w:spacing w:line="240" w:lineRule="auto"/>
              <w:ind w:left="0" w:firstLine="0" w:firstLineChars="0"/>
              <w:jc w:val="center"/>
              <w:rPr>
                <w:sz w:val="24"/>
              </w:rPr>
            </w:pPr>
          </w:p>
        </w:tc>
        <w:tc>
          <w:tcPr>
            <w:tcW w:w="1755" w:type="dxa"/>
            <w:vAlign w:val="center"/>
          </w:tcPr>
          <w:p>
            <w:pPr>
              <w:spacing w:line="240" w:lineRule="auto"/>
              <w:ind w:firstLine="0" w:firstLineChars="0"/>
              <w:rPr>
                <w:sz w:val="24"/>
              </w:rPr>
            </w:pPr>
            <w:r>
              <w:rPr>
                <w:rFonts w:hAnsi="仿宋_GB2312" w:cs="仿宋_GB2312"/>
                <w:sz w:val="24"/>
              </w:rPr>
              <w:t>地热能应用比例</w:t>
            </w:r>
          </w:p>
        </w:tc>
        <w:tc>
          <w:tcPr>
            <w:tcW w:w="1365" w:type="dxa"/>
            <w:vAlign w:val="center"/>
          </w:tcPr>
          <w:p>
            <w:pPr>
              <w:spacing w:line="240" w:lineRule="auto"/>
              <w:ind w:firstLine="0" w:firstLineChars="0"/>
              <w:jc w:val="center"/>
              <w:rPr>
                <w:sz w:val="24"/>
              </w:rPr>
            </w:pPr>
            <w:r>
              <w:rPr>
                <w:rFonts w:hAnsi="仿宋_GB2312" w:cs="仿宋_GB2312"/>
                <w:sz w:val="24"/>
              </w:rPr>
              <w:t>≥20%</w:t>
            </w:r>
          </w:p>
        </w:tc>
        <w:tc>
          <w:tcPr>
            <w:tcW w:w="3600" w:type="dxa"/>
            <w:vAlign w:val="center"/>
          </w:tcPr>
          <w:p>
            <w:pPr>
              <w:spacing w:line="240" w:lineRule="auto"/>
              <w:ind w:firstLine="0" w:firstLineChars="0"/>
              <w:rPr>
                <w:sz w:val="24"/>
              </w:rPr>
            </w:pPr>
            <w:r>
              <w:rPr>
                <w:rFonts w:hAnsi="仿宋_GB2312" w:cs="仿宋_GB2312"/>
                <w:sz w:val="24"/>
              </w:rPr>
              <w:t>地热能提供热量占供热站提供总热量的比例</w:t>
            </w:r>
          </w:p>
        </w:tc>
        <w:tc>
          <w:tcPr>
            <w:tcW w:w="1183" w:type="dxa"/>
            <w:vAlign w:val="center"/>
          </w:tcPr>
          <w:p>
            <w:pPr>
              <w:spacing w:line="240" w:lineRule="auto"/>
              <w:ind w:firstLine="0" w:firstLineChars="0"/>
              <w:jc w:val="center"/>
              <w:rPr>
                <w:sz w:val="24"/>
              </w:rPr>
            </w:pPr>
            <w:r>
              <w:rPr>
                <w:rFonts w:hAnsi="仿宋_GB2312" w:cs="仿宋_GB2312"/>
                <w:sz w:val="24"/>
              </w:rPr>
              <w:t>供热站</w:t>
            </w:r>
          </w:p>
        </w:tc>
        <w:tc>
          <w:tcPr>
            <w:tcW w:w="1211" w:type="dxa"/>
            <w:vAlign w:val="center"/>
          </w:tcPr>
          <w:p>
            <w:pPr>
              <w:spacing w:line="240" w:lineRule="auto"/>
              <w:ind w:firstLine="0" w:firstLineChars="0"/>
              <w:jc w:val="center"/>
              <w:rPr>
                <w:sz w:val="24"/>
              </w:rPr>
            </w:pPr>
            <w:r>
              <w:rPr>
                <w:rFonts w:hAnsi="仿宋_GB2312" w:cs="仿宋_GB2312"/>
                <w:sz w:val="24"/>
              </w:rPr>
              <w:t>引导性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3" w:type="dxa"/>
            <w:vAlign w:val="center"/>
          </w:tcPr>
          <w:p>
            <w:pPr>
              <w:widowControl w:val="0"/>
              <w:numPr>
                <w:ilvl w:val="0"/>
                <w:numId w:val="1"/>
              </w:numPr>
              <w:spacing w:line="240" w:lineRule="auto"/>
              <w:ind w:left="0" w:firstLine="0" w:firstLineChars="0"/>
              <w:jc w:val="center"/>
              <w:rPr>
                <w:sz w:val="24"/>
              </w:rPr>
            </w:pPr>
          </w:p>
        </w:tc>
        <w:tc>
          <w:tcPr>
            <w:tcW w:w="1755" w:type="dxa"/>
            <w:vAlign w:val="center"/>
          </w:tcPr>
          <w:p>
            <w:pPr>
              <w:spacing w:line="240" w:lineRule="auto"/>
              <w:ind w:firstLine="0" w:firstLineChars="0"/>
              <w:rPr>
                <w:sz w:val="24"/>
              </w:rPr>
            </w:pPr>
            <w:r>
              <w:rPr>
                <w:rFonts w:hAnsi="仿宋_GB2312" w:cs="仿宋_GB2312"/>
                <w:sz w:val="24"/>
              </w:rPr>
              <w:t>柔性充电桩配置率</w:t>
            </w:r>
          </w:p>
        </w:tc>
        <w:tc>
          <w:tcPr>
            <w:tcW w:w="1365" w:type="dxa"/>
            <w:vAlign w:val="center"/>
          </w:tcPr>
          <w:p>
            <w:pPr>
              <w:spacing w:line="240" w:lineRule="auto"/>
              <w:ind w:firstLine="0" w:firstLineChars="0"/>
              <w:jc w:val="center"/>
              <w:rPr>
                <w:sz w:val="24"/>
              </w:rPr>
            </w:pPr>
            <w:r>
              <w:rPr>
                <w:rFonts w:hAnsi="仿宋_GB2312" w:cs="仿宋_GB2312"/>
                <w:sz w:val="24"/>
              </w:rPr>
              <w:t>100%</w:t>
            </w:r>
          </w:p>
        </w:tc>
        <w:tc>
          <w:tcPr>
            <w:tcW w:w="3600" w:type="dxa"/>
            <w:vAlign w:val="center"/>
          </w:tcPr>
          <w:p>
            <w:pPr>
              <w:spacing w:line="240" w:lineRule="auto"/>
              <w:ind w:firstLine="0" w:firstLineChars="0"/>
              <w:rPr>
                <w:sz w:val="24"/>
              </w:rPr>
            </w:pPr>
            <w:r>
              <w:rPr>
                <w:rFonts w:hAnsi="仿宋_GB2312" w:cs="仿宋_GB2312"/>
                <w:sz w:val="24"/>
              </w:rPr>
              <w:t>柔性电动汽车充电桩数量占充电桩总数量的比例</w:t>
            </w:r>
          </w:p>
        </w:tc>
        <w:tc>
          <w:tcPr>
            <w:tcW w:w="1183" w:type="dxa"/>
            <w:vAlign w:val="center"/>
          </w:tcPr>
          <w:p>
            <w:pPr>
              <w:spacing w:line="240" w:lineRule="auto"/>
              <w:ind w:firstLine="0" w:firstLineChars="0"/>
              <w:jc w:val="center"/>
              <w:rPr>
                <w:sz w:val="24"/>
              </w:rPr>
            </w:pPr>
            <w:r>
              <w:rPr>
                <w:rFonts w:hAnsi="仿宋_GB2312" w:cs="仿宋_GB2312"/>
                <w:sz w:val="24"/>
              </w:rPr>
              <w:t>示范区</w:t>
            </w:r>
          </w:p>
        </w:tc>
        <w:tc>
          <w:tcPr>
            <w:tcW w:w="1211" w:type="dxa"/>
            <w:vAlign w:val="center"/>
          </w:tcPr>
          <w:p>
            <w:pPr>
              <w:spacing w:line="240" w:lineRule="auto"/>
              <w:ind w:firstLine="0" w:firstLineChars="0"/>
              <w:jc w:val="center"/>
              <w:rPr>
                <w:sz w:val="24"/>
              </w:rPr>
            </w:pPr>
            <w:r>
              <w:rPr>
                <w:rFonts w:hAnsi="仿宋_GB2312" w:cs="仿宋_GB2312"/>
                <w:sz w:val="24"/>
              </w:rPr>
              <w:t>引导性</w:t>
            </w:r>
          </w:p>
        </w:tc>
      </w:tr>
    </w:tbl>
    <w:p>
      <w:pPr>
        <w:spacing w:line="400" w:lineRule="exact"/>
        <w:ind w:firstLine="0" w:firstLineChars="0"/>
        <w:jc w:val="left"/>
        <w:rPr>
          <w:sz w:val="24"/>
          <w:szCs w:val="24"/>
        </w:rPr>
      </w:pPr>
      <w:r>
        <w:rPr>
          <w:sz w:val="24"/>
          <w:szCs w:val="24"/>
        </w:rPr>
        <w:t>备注：</w:t>
      </w:r>
      <w:r>
        <w:rPr>
          <w:rFonts w:hint="eastAsia"/>
          <w:sz w:val="24"/>
          <w:szCs w:val="24"/>
        </w:rPr>
        <w:t>1.</w:t>
      </w:r>
      <w:r>
        <w:rPr>
          <w:sz w:val="24"/>
          <w:szCs w:val="24"/>
        </w:rPr>
        <w:t>能耗监测，</w:t>
      </w:r>
      <w:r>
        <w:rPr>
          <w:rFonts w:hint="eastAsia"/>
          <w:sz w:val="24"/>
          <w:szCs w:val="24"/>
        </w:rPr>
        <w:t>是指依据国家和地方法规、规章和相关能源标准，通过现场数据采集、运算分析等手段，对用能单位的能源生产（加工转换）、输配、消费和利用状况进行动态、实时监测。2.人均碳排放量，是指街坊居民每人每年因生活而消费的能源所带来的二氧化碳排放水平。能源种类包括电力、热力、煤炭、天然气以及液化石油气。街坊内公共区域的能耗不计入内。3.柔性充电桩具备充电功率柔性分配单元，可以根据不同的车辆需求，自动分配所需的充电功率，支持多种车辆充电需求。4.外遮阳，包括可调节和固定遮阳设施，以及阳台、露台等。5.零能耗建筑，是指室内环境参数与近零能耗建筑相同，充分利用建筑本体和周边的可再生能源资源，使可再生能源产能大于或等于建筑全年全部用能的建筑。6.生活热水采用的可再生能源种类，包括太阳能、空气源热泵和地热能等</w:t>
      </w:r>
      <w:r>
        <w:rPr>
          <w:sz w:val="24"/>
          <w:szCs w:val="24"/>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D2C00"/>
    <w:multiLevelType w:val="singleLevel"/>
    <w:tmpl w:val="9BCD2C00"/>
    <w:lvl w:ilvl="0" w:tentative="0">
      <w:start w:val="1"/>
      <w:numFmt w:val="decimal"/>
      <w:suff w:val="nothing"/>
      <w:lvlText w:val="%1"/>
      <w:lvlJc w:val="left"/>
      <w:pPr>
        <w:tabs>
          <w:tab w:val="left" w:pos="0"/>
        </w:tabs>
        <w:ind w:left="454" w:hanging="454"/>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zlhNGNjZTdmOTE3ZTJiMmQ1ZjI3YTlhOTI4MjkifQ=="/>
  </w:docVars>
  <w:rsids>
    <w:rsidRoot w:val="79E22206"/>
    <w:rsid w:val="79E22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80" w:lineRule="exact"/>
      <w:ind w:firstLine="200" w:firstLineChars="200"/>
      <w:jc w:val="both"/>
    </w:pPr>
    <w:rPr>
      <w:rFonts w:ascii="仿宋_GB2312" w:hAnsi="宋体" w:eastAsia="仿宋_GB2312" w:cstheme="minorBidi"/>
      <w:kern w:val="2"/>
      <w:sz w:val="32"/>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表格文字"/>
    <w:qFormat/>
    <w:uiPriority w:val="99"/>
    <w:pPr>
      <w:widowControl w:val="0"/>
      <w:adjustRightInd w:val="0"/>
      <w:spacing w:line="420" w:lineRule="atLeast"/>
      <w:textAlignment w:val="baseline"/>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2022-08-02T04:45:00Z</dcterms:created>
  <dc:creator>官网人工审稿窗口</dc:creator>
  <cp:lastModifiedBy>官网人工审稿窗口</cp:lastModifiedBy>
  <dcterms:modified xsi:type="dcterms:W3CDTF">2022-08-02T04:45:30Z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9DD038DC95A24785ADED94C89C463541</vt:lpwstr>
  </property>
</Properties>
</file>