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附表1</w:t>
      </w:r>
    </w:p>
    <w:p>
      <w:pPr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近零能耗建筑示范项目指标表</w:t>
      </w:r>
    </w:p>
    <w:bookmarkEnd w:id="0"/>
    <w:tbl>
      <w:tblPr>
        <w:tblStyle w:val="3"/>
        <w:tblpPr w:leftFromText="180" w:rightFromText="180" w:vertAnchor="text" w:horzAnchor="page" w:tblpX="1352" w:tblpY="320"/>
        <w:tblOverlap w:val="never"/>
        <w:tblW w:w="9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75"/>
        <w:gridCol w:w="1575"/>
        <w:gridCol w:w="3570"/>
        <w:gridCol w:w="123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指标名称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指标要求</w:t>
            </w:r>
          </w:p>
        </w:tc>
        <w:tc>
          <w:tcPr>
            <w:tcW w:w="357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指标内容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适用范围</w:t>
            </w:r>
          </w:p>
        </w:tc>
        <w:tc>
          <w:tcPr>
            <w:tcW w:w="12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</w:rPr>
              <w:t>管控要求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供暖年耗热量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≤15</w:t>
            </w:r>
          </w:p>
          <w:p>
            <w:pPr>
              <w:spacing w:line="240" w:lineRule="auto"/>
              <w:ind w:firstLine="0" w:firstLineChars="0"/>
              <w:rPr>
                <w:rFonts w:hint="eastAsia" w:hAnsi="仿宋_GB2312" w:eastAsia="仿宋_GB2312" w:cs="仿宋_GB2312"/>
                <w:sz w:val="24"/>
                <w:lang w:eastAsia="zh-CN"/>
              </w:rPr>
            </w:pPr>
            <w:r>
              <w:rPr>
                <w:sz w:val="24"/>
              </w:rPr>
              <w:t>kWh/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eastAsia="Segoe UI Symbol"/>
                <w:sz w:val="24"/>
              </w:rPr>
              <w:t>㎡</w:t>
            </w:r>
            <w:r>
              <w:rPr>
                <w:sz w:val="24"/>
              </w:rPr>
              <w:t>·a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357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在设定计算条件下，为满足室内环境参数要求，单位面积年累计消耗的需由室内供暖设备供给的热量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居住建筑</w:t>
            </w:r>
          </w:p>
        </w:tc>
        <w:tc>
          <w:tcPr>
            <w:tcW w:w="121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供冷年耗冷量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≤20</w:t>
            </w:r>
          </w:p>
          <w:p>
            <w:pPr>
              <w:spacing w:line="240" w:lineRule="auto"/>
              <w:ind w:firstLine="0" w:firstLineChars="0"/>
              <w:rPr>
                <w:rFonts w:hint="eastAsia" w:hAnsi="仿宋_GB2312" w:eastAsia="仿宋_GB2312" w:cs="仿宋_GB2312"/>
                <w:sz w:val="24"/>
                <w:lang w:eastAsia="zh-CN"/>
              </w:rPr>
            </w:pPr>
            <w:r>
              <w:rPr>
                <w:sz w:val="24"/>
              </w:rPr>
              <w:t>kWh/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eastAsia="Segoe UI Symbol"/>
                <w:sz w:val="24"/>
              </w:rPr>
              <w:t>㎡</w:t>
            </w:r>
            <w:r>
              <w:rPr>
                <w:sz w:val="24"/>
              </w:rPr>
              <w:t>·a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357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在设定计算条件下，为满足室内环境参数要求，单位面积年累计消耗的需由室内供冷设备供给的冷量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居住建筑</w:t>
            </w:r>
          </w:p>
        </w:tc>
        <w:tc>
          <w:tcPr>
            <w:tcW w:w="121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建筑综合节能率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≥80%</w:t>
            </w:r>
          </w:p>
        </w:tc>
        <w:tc>
          <w:tcPr>
            <w:tcW w:w="357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设计建筑和基准建筑的建筑能耗综合值的差值，与基准建筑的建筑能耗综合值的比值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公共建筑</w:t>
            </w:r>
          </w:p>
        </w:tc>
        <w:tc>
          <w:tcPr>
            <w:tcW w:w="121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可再生能源利用率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≥30%</w:t>
            </w:r>
          </w:p>
        </w:tc>
        <w:tc>
          <w:tcPr>
            <w:tcW w:w="357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供暖、通风、空调、照明、生活热水、电梯系统中可再生能源利用量占其能量需求量的比例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公共建筑</w:t>
            </w:r>
          </w:p>
        </w:tc>
        <w:tc>
          <w:tcPr>
            <w:tcW w:w="121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引导性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建筑外遮阳安装面积比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rFonts w:hint="eastAsia"/>
                <w:sz w:val="24"/>
              </w:rPr>
              <w:t>东、西向≥70%，南向≥40%</w:t>
            </w:r>
          </w:p>
        </w:tc>
        <w:tc>
          <w:tcPr>
            <w:tcW w:w="357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除北向外，</w:t>
            </w:r>
            <w:r>
              <w:rPr>
                <w:rFonts w:hint="eastAsia"/>
                <w:sz w:val="24"/>
              </w:rPr>
              <w:t>东、西、南向</w:t>
            </w:r>
            <w:r>
              <w:rPr>
                <w:sz w:val="24"/>
              </w:rPr>
              <w:t>建筑外窗和幕墙透明部分安装建筑外遮阳的外窗面积占</w:t>
            </w:r>
            <w:r>
              <w:rPr>
                <w:rFonts w:hint="eastAsia"/>
                <w:sz w:val="24"/>
              </w:rPr>
              <w:t>该立面</w:t>
            </w:r>
            <w:r>
              <w:rPr>
                <w:sz w:val="24"/>
              </w:rPr>
              <w:t>外窗面积的比例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居住建筑</w:t>
            </w:r>
          </w:p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公共建筑</w:t>
            </w:r>
          </w:p>
        </w:tc>
        <w:tc>
          <w:tcPr>
            <w:tcW w:w="121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引导性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制冷机房系统综合能效比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≥5.0</w:t>
            </w:r>
          </w:p>
        </w:tc>
        <w:tc>
          <w:tcPr>
            <w:tcW w:w="357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实际运行工况下，制冷机房系统全年累计制冷量（kWh）与设备全年累计用电量（kWh）的比值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公共建筑</w:t>
            </w:r>
          </w:p>
        </w:tc>
        <w:tc>
          <w:tcPr>
            <w:tcW w:w="121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 w:cs="仿宋_GB2312"/>
                <w:sz w:val="24"/>
              </w:rPr>
            </w:pPr>
            <w:r>
              <w:rPr>
                <w:sz w:val="24"/>
              </w:rPr>
              <w:t>引导性</w:t>
            </w:r>
          </w:p>
        </w:tc>
      </w:tr>
    </w:tbl>
    <w:p>
      <w:pPr>
        <w:spacing w:line="500" w:lineRule="exact"/>
        <w:ind w:firstLine="0" w:firstLineChars="0"/>
        <w:rPr>
          <w:sz w:val="24"/>
        </w:rPr>
      </w:pPr>
      <w:r>
        <w:rPr>
          <w:bCs/>
          <w:sz w:val="24"/>
        </w:rPr>
        <w:t>备注：</w:t>
      </w:r>
      <w:r>
        <w:rPr>
          <w:rFonts w:hint="eastAsia"/>
          <w:bCs/>
          <w:sz w:val="24"/>
        </w:rPr>
        <w:t>1.</w:t>
      </w:r>
      <w:r>
        <w:rPr>
          <w:sz w:val="24"/>
        </w:rPr>
        <w:t>近零能耗建筑示范项目</w:t>
      </w:r>
      <w:r>
        <w:rPr>
          <w:rFonts w:hint="eastAsia"/>
          <w:sz w:val="24"/>
        </w:rPr>
        <w:t>应满足《近零能耗建筑技术标准》GB/T 51350-2019和河北省《被动式超低能耗居住建筑节能设计标准》DB13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J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/T8359-2020（2021版）《被动式超低能耗公共建筑节能设计标准》DB13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J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/T8360-2020（2021版）的要求。2.基准建筑，是指计算建筑综合节能率时用于计算符合国家标准《公共建筑节能设计标准》GB 50189-2015相关要求的建筑能耗综合值的建筑。3.建筑能耗综合值，是指在设定计算条件下，单位面积供暖、通风、空调、照明、生活热水、电梯的终端能耗量和可再生能源系统发电量，利用能源换算系数，统一换算到标准煤当量后，两者的差值</w:t>
      </w:r>
      <w:r>
        <w:rPr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325221B3"/>
    <w:rsid w:val="3252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80" w:lineRule="exact"/>
      <w:ind w:firstLine="200" w:firstLineChars="200"/>
      <w:jc w:val="both"/>
    </w:pPr>
    <w:rPr>
      <w:rFonts w:ascii="仿宋_GB2312" w:hAnsi="宋体" w:eastAsia="仿宋_GB2312" w:cstheme="minorBidi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99"/>
    <w:pPr>
      <w:widowControl w:val="0"/>
      <w:adjustRightInd w:val="0"/>
      <w:spacing w:line="420" w:lineRule="atLeast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2022-08-02T04:44:00Z</dcterms:created>
  <dc:creator>官网人工审稿窗口</dc:creator>
  <cp:lastModifiedBy>官网人工审稿窗口</cp:lastModifiedBy>
  <dcterms:modified xsi:type="dcterms:W3CDTF">2022-08-02T04:45:06Z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CE295B9C535C4EF5B67B9732D44D9F4E</vt:lpwstr>
  </property>
</Properties>
</file>