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雄安新区2020-2021年度哲学社会科学</w:t>
      </w:r>
    </w:p>
    <w:p>
      <w:pPr>
        <w:pStyle w:val="2"/>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课题结项情况</w:t>
      </w:r>
    </w:p>
    <w:p>
      <w:pPr>
        <w:pStyle w:val="3"/>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黑体" w:hAnsi="黑体" w:eastAsia="黑体" w:cs="黑体"/>
          <w:i w:val="0"/>
          <w:iCs w:val="0"/>
          <w:caps w:val="0"/>
          <w:color w:val="222222"/>
          <w:spacing w:val="0"/>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lang w:val="en-US" w:eastAsia="zh-CN"/>
        </w:rPr>
      </w:pPr>
      <w:r>
        <w:rPr>
          <w:rFonts w:hint="eastAsia" w:ascii="黑体" w:hAnsi="黑体" w:eastAsia="黑体" w:cs="黑体"/>
          <w:i w:val="0"/>
          <w:iCs w:val="0"/>
          <w:caps w:val="0"/>
          <w:color w:val="222222"/>
          <w:spacing w:val="0"/>
          <w:sz w:val="32"/>
          <w:szCs w:val="32"/>
          <w:lang w:val="en-US" w:eastAsia="zh-CN"/>
        </w:rPr>
        <w:t>准予结项</w:t>
      </w:r>
    </w:p>
    <w:tbl>
      <w:tblPr>
        <w:tblStyle w:val="5"/>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4395"/>
        <w:gridCol w:w="1740"/>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71" w:type="dxa"/>
            <w:vAlign w:val="center"/>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编号</w:t>
            </w:r>
          </w:p>
        </w:tc>
        <w:tc>
          <w:tcPr>
            <w:tcW w:w="4395" w:type="dxa"/>
            <w:vAlign w:val="center"/>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项目名称</w:t>
            </w:r>
          </w:p>
        </w:tc>
        <w:tc>
          <w:tcPr>
            <w:tcW w:w="1740" w:type="dxa"/>
            <w:vAlign w:val="center"/>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项目负责人</w:t>
            </w:r>
          </w:p>
        </w:tc>
        <w:tc>
          <w:tcPr>
            <w:tcW w:w="2250" w:type="dxa"/>
            <w:vAlign w:val="center"/>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雄安新区规划建设“人才特区”的总体设想与实施路径研究</w:t>
            </w:r>
          </w:p>
        </w:tc>
        <w:tc>
          <w:tcPr>
            <w:tcW w:w="174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周爱军</w:t>
            </w:r>
          </w:p>
        </w:tc>
        <w:tc>
          <w:tcPr>
            <w:tcW w:w="2250" w:type="dx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河北省社会</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非遗文化建构下的雄安新区品牌形象设计与品牌价值管理研究</w:t>
            </w:r>
          </w:p>
        </w:tc>
        <w:tc>
          <w:tcPr>
            <w:tcW w:w="174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赵小芳</w:t>
            </w:r>
          </w:p>
        </w:tc>
        <w:tc>
          <w:tcPr>
            <w:tcW w:w="2250" w:type="dx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河北经贸大学</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艺术学院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雄安新区打造海外高层次“人才特区”对策研究</w:t>
            </w:r>
          </w:p>
        </w:tc>
        <w:tc>
          <w:tcPr>
            <w:tcW w:w="174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刘振东</w:t>
            </w:r>
          </w:p>
        </w:tc>
        <w:tc>
          <w:tcPr>
            <w:tcW w:w="225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河北大学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基于“跨省通办”情境的京津冀政务服务一体化：机理、模式和路径</w:t>
            </w:r>
          </w:p>
        </w:tc>
        <w:tc>
          <w:tcPr>
            <w:tcW w:w="174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刘旭然</w:t>
            </w:r>
          </w:p>
        </w:tc>
        <w:tc>
          <w:tcPr>
            <w:tcW w:w="225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Style w:val="7"/>
                <w:rFonts w:hAnsi="宋体"/>
                <w:lang w:val="en-US" w:eastAsia="zh-CN" w:bidi="ar"/>
              </w:rPr>
              <w:t>中办</w:t>
            </w:r>
            <w:r>
              <w:rPr>
                <w:rStyle w:val="8"/>
                <w:rFonts w:hAnsi="宋体"/>
                <w:lang w:val="en-US" w:eastAsia="zh-CN" w:bidi="ar"/>
              </w:rPr>
              <w:t>电子科技学院管理系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基于新时代雄安精神的新区非物质文化遗产传承模式研究</w:t>
            </w:r>
          </w:p>
        </w:tc>
        <w:tc>
          <w:tcPr>
            <w:tcW w:w="174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赵建辉</w:t>
            </w:r>
          </w:p>
        </w:tc>
        <w:tc>
          <w:tcPr>
            <w:tcW w:w="225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河北师范大学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雄安新区城市资产运营体系与模式研究</w:t>
            </w:r>
          </w:p>
        </w:tc>
        <w:tc>
          <w:tcPr>
            <w:tcW w:w="174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徐小伟</w:t>
            </w:r>
          </w:p>
        </w:tc>
        <w:tc>
          <w:tcPr>
            <w:tcW w:w="225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雄安绿研智库有限公司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优化雄安新区管理体制运营机制问题研究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王佳宁</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重庆市智库发展</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基于区块链的雄安未来城市公共服务数据协同治理模式研究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刘海鸥</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雄安新区文明城市创建路径研究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王哲</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国家发展和改革委员会社会发展研究所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雄安新区共有产权房PPP+REITs融资模式研究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刘广平</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河北工业大学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1</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“大智链云”赋能下雄安未来城市治理体系设计研究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梁兴辉</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燕山大学经济管理学院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河北自贸试验区雄安片区建设金融创新先行区思路对策研究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聂晓伟</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雄安创新研究院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“廉洁雄安”评价指标体系构建研究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郭斌</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西北大学</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公共管理学院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人本理念下雄安新区基层精细化治理研究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李砚忠</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河北农业大学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15</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大数据和智能时代雄安新区应急管理体制机制研究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陈安</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中国科学院</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科技战略咨询研究院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16</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雄安新区家谱和家风家训文化的挖掘与建设对策研究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李艳双</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河北工业大学经济管理学院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17</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文旅融合视域下雄安城市公共空间建设研究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杨秀丹</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河北大学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8</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全球价值链视角下雄安新区新兴产业集聚机制与升级路径</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柳天恩</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河北经贸大学京津冀一体化发展协同创新中心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19</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雄安新区生态资产价值评估与生态补偿机制研究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王军</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河北农业大学</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经济管理学院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雄安新区现代化应急管理体系构建研究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郭子雪</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河北大学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21</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雄安新区防灾减灾救灾基层应急能力建设的研究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甘霏</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河北省应急管理科学研究院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22</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信息空间视角下雄安新区城乡融合发展路径与推进策略研究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王宁宁</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北京信息科技</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3</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需求导向的雄安新区“人才特区”多层次空间支持体系及其实施路径研究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钟晓华</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同济大学</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政治与国际关系学院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4</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面向智能城市与智慧服务的政府数据治理模式创新研究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顾天安</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东方文化与城市发展研究所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25</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韧性城市视域下雄安新区应对气候变化的路径与对策研究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李治宇</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河北经贸大学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26</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整体智治视域下雄安新区数字治理创新共同体的建构方略研究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李水金</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首都师范大学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7</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雄安新区综合执法改革及实践进路研究——基于市域治理现代化的视角</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梁平</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华北电力大学</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法政系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28</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构建“横向到边，纵向到底”的基层智慧党建体系研究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刘新圣</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河北工业大学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9</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基于大数据的雄安新区城市品牌提升策略研究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陈杰</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北京交通大学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0</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雄安新区营商环境提升研究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刘邦凡</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31</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智媒体背景下红色文化“主动服务”雄安新区智慧党建研究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魏晓光</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河北金融学院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32</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京雄两地通勤家庭及其社会支持研究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刘中一</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中国人口与发展</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3</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常态化疫情防控形势下雄安新区提升基层社会治理能力的路径研究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王俊杰</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中共河北省委</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党校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34</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雄安数字城市建设地方立法的理论探索</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刘春霖</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河北经贸大学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5</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新发展格局下雄安新区营商环境优化研究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马冉</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华北电力大学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36</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基于形象传播视域下的雄安新区城市公共空间导识系统研究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马晨莲</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河北大学</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新闻传播学院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37</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基于区块链技术的雄安新区金融监管体系研究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刘书霞</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河北科技师范</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38</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雄安新区家风家训文化挖掘保护与传承研究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商金芳</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中共河北省委</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党校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39</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治理体系和治理能力现代化视域下打造“雄安质量”全国样板研究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魏四海</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中共河北省委</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党校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40</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“双循环”新发展格局下雄安数字经济创新发展的策略与路径研究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严文杰</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河北省社科院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41</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雄安新区城乡融合发展路径研究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王卫东</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河北农业大学人文社会科学学院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42</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全球价值链视角下雄安新区高端高新产业集群建设影响因素与培育路径研究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张亚明</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43</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雄安新区的形象定位与传播</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李胜茹</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中共河北省委</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党校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44</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大数据背景下京津冀协同发展多维评估与路径优化</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任爱华</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河北金融学院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45</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新冠肺炎疫情冲击下雄安新区创新生态系统韧性治理策略研究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梁林</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河北工业大学经济管理学院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46</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雄安新区智能城市建设政策保障体系与开放型评估机制研究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任永菊</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天津商业大学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47</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区块链技术驱动下雄安新区产业园区劳动力供需信用体系构建研究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王丽媛</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河北经贸大学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8</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雄安新区生态环境损害评估与补偿机制研究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郭雪慧</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河北经贸大学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kern w:val="2"/>
                <w:sz w:val="32"/>
                <w:szCs w:val="32"/>
                <w:lang w:val="en-US" w:eastAsia="zh-CN" w:bidi="ar-SA"/>
              </w:rPr>
              <w:t>9</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河北自贸试验区雄安片区建设金融创新先行区思路对策研究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张晓明</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北京交通大学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w:t>
            </w:r>
            <w:r>
              <w:rPr>
                <w:rFonts w:hint="eastAsia" w:ascii="Times New Roman" w:hAnsi="Times New Roman" w:eastAsia="仿宋_GB2312" w:cs="Times New Roman"/>
                <w:kern w:val="2"/>
                <w:sz w:val="32"/>
                <w:szCs w:val="32"/>
                <w:lang w:val="en-US" w:eastAsia="zh-CN" w:bidi="ar-SA"/>
              </w:rPr>
              <w:t>0</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京津冀区域智慧政务跨界协同服务模型构建研究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迪莉娅</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燕山大学文法</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w:t>
            </w:r>
            <w:r>
              <w:rPr>
                <w:rFonts w:hint="eastAsia" w:ascii="Times New Roman" w:hAnsi="Times New Roman" w:eastAsia="仿宋_GB2312" w:cs="Times New Roman"/>
                <w:kern w:val="2"/>
                <w:sz w:val="32"/>
                <w:szCs w:val="32"/>
                <w:lang w:val="en-US" w:eastAsia="zh-CN" w:bidi="ar-SA"/>
              </w:rPr>
              <w:t>1</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双循环视角下雄安新区城乡融合发展的路径研究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回莹</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廊坊师范学院</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经管学院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52</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雄安新区文明城市创建路径研究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贾志科</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河北大学</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哲学与社会学</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w:t>
            </w:r>
            <w:r>
              <w:rPr>
                <w:rFonts w:hint="eastAsia" w:ascii="Times New Roman" w:hAnsi="Times New Roman" w:eastAsia="仿宋_GB2312" w:cs="Times New Roman"/>
                <w:kern w:val="2"/>
                <w:sz w:val="32"/>
                <w:szCs w:val="32"/>
                <w:lang w:val="en-US" w:eastAsia="zh-CN" w:bidi="ar-SA"/>
              </w:rPr>
              <w:t>3</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绿色金融、数字信用机制重构与雄安新区产业发展研究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刘</w:t>
            </w:r>
            <w:r>
              <w:rPr>
                <w:rFonts w:hint="eastAsia" w:ascii="宋体" w:hAnsi="宋体" w:eastAsia="宋体" w:cs="宋体"/>
                <w:i w:val="0"/>
                <w:iCs w:val="0"/>
                <w:color w:val="000000"/>
                <w:kern w:val="0"/>
                <w:sz w:val="28"/>
                <w:szCs w:val="28"/>
                <w:u w:val="none"/>
                <w:lang w:val="en-US" w:eastAsia="zh-CN" w:bidi="ar"/>
              </w:rPr>
              <w:t>濛</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河北金融学院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w:t>
            </w:r>
            <w:r>
              <w:rPr>
                <w:rFonts w:hint="eastAsia" w:ascii="Times New Roman" w:hAnsi="Times New Roman" w:eastAsia="仿宋_GB2312" w:cs="Times New Roman"/>
                <w:kern w:val="2"/>
                <w:sz w:val="32"/>
                <w:szCs w:val="32"/>
                <w:lang w:val="en-US" w:eastAsia="zh-CN" w:bidi="ar-SA"/>
              </w:rPr>
              <w:t>4</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基于产业链和创新链视角的雄安新区数字经济创新发展路径研究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李子彪</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河北工业大学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w:t>
            </w:r>
            <w:r>
              <w:rPr>
                <w:rFonts w:hint="eastAsia" w:ascii="Times New Roman" w:hAnsi="Times New Roman" w:eastAsia="仿宋_GB2312" w:cs="Times New Roman"/>
                <w:kern w:val="2"/>
                <w:sz w:val="32"/>
                <w:szCs w:val="32"/>
                <w:lang w:val="en-US" w:eastAsia="zh-CN" w:bidi="ar-SA"/>
              </w:rPr>
              <w:t>5</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雄安新区大数据资产管理体系构建研究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李大灿</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河北经贸大学社会治理研究所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w:t>
            </w:r>
            <w:r>
              <w:rPr>
                <w:rFonts w:hint="eastAsia" w:ascii="Times New Roman" w:hAnsi="Times New Roman" w:eastAsia="仿宋_GB2312" w:cs="Times New Roman"/>
                <w:kern w:val="2"/>
                <w:sz w:val="32"/>
                <w:szCs w:val="32"/>
                <w:lang w:val="en-US" w:eastAsia="zh-CN" w:bidi="ar-SA"/>
              </w:rPr>
              <w:t>6</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雄安自贸试验区：金融科技创新监管及其保障机制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裴桂芬</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河北大学经济学院/</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自贸试验区研究院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w:t>
            </w:r>
            <w:r>
              <w:rPr>
                <w:rFonts w:hint="eastAsia" w:ascii="Times New Roman" w:hAnsi="Times New Roman" w:eastAsia="仿宋_GB2312" w:cs="Times New Roman"/>
                <w:kern w:val="2"/>
                <w:sz w:val="32"/>
                <w:szCs w:val="32"/>
                <w:lang w:val="en-US" w:eastAsia="zh-CN" w:bidi="ar-SA"/>
              </w:rPr>
              <w:t>7</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雄安新区投融资模式创新对策研究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阚景阳</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中共河北省委</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党校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w:t>
            </w:r>
            <w:r>
              <w:rPr>
                <w:rFonts w:hint="eastAsia" w:ascii="Times New Roman" w:hAnsi="Times New Roman" w:eastAsia="仿宋_GB2312" w:cs="Times New Roman"/>
                <w:kern w:val="2"/>
                <w:sz w:val="32"/>
                <w:szCs w:val="32"/>
                <w:lang w:val="en-US" w:eastAsia="zh-CN" w:bidi="ar-SA"/>
              </w:rPr>
              <w:t>8</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数据融通趋势下雄安新区市场监管创新机制研究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石翠仙</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中共河北省委</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bookmarkStart w:id="0" w:name="_GoBack"/>
            <w:bookmarkEnd w:id="0"/>
            <w:r>
              <w:rPr>
                <w:rFonts w:hint="default" w:ascii="仿宋_GB2312" w:hAnsi="宋体" w:eastAsia="仿宋_GB2312" w:cs="仿宋_GB2312"/>
                <w:i w:val="0"/>
                <w:iCs w:val="0"/>
                <w:color w:val="000000"/>
                <w:kern w:val="0"/>
                <w:sz w:val="28"/>
                <w:szCs w:val="28"/>
                <w:u w:val="none"/>
                <w:lang w:val="en-US" w:eastAsia="zh-CN" w:bidi="ar"/>
              </w:rPr>
              <w:t>党校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w:t>
            </w:r>
            <w:r>
              <w:rPr>
                <w:rFonts w:hint="eastAsia" w:ascii="Times New Roman" w:hAnsi="Times New Roman" w:eastAsia="仿宋_GB2312" w:cs="Times New Roman"/>
                <w:kern w:val="2"/>
                <w:sz w:val="32"/>
                <w:szCs w:val="32"/>
                <w:lang w:val="en-US" w:eastAsia="zh-CN" w:bidi="ar-SA"/>
              </w:rPr>
              <w:t>9</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雄安新区政务数据资产管理体系构建研究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杨俊峰</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河北经贸大学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60</w:t>
            </w:r>
          </w:p>
        </w:tc>
        <w:tc>
          <w:tcPr>
            <w:tcW w:w="439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白洋淀全流域生态环境与土地利用协同可持续发展研究</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柏兆海</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中国科学院遗传与发育生物学研究所农业资源研究中心</w:t>
            </w:r>
          </w:p>
        </w:tc>
      </w:tr>
    </w:tbl>
    <w:p>
      <w:pPr>
        <w:rPr>
          <w:rFonts w:hint="eastAsia"/>
          <w:lang w:val="en-US" w:eastAsia="zh-CN"/>
        </w:rPr>
      </w:pPr>
    </w:p>
    <w:p>
      <w:pPr>
        <w:rPr>
          <w:rFonts w:hint="eastAsia"/>
          <w:lang w:val="en-US" w:eastAsia="zh-CN"/>
        </w:rPr>
      </w:pPr>
    </w:p>
    <w:p>
      <w:pPr>
        <w:rPr>
          <w:rFonts w:hint="eastAsia"/>
          <w:lang w:val="en-US" w:eastAsia="zh-CN"/>
        </w:rPr>
      </w:pPr>
    </w:p>
    <w:p>
      <w:pPr>
        <w:rPr>
          <w:rFonts w:hint="default"/>
          <w:lang w:val="en-US" w:eastAsia="zh-CN"/>
        </w:rPr>
      </w:pPr>
    </w:p>
    <w:p/>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335346"/>
    <w:rsid w:val="259E42CB"/>
    <w:rsid w:val="30335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cs="Courier New"/>
      <w:szCs w:val="21"/>
    </w:rPr>
  </w:style>
  <w:style w:type="paragraph" w:styleId="3">
    <w:name w:val="index 9"/>
    <w:basedOn w:val="1"/>
    <w:next w:val="1"/>
    <w:qFormat/>
    <w:uiPriority w:val="0"/>
    <w:pPr>
      <w:ind w:left="3360"/>
    </w:pPr>
    <w:rPr>
      <w:rFonts w:ascii="Calibri" w:hAnsi="Calibri" w:cs="等线"/>
      <w:szCs w:val="21"/>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21"/>
    <w:basedOn w:val="6"/>
    <w:qFormat/>
    <w:uiPriority w:val="0"/>
    <w:rPr>
      <w:rFonts w:hint="default" w:ascii="仿宋_GB2312" w:eastAsia="仿宋_GB2312" w:cs="仿宋_GB2312"/>
      <w:color w:val="000000"/>
      <w:sz w:val="28"/>
      <w:szCs w:val="28"/>
      <w:u w:val="none"/>
    </w:rPr>
  </w:style>
  <w:style w:type="character" w:customStyle="1" w:styleId="8">
    <w:name w:val="font31"/>
    <w:basedOn w:val="6"/>
    <w:qFormat/>
    <w:uiPriority w:val="0"/>
    <w:rPr>
      <w:rFonts w:hint="default"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2022-01-05T01:10:00Z</dcterms:created>
  <dc:creator>Administrator</dc:creator>
  <cp:lastModifiedBy>Administrator</cp:lastModifiedBy>
  <dcterms:modified xsi:type="dcterms:W3CDTF">2022-01-05T01:16:07Z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7C3E9E3C339C40F59CEC76CFFCB3D114</vt:lpwstr>
  </property>
</Properties>
</file>