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8"/>
        <w:spacing w:line="592" w:lineRule="exact"/>
        <w:jc w:val="left"/>
        <w:rPr>
          <w:rFonts w:hint="eastAsia" w:ascii="黑体" w:hAnsi="黑体" w:eastAsia="黑体" w:cs="黑体"/>
          <w:b/>
          <w:bCs/>
          <w:sz w:val="32"/>
          <w:szCs w:val="32"/>
          <w:lang w:val="en-US" w:eastAsia="zh-CN"/>
        </w:rPr>
      </w:pPr>
    </w:p>
    <w:p>
      <w:pPr>
        <w:pStyle w:val="50"/>
        <w:spacing w:line="592" w:lineRule="exact"/>
        <w:ind w:firstLine="240"/>
        <w:rPr>
          <w:color w:val="000000"/>
          <w:sz w:val="24"/>
        </w:rPr>
      </w:pPr>
    </w:p>
    <w:p>
      <w:pPr>
        <w:pStyle w:val="50"/>
        <w:spacing w:line="592" w:lineRule="exact"/>
        <w:ind w:firstLine="240"/>
        <w:rPr>
          <w:color w:val="000000"/>
          <w:sz w:val="24"/>
        </w:rPr>
      </w:pPr>
    </w:p>
    <w:p>
      <w:pPr>
        <w:pStyle w:val="50"/>
        <w:spacing w:line="592" w:lineRule="exact"/>
        <w:ind w:firstLine="240"/>
        <w:rPr>
          <w:color w:val="000000"/>
          <w:sz w:val="24"/>
        </w:rPr>
      </w:pPr>
    </w:p>
    <w:p>
      <w:pPr>
        <w:pStyle w:val="50"/>
        <w:spacing w:line="592" w:lineRule="exact"/>
        <w:ind w:firstLine="240"/>
        <w:rPr>
          <w:color w:val="000000"/>
          <w:sz w:val="24"/>
        </w:rPr>
      </w:pPr>
    </w:p>
    <w:p>
      <w:pPr>
        <w:pStyle w:val="50"/>
        <w:spacing w:line="592" w:lineRule="exact"/>
        <w:ind w:firstLine="240"/>
        <w:rPr>
          <w:color w:val="000000"/>
          <w:sz w:val="24"/>
        </w:rPr>
      </w:pPr>
    </w:p>
    <w:p>
      <w:pPr>
        <w:spacing w:line="59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河北雄安新区充换电设施建设运营技术规范</w:t>
      </w:r>
    </w:p>
    <w:p>
      <w:pPr>
        <w:spacing w:line="590" w:lineRule="exact"/>
        <w:jc w:val="center"/>
        <w:rPr>
          <w:rFonts w:eastAsia="方正小标宋简体"/>
          <w:color w:val="000000"/>
          <w:sz w:val="44"/>
          <w:szCs w:val="44"/>
        </w:rPr>
      </w:pPr>
      <w:r>
        <w:rPr>
          <w:rFonts w:hint="eastAsia" w:ascii="方正小标宋_GBK" w:hAnsi="方正小标宋_GBK" w:eastAsia="方正小标宋_GBK" w:cs="方正小标宋_GBK"/>
          <w:color w:val="000000"/>
          <w:sz w:val="44"/>
          <w:szCs w:val="44"/>
          <w:lang w:eastAsia="zh-CN"/>
        </w:rPr>
        <w:t>（</w:t>
      </w:r>
      <w:r>
        <w:rPr>
          <w:rFonts w:hint="eastAsia" w:ascii="方正小标宋_GBK" w:hAnsi="方正小标宋_GBK" w:eastAsia="方正小标宋_GBK" w:cs="方正小标宋_GBK"/>
          <w:color w:val="000000"/>
          <w:sz w:val="44"/>
          <w:szCs w:val="44"/>
        </w:rPr>
        <w:t>试行</w:t>
      </w:r>
      <w:r>
        <w:rPr>
          <w:rFonts w:hint="eastAsia" w:ascii="方正小标宋_GBK" w:hAnsi="方正小标宋_GBK" w:eastAsia="方正小标宋_GBK" w:cs="方正小标宋_GBK"/>
          <w:color w:val="000000"/>
          <w:sz w:val="44"/>
          <w:szCs w:val="44"/>
          <w:lang w:eastAsia="zh-CN"/>
        </w:rPr>
        <w:t>）</w:t>
      </w:r>
    </w:p>
    <w:p>
      <w:pPr>
        <w:spacing w:line="592" w:lineRule="exact"/>
        <w:jc w:val="center"/>
        <w:rPr>
          <w:rFonts w:eastAsia="方正小标宋简体"/>
          <w:color w:val="000000"/>
          <w:sz w:val="44"/>
          <w:szCs w:val="44"/>
        </w:rPr>
      </w:pPr>
    </w:p>
    <w:p>
      <w:pPr>
        <w:spacing w:line="592" w:lineRule="exact"/>
        <w:jc w:val="center"/>
        <w:rPr>
          <w:rFonts w:eastAsia="方正小标宋简体"/>
          <w:color w:val="000000"/>
          <w:sz w:val="44"/>
          <w:szCs w:val="44"/>
        </w:rPr>
      </w:pPr>
    </w:p>
    <w:p>
      <w:pPr>
        <w:spacing w:line="592" w:lineRule="exact"/>
        <w:jc w:val="center"/>
        <w:rPr>
          <w:rFonts w:eastAsia="方正小标宋简体"/>
          <w:color w:val="000000"/>
          <w:sz w:val="44"/>
          <w:szCs w:val="44"/>
        </w:rPr>
      </w:pPr>
    </w:p>
    <w:p>
      <w:pPr>
        <w:spacing w:line="592" w:lineRule="exact"/>
        <w:jc w:val="center"/>
        <w:rPr>
          <w:rFonts w:eastAsia="方正小标宋简体"/>
          <w:color w:val="000000"/>
          <w:sz w:val="44"/>
          <w:szCs w:val="44"/>
        </w:rPr>
      </w:pPr>
    </w:p>
    <w:p>
      <w:pPr>
        <w:spacing w:line="592" w:lineRule="exact"/>
        <w:jc w:val="center"/>
        <w:rPr>
          <w:rFonts w:eastAsia="方正小标宋简体"/>
          <w:color w:val="000000"/>
          <w:sz w:val="44"/>
          <w:szCs w:val="44"/>
        </w:rPr>
      </w:pPr>
    </w:p>
    <w:p>
      <w:pPr>
        <w:spacing w:line="592" w:lineRule="exact"/>
        <w:jc w:val="center"/>
        <w:rPr>
          <w:rFonts w:eastAsia="方正小标宋简体"/>
          <w:color w:val="000000"/>
          <w:sz w:val="44"/>
          <w:szCs w:val="44"/>
        </w:rPr>
      </w:pPr>
    </w:p>
    <w:p>
      <w:pPr>
        <w:spacing w:line="592" w:lineRule="exact"/>
        <w:jc w:val="center"/>
        <w:rPr>
          <w:rFonts w:eastAsia="方正小标宋简体"/>
          <w:color w:val="000000"/>
          <w:sz w:val="44"/>
          <w:szCs w:val="44"/>
        </w:rPr>
      </w:pPr>
    </w:p>
    <w:p>
      <w:pPr>
        <w:spacing w:line="592" w:lineRule="exact"/>
        <w:jc w:val="center"/>
        <w:rPr>
          <w:rFonts w:eastAsia="方正小标宋简体"/>
          <w:color w:val="000000"/>
          <w:sz w:val="44"/>
          <w:szCs w:val="44"/>
        </w:rPr>
      </w:pPr>
    </w:p>
    <w:p>
      <w:pPr>
        <w:spacing w:line="592" w:lineRule="exact"/>
        <w:jc w:val="center"/>
        <w:rPr>
          <w:rFonts w:eastAsia="方正小标宋简体"/>
          <w:color w:val="000000"/>
          <w:sz w:val="44"/>
          <w:szCs w:val="44"/>
        </w:rPr>
      </w:pPr>
    </w:p>
    <w:p>
      <w:pPr>
        <w:spacing w:line="592" w:lineRule="exact"/>
        <w:jc w:val="center"/>
        <w:rPr>
          <w:rFonts w:eastAsia="方正小标宋简体"/>
          <w:color w:val="000000"/>
          <w:sz w:val="44"/>
          <w:szCs w:val="44"/>
        </w:rPr>
      </w:pPr>
    </w:p>
    <w:p>
      <w:pPr>
        <w:spacing w:line="592" w:lineRule="exact"/>
        <w:jc w:val="center"/>
        <w:rPr>
          <w:rFonts w:eastAsia="方正小标宋简体"/>
          <w:color w:val="000000"/>
          <w:sz w:val="44"/>
          <w:szCs w:val="44"/>
        </w:rPr>
      </w:pPr>
    </w:p>
    <w:p>
      <w:pPr>
        <w:spacing w:line="592" w:lineRule="exact"/>
        <w:jc w:val="center"/>
        <w:rPr>
          <w:rFonts w:eastAsia="方正小标宋简体"/>
          <w:color w:val="000000"/>
          <w:sz w:val="44"/>
          <w:szCs w:val="44"/>
        </w:rPr>
      </w:pPr>
    </w:p>
    <w:p>
      <w:pPr>
        <w:spacing w:line="592" w:lineRule="exact"/>
        <w:jc w:val="center"/>
        <w:rPr>
          <w:rFonts w:eastAsia="方正小标宋简体"/>
          <w:color w:val="000000"/>
          <w:sz w:val="44"/>
          <w:szCs w:val="44"/>
        </w:rPr>
      </w:pPr>
    </w:p>
    <w:p>
      <w:pPr>
        <w:spacing w:line="592" w:lineRule="exact"/>
        <w:jc w:val="center"/>
        <w:rPr>
          <w:rFonts w:eastAsia="方正小标宋简体"/>
          <w:color w:val="000000"/>
          <w:sz w:val="44"/>
          <w:szCs w:val="44"/>
        </w:rPr>
      </w:pPr>
      <w:r>
        <w:rPr>
          <w:rFonts w:eastAsia="方正小标宋简体"/>
          <w:color w:val="000000"/>
          <w:sz w:val="44"/>
          <w:szCs w:val="44"/>
        </w:rPr>
        <w:t>目  录</w:t>
      </w:r>
    </w:p>
    <w:p>
      <w:pPr>
        <w:pStyle w:val="33"/>
        <w:tabs>
          <w:tab w:val="right" w:leader="middleDot" w:pos="8834"/>
        </w:tabs>
        <w:spacing w:before="0" w:beforeLines="0" w:after="0" w:afterLines="0" w:line="590" w:lineRule="exact"/>
        <w:rPr>
          <w:bCs/>
          <w:color w:val="000000"/>
          <w:sz w:val="24"/>
        </w:rPr>
      </w:pPr>
    </w:p>
    <w:p>
      <w:pPr>
        <w:pStyle w:val="33"/>
        <w:spacing w:before="0" w:beforeLines="0" w:after="0" w:afterLines="0" w:line="590" w:lineRule="exact"/>
        <w:rPr>
          <w:rStyle w:val="60"/>
          <w:rFonts w:ascii="黑体" w:hAnsi="黑体" w:eastAsia="黑体"/>
          <w:sz w:val="32"/>
          <w:szCs w:val="32"/>
        </w:rPr>
      </w:pPr>
      <w:r>
        <w:rPr>
          <w:bCs/>
          <w:color w:val="000000"/>
          <w:sz w:val="24"/>
        </w:rPr>
        <w:fldChar w:fldCharType="begin"/>
      </w:r>
      <w:r>
        <w:rPr>
          <w:bCs/>
          <w:color w:val="000000"/>
          <w:sz w:val="24"/>
        </w:rPr>
        <w:instrText xml:space="preserve"> TOC \o "1-2" \h \z \u </w:instrText>
      </w:r>
      <w:r>
        <w:rPr>
          <w:bCs/>
          <w:color w:val="000000"/>
          <w:sz w:val="24"/>
        </w:rPr>
        <w:fldChar w:fldCharType="separate"/>
      </w:r>
      <w:r>
        <w:fldChar w:fldCharType="begin"/>
      </w:r>
      <w:r>
        <w:instrText xml:space="preserve"> HYPERLINK \l "_Toc78835290" </w:instrText>
      </w:r>
      <w:r>
        <w:fldChar w:fldCharType="separate"/>
      </w:r>
      <w:r>
        <w:rPr>
          <w:rStyle w:val="60"/>
          <w:rFonts w:hint="eastAsia" w:ascii="黑体" w:hAnsi="黑体" w:eastAsia="黑体"/>
          <w:sz w:val="32"/>
          <w:szCs w:val="32"/>
        </w:rPr>
        <w:t>一、范围</w:t>
      </w:r>
      <w:r>
        <w:rPr>
          <w:rStyle w:val="60"/>
          <w:rFonts w:ascii="黑体" w:hAnsi="黑体" w:eastAsia="黑体"/>
          <w:sz w:val="32"/>
          <w:szCs w:val="32"/>
        </w:rPr>
        <w:tab/>
      </w:r>
      <w:r>
        <w:rPr>
          <w:rStyle w:val="60"/>
          <w:rFonts w:ascii="Times New Roman" w:eastAsia="黑体"/>
          <w:sz w:val="32"/>
          <w:szCs w:val="32"/>
        </w:rPr>
        <w:fldChar w:fldCharType="begin"/>
      </w:r>
      <w:r>
        <w:rPr>
          <w:rStyle w:val="60"/>
          <w:rFonts w:ascii="Times New Roman" w:eastAsia="黑体"/>
          <w:sz w:val="32"/>
          <w:szCs w:val="32"/>
        </w:rPr>
        <w:instrText xml:space="preserve"> PAGEREF _Toc78835290 \h </w:instrText>
      </w:r>
      <w:r>
        <w:rPr>
          <w:rStyle w:val="60"/>
          <w:rFonts w:ascii="Times New Roman" w:eastAsia="黑体"/>
          <w:sz w:val="32"/>
          <w:szCs w:val="32"/>
        </w:rPr>
        <w:fldChar w:fldCharType="separate"/>
      </w:r>
      <w:r>
        <w:rPr>
          <w:rStyle w:val="60"/>
          <w:rFonts w:ascii="Times New Roman" w:eastAsia="黑体"/>
          <w:sz w:val="32"/>
          <w:szCs w:val="32"/>
        </w:rPr>
        <w:t>1</w:t>
      </w:r>
      <w:r>
        <w:rPr>
          <w:rStyle w:val="60"/>
          <w:rFonts w:ascii="Times New Roman" w:eastAsia="黑体"/>
          <w:sz w:val="32"/>
          <w:szCs w:val="32"/>
        </w:rPr>
        <w:fldChar w:fldCharType="end"/>
      </w:r>
      <w:r>
        <w:rPr>
          <w:rStyle w:val="60"/>
          <w:rFonts w:ascii="Times New Roman" w:eastAsia="黑体"/>
          <w:sz w:val="32"/>
          <w:szCs w:val="32"/>
        </w:rPr>
        <w:fldChar w:fldCharType="end"/>
      </w:r>
    </w:p>
    <w:p>
      <w:pPr>
        <w:pStyle w:val="33"/>
        <w:spacing w:before="0" w:beforeLines="0" w:after="0" w:afterLines="0" w:line="590" w:lineRule="exact"/>
        <w:rPr>
          <w:rStyle w:val="60"/>
          <w:szCs w:val="32"/>
        </w:rPr>
      </w:pPr>
      <w:r>
        <w:fldChar w:fldCharType="begin"/>
      </w:r>
      <w:r>
        <w:instrText xml:space="preserve"> HYPERLINK \l "_Toc78835291" </w:instrText>
      </w:r>
      <w:r>
        <w:fldChar w:fldCharType="separate"/>
      </w:r>
      <w:r>
        <w:rPr>
          <w:rStyle w:val="60"/>
          <w:rFonts w:hint="eastAsia" w:ascii="黑体" w:hAnsi="黑体" w:eastAsia="黑体"/>
          <w:sz w:val="32"/>
          <w:szCs w:val="32"/>
        </w:rPr>
        <w:t>二、规范性引用文件</w:t>
      </w:r>
      <w:r>
        <w:rPr>
          <w:rStyle w:val="60"/>
          <w:rFonts w:ascii="黑体" w:hAnsi="黑体" w:eastAsia="黑体"/>
          <w:sz w:val="32"/>
          <w:szCs w:val="32"/>
        </w:rPr>
        <w:tab/>
      </w:r>
      <w:r>
        <w:rPr>
          <w:rStyle w:val="60"/>
          <w:rFonts w:ascii="Times New Roman" w:eastAsia="黑体"/>
          <w:sz w:val="32"/>
          <w:szCs w:val="32"/>
        </w:rPr>
        <w:fldChar w:fldCharType="begin"/>
      </w:r>
      <w:r>
        <w:rPr>
          <w:rStyle w:val="60"/>
          <w:rFonts w:ascii="Times New Roman" w:eastAsia="黑体"/>
          <w:sz w:val="32"/>
          <w:szCs w:val="32"/>
        </w:rPr>
        <w:instrText xml:space="preserve"> PAGEREF _Toc78835291 \h </w:instrText>
      </w:r>
      <w:r>
        <w:rPr>
          <w:rStyle w:val="60"/>
          <w:rFonts w:ascii="Times New Roman" w:eastAsia="黑体"/>
          <w:sz w:val="32"/>
          <w:szCs w:val="32"/>
        </w:rPr>
        <w:fldChar w:fldCharType="separate"/>
      </w:r>
      <w:r>
        <w:rPr>
          <w:rStyle w:val="60"/>
          <w:rFonts w:ascii="Times New Roman" w:eastAsia="黑体"/>
          <w:sz w:val="32"/>
          <w:szCs w:val="32"/>
        </w:rPr>
        <w:t>1</w:t>
      </w:r>
      <w:r>
        <w:rPr>
          <w:rStyle w:val="60"/>
          <w:rFonts w:ascii="Times New Roman" w:eastAsia="黑体"/>
          <w:sz w:val="32"/>
          <w:szCs w:val="32"/>
        </w:rPr>
        <w:fldChar w:fldCharType="end"/>
      </w:r>
      <w:r>
        <w:rPr>
          <w:rStyle w:val="60"/>
          <w:rFonts w:ascii="Times New Roman" w:eastAsia="黑体"/>
          <w:sz w:val="32"/>
          <w:szCs w:val="32"/>
        </w:rPr>
        <w:fldChar w:fldCharType="end"/>
      </w:r>
    </w:p>
    <w:p>
      <w:pPr>
        <w:pStyle w:val="33"/>
        <w:spacing w:before="0" w:beforeLines="0" w:after="0" w:afterLines="0" w:line="590" w:lineRule="exact"/>
        <w:rPr>
          <w:rStyle w:val="60"/>
          <w:rFonts w:ascii="黑体" w:hAnsi="黑体" w:eastAsia="黑体"/>
          <w:sz w:val="32"/>
          <w:szCs w:val="32"/>
        </w:rPr>
      </w:pPr>
      <w:r>
        <w:fldChar w:fldCharType="begin"/>
      </w:r>
      <w:r>
        <w:instrText xml:space="preserve"> HYPERLINK \l "_Toc78835292" </w:instrText>
      </w:r>
      <w:r>
        <w:fldChar w:fldCharType="separate"/>
      </w:r>
      <w:r>
        <w:rPr>
          <w:rStyle w:val="60"/>
          <w:rFonts w:hint="eastAsia" w:ascii="黑体" w:hAnsi="黑体" w:eastAsia="黑体"/>
          <w:sz w:val="32"/>
          <w:szCs w:val="32"/>
        </w:rPr>
        <w:t>三、术语和定义</w:t>
      </w:r>
      <w:r>
        <w:rPr>
          <w:rStyle w:val="60"/>
          <w:rFonts w:ascii="黑体" w:hAnsi="黑体" w:eastAsia="黑体"/>
          <w:sz w:val="32"/>
          <w:szCs w:val="32"/>
        </w:rPr>
        <w:tab/>
      </w:r>
      <w:r>
        <w:rPr>
          <w:rStyle w:val="60"/>
          <w:rFonts w:ascii="Times New Roman" w:eastAsia="黑体"/>
          <w:sz w:val="32"/>
          <w:szCs w:val="32"/>
        </w:rPr>
        <w:fldChar w:fldCharType="begin"/>
      </w:r>
      <w:r>
        <w:rPr>
          <w:rStyle w:val="60"/>
          <w:rFonts w:ascii="Times New Roman" w:eastAsia="黑体"/>
          <w:sz w:val="32"/>
          <w:szCs w:val="32"/>
        </w:rPr>
        <w:instrText xml:space="preserve"> PAGEREF _Toc78835292 \h </w:instrText>
      </w:r>
      <w:r>
        <w:rPr>
          <w:rStyle w:val="60"/>
          <w:rFonts w:ascii="Times New Roman" w:eastAsia="黑体"/>
          <w:sz w:val="32"/>
          <w:szCs w:val="32"/>
        </w:rPr>
        <w:fldChar w:fldCharType="separate"/>
      </w:r>
      <w:r>
        <w:rPr>
          <w:rStyle w:val="60"/>
          <w:rFonts w:ascii="Times New Roman" w:eastAsia="黑体"/>
          <w:sz w:val="32"/>
          <w:szCs w:val="32"/>
        </w:rPr>
        <w:t>3</w:t>
      </w:r>
      <w:r>
        <w:rPr>
          <w:rStyle w:val="60"/>
          <w:rFonts w:ascii="Times New Roman" w:eastAsia="黑体"/>
          <w:sz w:val="32"/>
          <w:szCs w:val="32"/>
        </w:rPr>
        <w:fldChar w:fldCharType="end"/>
      </w:r>
      <w:r>
        <w:rPr>
          <w:rStyle w:val="60"/>
          <w:rFonts w:ascii="Times New Roman" w:eastAsia="黑体"/>
          <w:sz w:val="32"/>
          <w:szCs w:val="32"/>
        </w:rPr>
        <w:fldChar w:fldCharType="end"/>
      </w:r>
    </w:p>
    <w:p>
      <w:pPr>
        <w:pStyle w:val="33"/>
        <w:spacing w:before="0" w:beforeLines="0" w:after="0" w:afterLines="0" w:line="590" w:lineRule="exact"/>
        <w:rPr>
          <w:rStyle w:val="60"/>
          <w:rFonts w:ascii="黑体" w:hAnsi="黑体" w:eastAsia="黑体"/>
          <w:sz w:val="32"/>
          <w:szCs w:val="32"/>
        </w:rPr>
      </w:pPr>
      <w:r>
        <w:fldChar w:fldCharType="begin"/>
      </w:r>
      <w:r>
        <w:instrText xml:space="preserve"> HYPERLINK \l "_Toc78835293" </w:instrText>
      </w:r>
      <w:r>
        <w:fldChar w:fldCharType="separate"/>
      </w:r>
      <w:r>
        <w:rPr>
          <w:rStyle w:val="60"/>
          <w:rFonts w:hint="eastAsia" w:ascii="黑体" w:hAnsi="黑体" w:eastAsia="黑体"/>
          <w:sz w:val="32"/>
          <w:szCs w:val="32"/>
        </w:rPr>
        <w:t>四、充电设施及充电平台通用技术要求</w:t>
      </w:r>
      <w:r>
        <w:rPr>
          <w:rStyle w:val="60"/>
          <w:rFonts w:ascii="黑体" w:hAnsi="黑体" w:eastAsia="黑体"/>
          <w:sz w:val="32"/>
          <w:szCs w:val="32"/>
        </w:rPr>
        <w:tab/>
      </w:r>
      <w:r>
        <w:rPr>
          <w:rStyle w:val="60"/>
          <w:rFonts w:ascii="Times New Roman" w:eastAsia="黑体"/>
          <w:sz w:val="32"/>
          <w:szCs w:val="32"/>
        </w:rPr>
        <w:fldChar w:fldCharType="begin"/>
      </w:r>
      <w:r>
        <w:rPr>
          <w:rStyle w:val="60"/>
          <w:rFonts w:ascii="Times New Roman" w:eastAsia="黑体"/>
          <w:sz w:val="32"/>
          <w:szCs w:val="32"/>
        </w:rPr>
        <w:instrText xml:space="preserve"> PAGEREF _Toc78835293 \h </w:instrText>
      </w:r>
      <w:r>
        <w:rPr>
          <w:rStyle w:val="60"/>
          <w:rFonts w:ascii="Times New Roman" w:eastAsia="黑体"/>
          <w:sz w:val="32"/>
          <w:szCs w:val="32"/>
        </w:rPr>
        <w:fldChar w:fldCharType="separate"/>
      </w:r>
      <w:r>
        <w:rPr>
          <w:rStyle w:val="60"/>
          <w:rFonts w:ascii="Times New Roman" w:eastAsia="黑体"/>
          <w:sz w:val="32"/>
          <w:szCs w:val="32"/>
        </w:rPr>
        <w:t>5</w:t>
      </w:r>
      <w:r>
        <w:rPr>
          <w:rStyle w:val="60"/>
          <w:rFonts w:ascii="Times New Roman" w:eastAsia="黑体"/>
          <w:sz w:val="32"/>
          <w:szCs w:val="32"/>
        </w:rPr>
        <w:fldChar w:fldCharType="end"/>
      </w:r>
      <w:r>
        <w:rPr>
          <w:rStyle w:val="60"/>
          <w:rFonts w:ascii="Times New Roman" w:eastAsia="黑体"/>
          <w:sz w:val="32"/>
          <w:szCs w:val="32"/>
        </w:rPr>
        <w:fldChar w:fldCharType="end"/>
      </w:r>
    </w:p>
    <w:p>
      <w:pPr>
        <w:pStyle w:val="33"/>
        <w:spacing w:before="0" w:beforeLines="0" w:after="0" w:afterLines="0" w:line="590" w:lineRule="exact"/>
        <w:ind w:firstLine="315" w:firstLineChars="150"/>
        <w:rPr>
          <w:rStyle w:val="60"/>
          <w:rFonts w:ascii="楷体_GB2312" w:hAnsi="黑体" w:eastAsia="楷体_GB2312"/>
          <w:sz w:val="32"/>
          <w:szCs w:val="32"/>
        </w:rPr>
      </w:pPr>
      <w:r>
        <w:fldChar w:fldCharType="begin"/>
      </w:r>
      <w:r>
        <w:instrText xml:space="preserve"> HYPERLINK \l "_Toc78835294" </w:instrText>
      </w:r>
      <w:r>
        <w:fldChar w:fldCharType="separate"/>
      </w:r>
      <w:r>
        <w:rPr>
          <w:rStyle w:val="60"/>
          <w:rFonts w:hint="eastAsia" w:ascii="楷体_GB2312" w:hAnsi="黑体" w:eastAsia="楷体_GB2312"/>
          <w:sz w:val="32"/>
          <w:szCs w:val="32"/>
        </w:rPr>
        <w:t>（一）充电站和充电站本体</w:t>
      </w:r>
      <w:r>
        <w:rPr>
          <w:rStyle w:val="60"/>
          <w:rFonts w:hint="eastAsia" w:ascii="楷体_GB2312" w:hAnsi="黑体" w:eastAsia="楷体_GB2312"/>
          <w:sz w:val="32"/>
          <w:szCs w:val="32"/>
        </w:rPr>
        <w:tab/>
      </w:r>
      <w:r>
        <w:rPr>
          <w:rStyle w:val="60"/>
          <w:rFonts w:hint="eastAsia" w:ascii="楷体_GB2312" w:hAnsi="黑体" w:eastAsia="楷体_GB2312"/>
          <w:sz w:val="32"/>
          <w:szCs w:val="32"/>
        </w:rPr>
        <w:t xml:space="preserve"> </w:t>
      </w:r>
      <w:r>
        <w:rPr>
          <w:rStyle w:val="60"/>
          <w:rFonts w:ascii="Times New Roman" w:eastAsia="楷体_GB2312"/>
          <w:sz w:val="32"/>
          <w:szCs w:val="32"/>
        </w:rPr>
        <w:fldChar w:fldCharType="begin"/>
      </w:r>
      <w:r>
        <w:rPr>
          <w:rStyle w:val="60"/>
          <w:rFonts w:ascii="Times New Roman" w:eastAsia="楷体_GB2312"/>
          <w:sz w:val="32"/>
          <w:szCs w:val="32"/>
        </w:rPr>
        <w:instrText xml:space="preserve"> PAGEREF _Toc78835294 \h </w:instrText>
      </w:r>
      <w:r>
        <w:rPr>
          <w:rStyle w:val="60"/>
          <w:rFonts w:ascii="Times New Roman" w:eastAsia="楷体_GB2312"/>
          <w:sz w:val="32"/>
          <w:szCs w:val="32"/>
        </w:rPr>
        <w:fldChar w:fldCharType="separate"/>
      </w:r>
      <w:r>
        <w:rPr>
          <w:rStyle w:val="60"/>
          <w:rFonts w:ascii="Times New Roman" w:eastAsia="楷体_GB2312"/>
          <w:sz w:val="32"/>
          <w:szCs w:val="32"/>
        </w:rPr>
        <w:t>5</w:t>
      </w:r>
      <w:r>
        <w:rPr>
          <w:rStyle w:val="60"/>
          <w:rFonts w:ascii="Times New Roman" w:eastAsia="楷体_GB2312"/>
          <w:sz w:val="32"/>
          <w:szCs w:val="32"/>
        </w:rPr>
        <w:fldChar w:fldCharType="end"/>
      </w:r>
      <w:r>
        <w:rPr>
          <w:rStyle w:val="60"/>
          <w:rFonts w:ascii="Times New Roman" w:eastAsia="楷体_GB2312"/>
          <w:sz w:val="32"/>
          <w:szCs w:val="32"/>
        </w:rPr>
        <w:fldChar w:fldCharType="end"/>
      </w:r>
    </w:p>
    <w:p>
      <w:pPr>
        <w:pStyle w:val="33"/>
        <w:spacing w:before="0" w:beforeLines="0" w:after="0" w:afterLines="0" w:line="590" w:lineRule="exact"/>
        <w:ind w:firstLine="315" w:firstLineChars="150"/>
        <w:rPr>
          <w:rStyle w:val="60"/>
          <w:rFonts w:ascii="楷体_GB2312" w:hAnsi="黑体" w:eastAsia="楷体_GB2312"/>
          <w:sz w:val="32"/>
          <w:szCs w:val="32"/>
        </w:rPr>
      </w:pPr>
      <w:r>
        <w:fldChar w:fldCharType="begin"/>
      </w:r>
      <w:r>
        <w:instrText xml:space="preserve"> HYPERLINK \l "_Toc78835295" </w:instrText>
      </w:r>
      <w:r>
        <w:fldChar w:fldCharType="separate"/>
      </w:r>
      <w:r>
        <w:rPr>
          <w:rStyle w:val="60"/>
          <w:rFonts w:hint="eastAsia" w:ascii="楷体_GB2312" w:hAnsi="黑体" w:eastAsia="楷体_GB2312"/>
          <w:sz w:val="32"/>
          <w:szCs w:val="32"/>
        </w:rPr>
        <w:t>（二）充电站和充电桩电气部分</w:t>
      </w:r>
      <w:r>
        <w:rPr>
          <w:rStyle w:val="60"/>
          <w:rFonts w:hint="eastAsia" w:ascii="楷体_GB2312" w:hAnsi="黑体" w:eastAsia="楷体_GB2312"/>
          <w:sz w:val="32"/>
          <w:szCs w:val="32"/>
        </w:rPr>
        <w:tab/>
      </w:r>
      <w:r>
        <w:rPr>
          <w:rStyle w:val="60"/>
          <w:rFonts w:hint="eastAsia" w:ascii="楷体_GB2312" w:hAnsi="黑体" w:eastAsia="楷体_GB2312"/>
          <w:sz w:val="32"/>
          <w:szCs w:val="32"/>
        </w:rPr>
        <w:t xml:space="preserve">  </w:t>
      </w:r>
      <w:r>
        <w:rPr>
          <w:rStyle w:val="60"/>
          <w:rFonts w:ascii="Times New Roman" w:eastAsia="楷体_GB2312"/>
          <w:sz w:val="32"/>
          <w:szCs w:val="32"/>
        </w:rPr>
        <w:fldChar w:fldCharType="begin"/>
      </w:r>
      <w:r>
        <w:rPr>
          <w:rStyle w:val="60"/>
          <w:rFonts w:ascii="Times New Roman" w:eastAsia="楷体_GB2312"/>
          <w:sz w:val="32"/>
          <w:szCs w:val="32"/>
        </w:rPr>
        <w:instrText xml:space="preserve"> PAGEREF _Toc78835295 \h </w:instrText>
      </w:r>
      <w:r>
        <w:rPr>
          <w:rStyle w:val="60"/>
          <w:rFonts w:ascii="Times New Roman" w:eastAsia="楷体_GB2312"/>
          <w:sz w:val="32"/>
          <w:szCs w:val="32"/>
        </w:rPr>
        <w:fldChar w:fldCharType="separate"/>
      </w:r>
      <w:r>
        <w:rPr>
          <w:rStyle w:val="60"/>
          <w:rFonts w:ascii="Times New Roman" w:eastAsia="楷体_GB2312"/>
          <w:sz w:val="32"/>
          <w:szCs w:val="32"/>
        </w:rPr>
        <w:t>9</w:t>
      </w:r>
      <w:r>
        <w:rPr>
          <w:rStyle w:val="60"/>
          <w:rFonts w:ascii="Times New Roman" w:eastAsia="楷体_GB2312"/>
          <w:sz w:val="32"/>
          <w:szCs w:val="32"/>
        </w:rPr>
        <w:fldChar w:fldCharType="end"/>
      </w:r>
      <w:r>
        <w:rPr>
          <w:rStyle w:val="60"/>
          <w:rFonts w:ascii="Times New Roman" w:eastAsia="楷体_GB2312"/>
          <w:sz w:val="32"/>
          <w:szCs w:val="32"/>
        </w:rPr>
        <w:fldChar w:fldCharType="end"/>
      </w:r>
    </w:p>
    <w:p>
      <w:pPr>
        <w:pStyle w:val="33"/>
        <w:spacing w:before="0" w:beforeLines="0" w:after="0" w:afterLines="0" w:line="590" w:lineRule="exact"/>
        <w:ind w:firstLine="315" w:firstLineChars="150"/>
        <w:rPr>
          <w:rStyle w:val="60"/>
          <w:rFonts w:ascii="楷体_GB2312" w:hAnsi="黑体" w:eastAsia="楷体_GB2312"/>
          <w:sz w:val="32"/>
          <w:szCs w:val="32"/>
        </w:rPr>
      </w:pPr>
      <w:r>
        <w:fldChar w:fldCharType="begin"/>
      </w:r>
      <w:r>
        <w:instrText xml:space="preserve"> HYPERLINK \l "_Toc78835296" </w:instrText>
      </w:r>
      <w:r>
        <w:fldChar w:fldCharType="separate"/>
      </w:r>
      <w:r>
        <w:rPr>
          <w:rStyle w:val="60"/>
          <w:rFonts w:hint="eastAsia" w:ascii="楷体_GB2312" w:hAnsi="黑体" w:eastAsia="楷体_GB2312"/>
          <w:sz w:val="32"/>
          <w:szCs w:val="32"/>
        </w:rPr>
        <w:t>（三）建设要求</w:t>
      </w:r>
      <w:r>
        <w:rPr>
          <w:rStyle w:val="60"/>
          <w:rFonts w:hint="eastAsia" w:ascii="楷体_GB2312" w:hAnsi="黑体" w:eastAsia="楷体_GB2312"/>
          <w:sz w:val="32"/>
          <w:szCs w:val="32"/>
        </w:rPr>
        <w:tab/>
      </w:r>
      <w:r>
        <w:rPr>
          <w:rStyle w:val="60"/>
          <w:rFonts w:ascii="Times New Roman" w:eastAsia="楷体_GB2312"/>
          <w:sz w:val="32"/>
          <w:szCs w:val="32"/>
        </w:rPr>
        <w:fldChar w:fldCharType="begin"/>
      </w:r>
      <w:r>
        <w:rPr>
          <w:rStyle w:val="60"/>
          <w:rFonts w:ascii="Times New Roman" w:eastAsia="楷体_GB2312"/>
          <w:sz w:val="32"/>
          <w:szCs w:val="32"/>
        </w:rPr>
        <w:instrText xml:space="preserve"> PAGEREF _Toc78835296 \h </w:instrText>
      </w:r>
      <w:r>
        <w:rPr>
          <w:rStyle w:val="60"/>
          <w:rFonts w:ascii="Times New Roman" w:eastAsia="楷体_GB2312"/>
          <w:sz w:val="32"/>
          <w:szCs w:val="32"/>
        </w:rPr>
        <w:fldChar w:fldCharType="separate"/>
      </w:r>
      <w:r>
        <w:rPr>
          <w:rStyle w:val="60"/>
          <w:rFonts w:ascii="Times New Roman" w:eastAsia="楷体_GB2312"/>
          <w:sz w:val="32"/>
          <w:szCs w:val="32"/>
        </w:rPr>
        <w:t>14</w:t>
      </w:r>
      <w:r>
        <w:rPr>
          <w:rStyle w:val="60"/>
          <w:rFonts w:ascii="Times New Roman" w:eastAsia="楷体_GB2312"/>
          <w:sz w:val="32"/>
          <w:szCs w:val="32"/>
        </w:rPr>
        <w:fldChar w:fldCharType="end"/>
      </w:r>
      <w:r>
        <w:rPr>
          <w:rStyle w:val="60"/>
          <w:rFonts w:ascii="Times New Roman" w:eastAsia="楷体_GB2312"/>
          <w:sz w:val="32"/>
          <w:szCs w:val="32"/>
        </w:rPr>
        <w:fldChar w:fldCharType="end"/>
      </w:r>
    </w:p>
    <w:p>
      <w:pPr>
        <w:pStyle w:val="33"/>
        <w:spacing w:before="0" w:beforeLines="0" w:after="0" w:afterLines="0" w:line="590" w:lineRule="exact"/>
        <w:ind w:firstLine="315" w:firstLineChars="150"/>
        <w:rPr>
          <w:rStyle w:val="60"/>
          <w:rFonts w:ascii="楷体_GB2312" w:hAnsi="黑体" w:eastAsia="楷体_GB2312"/>
          <w:sz w:val="32"/>
          <w:szCs w:val="32"/>
        </w:rPr>
      </w:pPr>
      <w:r>
        <w:fldChar w:fldCharType="begin"/>
      </w:r>
      <w:r>
        <w:instrText xml:space="preserve"> HYPERLINK \l "_Toc78835297" </w:instrText>
      </w:r>
      <w:r>
        <w:fldChar w:fldCharType="separate"/>
      </w:r>
      <w:r>
        <w:rPr>
          <w:rStyle w:val="60"/>
          <w:rFonts w:hint="eastAsia" w:ascii="楷体_GB2312" w:hAnsi="黑体" w:eastAsia="楷体_GB2312"/>
          <w:sz w:val="32"/>
          <w:szCs w:val="32"/>
        </w:rPr>
        <w:t>（四）验收要求</w:t>
      </w:r>
      <w:r>
        <w:rPr>
          <w:rStyle w:val="60"/>
          <w:rFonts w:hint="eastAsia" w:ascii="楷体_GB2312" w:hAnsi="黑体" w:eastAsia="楷体_GB2312"/>
          <w:sz w:val="32"/>
          <w:szCs w:val="32"/>
        </w:rPr>
        <w:tab/>
      </w:r>
      <w:r>
        <w:rPr>
          <w:rStyle w:val="60"/>
          <w:rFonts w:hint="eastAsia" w:ascii="楷体_GB2312" w:hAnsi="黑体" w:eastAsia="楷体_GB2312"/>
          <w:sz w:val="32"/>
          <w:szCs w:val="32"/>
        </w:rPr>
        <w:t xml:space="preserve"> </w:t>
      </w:r>
      <w:r>
        <w:rPr>
          <w:rStyle w:val="60"/>
          <w:rFonts w:ascii="Times New Roman" w:eastAsia="楷体_GB2312"/>
          <w:sz w:val="32"/>
          <w:szCs w:val="32"/>
        </w:rPr>
        <w:fldChar w:fldCharType="begin"/>
      </w:r>
      <w:r>
        <w:rPr>
          <w:rStyle w:val="60"/>
          <w:rFonts w:ascii="Times New Roman" w:eastAsia="楷体_GB2312"/>
          <w:sz w:val="32"/>
          <w:szCs w:val="32"/>
        </w:rPr>
        <w:instrText xml:space="preserve"> PAGEREF _Toc78835297 \h </w:instrText>
      </w:r>
      <w:r>
        <w:rPr>
          <w:rStyle w:val="60"/>
          <w:rFonts w:ascii="Times New Roman" w:eastAsia="楷体_GB2312"/>
          <w:sz w:val="32"/>
          <w:szCs w:val="32"/>
        </w:rPr>
        <w:fldChar w:fldCharType="separate"/>
      </w:r>
      <w:r>
        <w:rPr>
          <w:rStyle w:val="60"/>
          <w:rFonts w:ascii="Times New Roman" w:eastAsia="楷体_GB2312"/>
          <w:sz w:val="32"/>
          <w:szCs w:val="32"/>
        </w:rPr>
        <w:t>17</w:t>
      </w:r>
      <w:r>
        <w:rPr>
          <w:rStyle w:val="60"/>
          <w:rFonts w:ascii="Times New Roman" w:eastAsia="楷体_GB2312"/>
          <w:sz w:val="32"/>
          <w:szCs w:val="32"/>
        </w:rPr>
        <w:fldChar w:fldCharType="end"/>
      </w:r>
      <w:r>
        <w:rPr>
          <w:rStyle w:val="60"/>
          <w:rFonts w:ascii="Times New Roman" w:eastAsia="楷体_GB2312"/>
          <w:sz w:val="32"/>
          <w:szCs w:val="32"/>
        </w:rPr>
        <w:fldChar w:fldCharType="end"/>
      </w:r>
    </w:p>
    <w:p>
      <w:pPr>
        <w:pStyle w:val="33"/>
        <w:spacing w:before="0" w:beforeLines="0" w:after="0" w:afterLines="0" w:line="590" w:lineRule="exact"/>
        <w:ind w:firstLine="315" w:firstLineChars="150"/>
        <w:rPr>
          <w:rStyle w:val="60"/>
          <w:rFonts w:ascii="楷体_GB2312" w:hAnsi="黑体" w:eastAsia="楷体_GB2312"/>
          <w:sz w:val="32"/>
          <w:szCs w:val="32"/>
        </w:rPr>
      </w:pPr>
      <w:r>
        <w:fldChar w:fldCharType="begin"/>
      </w:r>
      <w:r>
        <w:instrText xml:space="preserve"> HYPERLINK \l "_Toc78835298" </w:instrText>
      </w:r>
      <w:r>
        <w:fldChar w:fldCharType="separate"/>
      </w:r>
      <w:r>
        <w:rPr>
          <w:rStyle w:val="60"/>
          <w:rFonts w:hint="eastAsia" w:ascii="楷体_GB2312" w:hAnsi="黑体" w:eastAsia="楷体_GB2312"/>
          <w:sz w:val="32"/>
          <w:szCs w:val="32"/>
        </w:rPr>
        <w:t>（五）安全要求</w:t>
      </w:r>
      <w:r>
        <w:rPr>
          <w:rStyle w:val="60"/>
          <w:rFonts w:hint="eastAsia" w:ascii="楷体_GB2312" w:hAnsi="黑体" w:eastAsia="楷体_GB2312"/>
          <w:sz w:val="32"/>
          <w:szCs w:val="32"/>
        </w:rPr>
        <w:tab/>
      </w:r>
      <w:r>
        <w:rPr>
          <w:rStyle w:val="60"/>
          <w:rFonts w:ascii="Times New Roman" w:eastAsia="楷体_GB2312"/>
          <w:sz w:val="32"/>
          <w:szCs w:val="32"/>
        </w:rPr>
        <w:fldChar w:fldCharType="begin"/>
      </w:r>
      <w:r>
        <w:rPr>
          <w:rStyle w:val="60"/>
          <w:rFonts w:ascii="Times New Roman" w:eastAsia="楷体_GB2312"/>
          <w:sz w:val="32"/>
          <w:szCs w:val="32"/>
        </w:rPr>
        <w:instrText xml:space="preserve"> PAGEREF _Toc78835298 \h </w:instrText>
      </w:r>
      <w:r>
        <w:rPr>
          <w:rStyle w:val="60"/>
          <w:rFonts w:ascii="Times New Roman" w:eastAsia="楷体_GB2312"/>
          <w:sz w:val="32"/>
          <w:szCs w:val="32"/>
        </w:rPr>
        <w:fldChar w:fldCharType="separate"/>
      </w:r>
      <w:r>
        <w:rPr>
          <w:rStyle w:val="60"/>
          <w:rFonts w:ascii="Times New Roman" w:eastAsia="楷体_GB2312"/>
          <w:sz w:val="32"/>
          <w:szCs w:val="32"/>
        </w:rPr>
        <w:t>18</w:t>
      </w:r>
      <w:r>
        <w:rPr>
          <w:rStyle w:val="60"/>
          <w:rFonts w:ascii="Times New Roman" w:eastAsia="楷体_GB2312"/>
          <w:sz w:val="32"/>
          <w:szCs w:val="32"/>
        </w:rPr>
        <w:fldChar w:fldCharType="end"/>
      </w:r>
      <w:r>
        <w:rPr>
          <w:rStyle w:val="60"/>
          <w:rFonts w:ascii="Times New Roman" w:eastAsia="楷体_GB2312"/>
          <w:sz w:val="32"/>
          <w:szCs w:val="32"/>
        </w:rPr>
        <w:fldChar w:fldCharType="end"/>
      </w:r>
    </w:p>
    <w:p>
      <w:pPr>
        <w:pStyle w:val="33"/>
        <w:spacing w:before="0" w:beforeLines="0" w:after="0" w:afterLines="0" w:line="590" w:lineRule="exact"/>
        <w:ind w:firstLine="315" w:firstLineChars="150"/>
        <w:rPr>
          <w:rStyle w:val="60"/>
          <w:rFonts w:ascii="楷体_GB2312" w:hAnsi="黑体" w:eastAsia="楷体_GB2312"/>
          <w:sz w:val="32"/>
          <w:szCs w:val="32"/>
        </w:rPr>
      </w:pPr>
      <w:r>
        <w:fldChar w:fldCharType="begin"/>
      </w:r>
      <w:r>
        <w:instrText xml:space="preserve"> HYPERLINK \l "_Toc78835299" </w:instrText>
      </w:r>
      <w:r>
        <w:fldChar w:fldCharType="separate"/>
      </w:r>
      <w:r>
        <w:rPr>
          <w:rStyle w:val="60"/>
          <w:rFonts w:hint="eastAsia" w:ascii="楷体_GB2312" w:hAnsi="黑体" w:eastAsia="楷体_GB2312"/>
          <w:sz w:val="32"/>
          <w:szCs w:val="32"/>
        </w:rPr>
        <w:t>（六）充电平台技术要求</w:t>
      </w:r>
      <w:r>
        <w:rPr>
          <w:rStyle w:val="60"/>
          <w:rFonts w:hint="eastAsia" w:ascii="楷体_GB2312" w:hAnsi="黑体" w:eastAsia="楷体_GB2312"/>
          <w:sz w:val="32"/>
          <w:szCs w:val="32"/>
        </w:rPr>
        <w:tab/>
      </w:r>
      <w:r>
        <w:rPr>
          <w:rStyle w:val="60"/>
          <w:rFonts w:ascii="Times New Roman" w:eastAsia="楷体_GB2312"/>
          <w:sz w:val="32"/>
          <w:szCs w:val="32"/>
        </w:rPr>
        <w:fldChar w:fldCharType="begin"/>
      </w:r>
      <w:r>
        <w:rPr>
          <w:rStyle w:val="60"/>
          <w:rFonts w:ascii="Times New Roman" w:eastAsia="楷体_GB2312"/>
          <w:sz w:val="32"/>
          <w:szCs w:val="32"/>
        </w:rPr>
        <w:instrText xml:space="preserve"> PAGEREF _Toc78835299 \h </w:instrText>
      </w:r>
      <w:r>
        <w:rPr>
          <w:rStyle w:val="60"/>
          <w:rFonts w:ascii="Times New Roman" w:eastAsia="楷体_GB2312"/>
          <w:sz w:val="32"/>
          <w:szCs w:val="32"/>
        </w:rPr>
        <w:fldChar w:fldCharType="separate"/>
      </w:r>
      <w:r>
        <w:rPr>
          <w:rStyle w:val="60"/>
          <w:rFonts w:ascii="Times New Roman" w:eastAsia="楷体_GB2312"/>
          <w:sz w:val="32"/>
          <w:szCs w:val="32"/>
        </w:rPr>
        <w:t>21</w:t>
      </w:r>
      <w:r>
        <w:rPr>
          <w:rStyle w:val="60"/>
          <w:rFonts w:ascii="Times New Roman" w:eastAsia="楷体_GB2312"/>
          <w:sz w:val="32"/>
          <w:szCs w:val="32"/>
        </w:rPr>
        <w:fldChar w:fldCharType="end"/>
      </w:r>
      <w:r>
        <w:rPr>
          <w:rStyle w:val="60"/>
          <w:rFonts w:ascii="Times New Roman" w:eastAsia="楷体_GB2312"/>
          <w:sz w:val="32"/>
          <w:szCs w:val="32"/>
        </w:rPr>
        <w:fldChar w:fldCharType="end"/>
      </w:r>
    </w:p>
    <w:p>
      <w:pPr>
        <w:pStyle w:val="33"/>
        <w:spacing w:before="0" w:beforeLines="0" w:after="0" w:afterLines="0" w:line="590" w:lineRule="exact"/>
        <w:ind w:firstLine="315" w:firstLineChars="150"/>
        <w:rPr>
          <w:rStyle w:val="60"/>
          <w:rFonts w:ascii="楷体_GB2312" w:hAnsi="黑体" w:eastAsia="楷体_GB2312"/>
          <w:sz w:val="32"/>
          <w:szCs w:val="32"/>
        </w:rPr>
      </w:pPr>
      <w:r>
        <w:fldChar w:fldCharType="begin"/>
      </w:r>
      <w:r>
        <w:instrText xml:space="preserve"> HYPERLINK \l "_Toc78835300" </w:instrText>
      </w:r>
      <w:r>
        <w:fldChar w:fldCharType="separate"/>
      </w:r>
      <w:r>
        <w:rPr>
          <w:rStyle w:val="60"/>
          <w:rFonts w:hint="eastAsia" w:ascii="楷体_GB2312" w:hAnsi="黑体" w:eastAsia="楷体_GB2312"/>
          <w:sz w:val="32"/>
          <w:szCs w:val="32"/>
        </w:rPr>
        <w:t>（七）智慧充电</w:t>
      </w:r>
      <w:r>
        <w:rPr>
          <w:rStyle w:val="60"/>
          <w:rFonts w:hint="eastAsia" w:ascii="楷体_GB2312" w:hAnsi="黑体" w:eastAsia="楷体_GB2312"/>
          <w:sz w:val="32"/>
          <w:szCs w:val="32"/>
        </w:rPr>
        <w:tab/>
      </w:r>
      <w:r>
        <w:rPr>
          <w:rStyle w:val="60"/>
          <w:rFonts w:ascii="Times New Roman" w:eastAsia="楷体_GB2312"/>
          <w:sz w:val="32"/>
          <w:szCs w:val="32"/>
        </w:rPr>
        <w:fldChar w:fldCharType="begin"/>
      </w:r>
      <w:r>
        <w:rPr>
          <w:rStyle w:val="60"/>
          <w:rFonts w:ascii="Times New Roman" w:eastAsia="楷体_GB2312"/>
          <w:sz w:val="32"/>
          <w:szCs w:val="32"/>
        </w:rPr>
        <w:instrText xml:space="preserve"> PAGEREF _Toc78835300 \h </w:instrText>
      </w:r>
      <w:r>
        <w:rPr>
          <w:rStyle w:val="60"/>
          <w:rFonts w:ascii="Times New Roman" w:eastAsia="楷体_GB2312"/>
          <w:sz w:val="32"/>
          <w:szCs w:val="32"/>
        </w:rPr>
        <w:fldChar w:fldCharType="separate"/>
      </w:r>
      <w:r>
        <w:rPr>
          <w:rStyle w:val="60"/>
          <w:rFonts w:ascii="Times New Roman" w:eastAsia="楷体_GB2312"/>
          <w:sz w:val="32"/>
          <w:szCs w:val="32"/>
        </w:rPr>
        <w:t>35</w:t>
      </w:r>
      <w:r>
        <w:rPr>
          <w:rStyle w:val="60"/>
          <w:rFonts w:ascii="Times New Roman" w:eastAsia="楷体_GB2312"/>
          <w:sz w:val="32"/>
          <w:szCs w:val="32"/>
        </w:rPr>
        <w:fldChar w:fldCharType="end"/>
      </w:r>
      <w:r>
        <w:rPr>
          <w:rStyle w:val="60"/>
          <w:rFonts w:ascii="Times New Roman" w:eastAsia="楷体_GB2312"/>
          <w:sz w:val="32"/>
          <w:szCs w:val="32"/>
        </w:rPr>
        <w:fldChar w:fldCharType="end"/>
      </w:r>
    </w:p>
    <w:p>
      <w:pPr>
        <w:pStyle w:val="33"/>
        <w:spacing w:before="0" w:beforeLines="0" w:after="0" w:afterLines="0" w:line="590" w:lineRule="exact"/>
        <w:ind w:firstLine="315" w:firstLineChars="150"/>
        <w:rPr>
          <w:rStyle w:val="60"/>
          <w:rFonts w:ascii="楷体_GB2312" w:hAnsi="黑体" w:eastAsia="楷体_GB2312"/>
          <w:sz w:val="32"/>
          <w:szCs w:val="32"/>
        </w:rPr>
      </w:pPr>
      <w:r>
        <w:fldChar w:fldCharType="begin"/>
      </w:r>
      <w:r>
        <w:instrText xml:space="preserve"> HYPERLINK \l "_Toc78835301" </w:instrText>
      </w:r>
      <w:r>
        <w:fldChar w:fldCharType="separate"/>
      </w:r>
      <w:r>
        <w:rPr>
          <w:rStyle w:val="60"/>
          <w:rFonts w:hint="eastAsia" w:ascii="楷体_GB2312" w:hAnsi="黑体" w:eastAsia="楷体_GB2312"/>
          <w:sz w:val="32"/>
          <w:szCs w:val="32"/>
        </w:rPr>
        <w:t>（八）车网互动（V2G）</w:t>
      </w:r>
      <w:r>
        <w:rPr>
          <w:rStyle w:val="60"/>
          <w:rFonts w:hint="eastAsia" w:ascii="楷体_GB2312" w:hAnsi="黑体" w:eastAsia="楷体_GB2312"/>
          <w:sz w:val="32"/>
          <w:szCs w:val="32"/>
        </w:rPr>
        <w:tab/>
      </w:r>
      <w:r>
        <w:rPr>
          <w:rStyle w:val="60"/>
          <w:rFonts w:ascii="Times New Roman" w:eastAsia="楷体_GB2312"/>
          <w:sz w:val="32"/>
          <w:szCs w:val="32"/>
        </w:rPr>
        <w:fldChar w:fldCharType="begin"/>
      </w:r>
      <w:r>
        <w:rPr>
          <w:rStyle w:val="60"/>
          <w:rFonts w:ascii="Times New Roman" w:eastAsia="楷体_GB2312"/>
          <w:sz w:val="32"/>
          <w:szCs w:val="32"/>
        </w:rPr>
        <w:instrText xml:space="preserve"> PAGEREF _Toc78835301 \h </w:instrText>
      </w:r>
      <w:r>
        <w:rPr>
          <w:rStyle w:val="60"/>
          <w:rFonts w:ascii="Times New Roman" w:eastAsia="楷体_GB2312"/>
          <w:sz w:val="32"/>
          <w:szCs w:val="32"/>
        </w:rPr>
        <w:fldChar w:fldCharType="separate"/>
      </w:r>
      <w:r>
        <w:rPr>
          <w:rStyle w:val="60"/>
          <w:rFonts w:ascii="Times New Roman" w:eastAsia="楷体_GB2312"/>
          <w:sz w:val="32"/>
          <w:szCs w:val="32"/>
        </w:rPr>
        <w:t>37</w:t>
      </w:r>
      <w:r>
        <w:rPr>
          <w:rStyle w:val="60"/>
          <w:rFonts w:ascii="Times New Roman" w:eastAsia="楷体_GB2312"/>
          <w:sz w:val="32"/>
          <w:szCs w:val="32"/>
        </w:rPr>
        <w:fldChar w:fldCharType="end"/>
      </w:r>
      <w:r>
        <w:rPr>
          <w:rStyle w:val="60"/>
          <w:rFonts w:ascii="Times New Roman" w:eastAsia="楷体_GB2312"/>
          <w:sz w:val="32"/>
          <w:szCs w:val="32"/>
        </w:rPr>
        <w:fldChar w:fldCharType="end"/>
      </w:r>
    </w:p>
    <w:p>
      <w:pPr>
        <w:pStyle w:val="33"/>
        <w:spacing w:before="0" w:beforeLines="0" w:after="0" w:afterLines="0" w:line="590" w:lineRule="exact"/>
        <w:ind w:firstLine="315" w:firstLineChars="150"/>
        <w:rPr>
          <w:rStyle w:val="60"/>
          <w:rFonts w:ascii="楷体_GB2312" w:hAnsi="黑体" w:eastAsia="楷体_GB2312"/>
          <w:sz w:val="32"/>
          <w:szCs w:val="32"/>
        </w:rPr>
      </w:pPr>
      <w:r>
        <w:fldChar w:fldCharType="begin"/>
      </w:r>
      <w:r>
        <w:instrText xml:space="preserve"> HYPERLINK \l "_Toc78835302" </w:instrText>
      </w:r>
      <w:r>
        <w:fldChar w:fldCharType="separate"/>
      </w:r>
      <w:r>
        <w:rPr>
          <w:rStyle w:val="60"/>
          <w:rFonts w:hint="eastAsia" w:ascii="楷体_GB2312" w:hAnsi="黑体" w:eastAsia="楷体_GB2312"/>
          <w:sz w:val="32"/>
          <w:szCs w:val="32"/>
        </w:rPr>
        <w:t>（九）站网互动（S2G）</w:t>
      </w:r>
      <w:r>
        <w:rPr>
          <w:rStyle w:val="60"/>
          <w:rFonts w:hint="eastAsia" w:ascii="楷体_GB2312" w:hAnsi="黑体" w:eastAsia="楷体_GB2312"/>
          <w:sz w:val="32"/>
          <w:szCs w:val="32"/>
        </w:rPr>
        <w:tab/>
      </w:r>
      <w:r>
        <w:rPr>
          <w:rStyle w:val="60"/>
          <w:rFonts w:ascii="Times New Roman" w:eastAsia="楷体_GB2312"/>
          <w:sz w:val="32"/>
          <w:szCs w:val="32"/>
        </w:rPr>
        <w:fldChar w:fldCharType="begin"/>
      </w:r>
      <w:r>
        <w:rPr>
          <w:rStyle w:val="60"/>
          <w:rFonts w:ascii="Times New Roman" w:eastAsia="楷体_GB2312"/>
          <w:sz w:val="32"/>
          <w:szCs w:val="32"/>
        </w:rPr>
        <w:instrText xml:space="preserve"> PAGEREF _Toc78835302 \h </w:instrText>
      </w:r>
      <w:r>
        <w:rPr>
          <w:rStyle w:val="60"/>
          <w:rFonts w:ascii="Times New Roman" w:eastAsia="楷体_GB2312"/>
          <w:sz w:val="32"/>
          <w:szCs w:val="32"/>
        </w:rPr>
        <w:fldChar w:fldCharType="separate"/>
      </w:r>
      <w:r>
        <w:rPr>
          <w:rStyle w:val="60"/>
          <w:rFonts w:ascii="Times New Roman" w:eastAsia="楷体_GB2312"/>
          <w:sz w:val="32"/>
          <w:szCs w:val="32"/>
        </w:rPr>
        <w:t>39</w:t>
      </w:r>
      <w:r>
        <w:rPr>
          <w:rStyle w:val="60"/>
          <w:rFonts w:ascii="Times New Roman" w:eastAsia="楷体_GB2312"/>
          <w:sz w:val="32"/>
          <w:szCs w:val="32"/>
        </w:rPr>
        <w:fldChar w:fldCharType="end"/>
      </w:r>
      <w:r>
        <w:rPr>
          <w:rStyle w:val="60"/>
          <w:rFonts w:ascii="Times New Roman" w:eastAsia="楷体_GB2312"/>
          <w:sz w:val="32"/>
          <w:szCs w:val="32"/>
        </w:rPr>
        <w:fldChar w:fldCharType="end"/>
      </w:r>
    </w:p>
    <w:p>
      <w:pPr>
        <w:pStyle w:val="33"/>
        <w:spacing w:before="0" w:beforeLines="0" w:after="0" w:afterLines="0" w:line="590" w:lineRule="exact"/>
        <w:rPr>
          <w:rStyle w:val="60"/>
          <w:rFonts w:ascii="黑体" w:hAnsi="黑体" w:eastAsia="黑体"/>
          <w:sz w:val="32"/>
          <w:szCs w:val="32"/>
        </w:rPr>
      </w:pPr>
      <w:r>
        <w:fldChar w:fldCharType="begin"/>
      </w:r>
      <w:r>
        <w:instrText xml:space="preserve"> HYPERLINK \l "_Toc78835303" </w:instrText>
      </w:r>
      <w:r>
        <w:fldChar w:fldCharType="separate"/>
      </w:r>
      <w:r>
        <w:rPr>
          <w:rStyle w:val="60"/>
          <w:rFonts w:hint="eastAsia" w:ascii="黑体" w:hAnsi="黑体" w:eastAsia="黑体"/>
          <w:sz w:val="32"/>
          <w:szCs w:val="32"/>
        </w:rPr>
        <w:t>五、居民区“统建统营”技术要求</w:t>
      </w:r>
      <w:r>
        <w:rPr>
          <w:rStyle w:val="60"/>
          <w:rFonts w:ascii="黑体" w:hAnsi="黑体" w:eastAsia="黑体"/>
          <w:sz w:val="32"/>
          <w:szCs w:val="32"/>
        </w:rPr>
        <w:tab/>
      </w:r>
      <w:r>
        <w:rPr>
          <w:rStyle w:val="60"/>
          <w:rFonts w:ascii="Times New Roman" w:eastAsia="黑体"/>
          <w:sz w:val="32"/>
          <w:szCs w:val="32"/>
        </w:rPr>
        <w:fldChar w:fldCharType="begin"/>
      </w:r>
      <w:r>
        <w:rPr>
          <w:rStyle w:val="60"/>
          <w:rFonts w:ascii="Times New Roman" w:eastAsia="黑体"/>
          <w:sz w:val="32"/>
          <w:szCs w:val="32"/>
        </w:rPr>
        <w:instrText xml:space="preserve"> PAGEREF _Toc78835303 \h </w:instrText>
      </w:r>
      <w:r>
        <w:rPr>
          <w:rStyle w:val="60"/>
          <w:rFonts w:ascii="Times New Roman" w:eastAsia="黑体"/>
          <w:sz w:val="32"/>
          <w:szCs w:val="32"/>
        </w:rPr>
        <w:fldChar w:fldCharType="separate"/>
      </w:r>
      <w:r>
        <w:rPr>
          <w:rStyle w:val="60"/>
          <w:rFonts w:ascii="Times New Roman" w:eastAsia="黑体"/>
          <w:sz w:val="32"/>
          <w:szCs w:val="32"/>
        </w:rPr>
        <w:t>41</w:t>
      </w:r>
      <w:r>
        <w:rPr>
          <w:rStyle w:val="60"/>
          <w:rFonts w:ascii="Times New Roman" w:eastAsia="黑体"/>
          <w:sz w:val="32"/>
          <w:szCs w:val="32"/>
        </w:rPr>
        <w:fldChar w:fldCharType="end"/>
      </w:r>
      <w:r>
        <w:rPr>
          <w:rStyle w:val="60"/>
          <w:rFonts w:ascii="Times New Roman" w:eastAsia="黑体"/>
          <w:sz w:val="32"/>
          <w:szCs w:val="32"/>
        </w:rPr>
        <w:fldChar w:fldCharType="end"/>
      </w:r>
    </w:p>
    <w:p>
      <w:pPr>
        <w:pStyle w:val="33"/>
        <w:spacing w:before="0" w:beforeLines="0" w:after="0" w:afterLines="0" w:line="590" w:lineRule="exact"/>
        <w:ind w:firstLine="315" w:firstLineChars="150"/>
        <w:rPr>
          <w:rStyle w:val="60"/>
          <w:rFonts w:ascii="楷体_GB2312" w:hAnsi="黑体" w:eastAsia="楷体_GB2312"/>
          <w:sz w:val="32"/>
          <w:szCs w:val="32"/>
        </w:rPr>
      </w:pPr>
      <w:r>
        <w:fldChar w:fldCharType="begin"/>
      </w:r>
      <w:r>
        <w:instrText xml:space="preserve"> HYPERLINK \l "_Toc78835304" </w:instrText>
      </w:r>
      <w:r>
        <w:fldChar w:fldCharType="separate"/>
      </w:r>
      <w:r>
        <w:rPr>
          <w:rStyle w:val="60"/>
          <w:rFonts w:hint="eastAsia" w:ascii="楷体_GB2312" w:hAnsi="黑体" w:eastAsia="楷体_GB2312"/>
          <w:sz w:val="32"/>
          <w:szCs w:val="32"/>
        </w:rPr>
        <w:t>（一）配套建设要求</w:t>
      </w:r>
      <w:r>
        <w:rPr>
          <w:rStyle w:val="60"/>
          <w:rFonts w:hint="eastAsia" w:ascii="楷体_GB2312" w:hAnsi="黑体" w:eastAsia="楷体_GB2312"/>
          <w:sz w:val="32"/>
          <w:szCs w:val="32"/>
        </w:rPr>
        <w:tab/>
      </w:r>
      <w:r>
        <w:rPr>
          <w:rStyle w:val="60"/>
          <w:rFonts w:ascii="Times New Roman" w:eastAsia="楷体_GB2312"/>
          <w:sz w:val="32"/>
          <w:szCs w:val="32"/>
        </w:rPr>
        <w:fldChar w:fldCharType="begin"/>
      </w:r>
      <w:r>
        <w:rPr>
          <w:rStyle w:val="60"/>
          <w:rFonts w:ascii="Times New Roman" w:eastAsia="楷体_GB2312"/>
          <w:sz w:val="32"/>
          <w:szCs w:val="32"/>
        </w:rPr>
        <w:instrText xml:space="preserve"> PAGEREF _Toc78835304 \h </w:instrText>
      </w:r>
      <w:r>
        <w:rPr>
          <w:rStyle w:val="60"/>
          <w:rFonts w:ascii="Times New Roman" w:eastAsia="楷体_GB2312"/>
          <w:sz w:val="32"/>
          <w:szCs w:val="32"/>
        </w:rPr>
        <w:fldChar w:fldCharType="separate"/>
      </w:r>
      <w:r>
        <w:rPr>
          <w:rStyle w:val="60"/>
          <w:rFonts w:ascii="Times New Roman" w:eastAsia="楷体_GB2312"/>
          <w:sz w:val="32"/>
          <w:szCs w:val="32"/>
        </w:rPr>
        <w:t>41</w:t>
      </w:r>
      <w:r>
        <w:rPr>
          <w:rStyle w:val="60"/>
          <w:rFonts w:ascii="Times New Roman" w:eastAsia="楷体_GB2312"/>
          <w:sz w:val="32"/>
          <w:szCs w:val="32"/>
        </w:rPr>
        <w:fldChar w:fldCharType="end"/>
      </w:r>
      <w:r>
        <w:rPr>
          <w:rStyle w:val="60"/>
          <w:rFonts w:ascii="Times New Roman" w:eastAsia="楷体_GB2312"/>
          <w:sz w:val="32"/>
          <w:szCs w:val="32"/>
        </w:rPr>
        <w:fldChar w:fldCharType="end"/>
      </w:r>
    </w:p>
    <w:p>
      <w:pPr>
        <w:pStyle w:val="33"/>
        <w:spacing w:before="0" w:beforeLines="0" w:after="0" w:afterLines="0" w:line="590" w:lineRule="exact"/>
        <w:ind w:firstLine="315" w:firstLineChars="150"/>
        <w:rPr>
          <w:rStyle w:val="60"/>
          <w:rFonts w:ascii="楷体_GB2312" w:hAnsi="黑体" w:eastAsia="楷体_GB2312"/>
          <w:sz w:val="32"/>
          <w:szCs w:val="32"/>
        </w:rPr>
      </w:pPr>
      <w:r>
        <w:fldChar w:fldCharType="begin"/>
      </w:r>
      <w:r>
        <w:instrText xml:space="preserve"> HYPERLINK \l "_Toc78835305" </w:instrText>
      </w:r>
      <w:r>
        <w:fldChar w:fldCharType="separate"/>
      </w:r>
      <w:r>
        <w:rPr>
          <w:rStyle w:val="60"/>
          <w:rFonts w:hint="eastAsia" w:ascii="楷体_GB2312" w:hAnsi="黑体" w:eastAsia="楷体_GB2312"/>
          <w:sz w:val="32"/>
          <w:szCs w:val="32"/>
        </w:rPr>
        <w:t>（二）技术要求</w:t>
      </w:r>
      <w:r>
        <w:rPr>
          <w:rStyle w:val="60"/>
          <w:rFonts w:hint="eastAsia" w:ascii="楷体_GB2312" w:hAnsi="黑体" w:eastAsia="楷体_GB2312"/>
          <w:sz w:val="32"/>
          <w:szCs w:val="32"/>
        </w:rPr>
        <w:tab/>
      </w:r>
      <w:r>
        <w:rPr>
          <w:rStyle w:val="60"/>
          <w:rFonts w:ascii="Times New Roman" w:eastAsia="楷体_GB2312"/>
          <w:sz w:val="32"/>
          <w:szCs w:val="32"/>
        </w:rPr>
        <w:fldChar w:fldCharType="begin"/>
      </w:r>
      <w:r>
        <w:rPr>
          <w:rStyle w:val="60"/>
          <w:rFonts w:ascii="Times New Roman" w:eastAsia="楷体_GB2312"/>
          <w:sz w:val="32"/>
          <w:szCs w:val="32"/>
        </w:rPr>
        <w:instrText xml:space="preserve"> PAGEREF _Toc78835305 \h </w:instrText>
      </w:r>
      <w:r>
        <w:rPr>
          <w:rStyle w:val="60"/>
          <w:rFonts w:ascii="Times New Roman" w:eastAsia="楷体_GB2312"/>
          <w:sz w:val="32"/>
          <w:szCs w:val="32"/>
        </w:rPr>
        <w:fldChar w:fldCharType="separate"/>
      </w:r>
      <w:r>
        <w:rPr>
          <w:rStyle w:val="60"/>
          <w:rFonts w:ascii="Times New Roman" w:eastAsia="楷体_GB2312"/>
          <w:sz w:val="32"/>
          <w:szCs w:val="32"/>
        </w:rPr>
        <w:t>41</w:t>
      </w:r>
      <w:r>
        <w:rPr>
          <w:rStyle w:val="60"/>
          <w:rFonts w:ascii="Times New Roman" w:eastAsia="楷体_GB2312"/>
          <w:sz w:val="32"/>
          <w:szCs w:val="32"/>
        </w:rPr>
        <w:fldChar w:fldCharType="end"/>
      </w:r>
      <w:r>
        <w:rPr>
          <w:rStyle w:val="60"/>
          <w:rFonts w:ascii="Times New Roman" w:eastAsia="楷体_GB2312"/>
          <w:sz w:val="32"/>
          <w:szCs w:val="32"/>
        </w:rPr>
        <w:fldChar w:fldCharType="end"/>
      </w:r>
    </w:p>
    <w:p>
      <w:pPr>
        <w:pStyle w:val="33"/>
        <w:spacing w:before="0" w:beforeLines="0" w:after="0" w:afterLines="0" w:line="590" w:lineRule="exact"/>
        <w:ind w:firstLine="315" w:firstLineChars="150"/>
        <w:rPr>
          <w:rStyle w:val="60"/>
          <w:rFonts w:ascii="楷体_GB2312" w:hAnsi="黑体" w:eastAsia="楷体_GB2312"/>
          <w:sz w:val="32"/>
          <w:szCs w:val="32"/>
        </w:rPr>
      </w:pPr>
      <w:r>
        <w:fldChar w:fldCharType="begin"/>
      </w:r>
      <w:r>
        <w:instrText xml:space="preserve"> HYPERLINK \l "_Toc78835306" </w:instrText>
      </w:r>
      <w:r>
        <w:fldChar w:fldCharType="separate"/>
      </w:r>
      <w:r>
        <w:rPr>
          <w:rStyle w:val="60"/>
          <w:rFonts w:hint="eastAsia" w:ascii="楷体_GB2312" w:hAnsi="黑体" w:eastAsia="楷体_GB2312"/>
          <w:sz w:val="32"/>
          <w:szCs w:val="32"/>
        </w:rPr>
        <w:t>（三）建设安装要求</w:t>
      </w:r>
      <w:r>
        <w:rPr>
          <w:rStyle w:val="60"/>
          <w:rFonts w:hint="eastAsia" w:ascii="楷体_GB2312" w:hAnsi="黑体" w:eastAsia="楷体_GB2312"/>
          <w:sz w:val="32"/>
          <w:szCs w:val="32"/>
        </w:rPr>
        <w:tab/>
      </w:r>
      <w:r>
        <w:rPr>
          <w:rStyle w:val="60"/>
          <w:rFonts w:ascii="Times New Roman" w:eastAsia="楷体_GB2312"/>
          <w:sz w:val="32"/>
          <w:szCs w:val="32"/>
        </w:rPr>
        <w:fldChar w:fldCharType="begin"/>
      </w:r>
      <w:r>
        <w:rPr>
          <w:rStyle w:val="60"/>
          <w:rFonts w:ascii="Times New Roman" w:eastAsia="楷体_GB2312"/>
          <w:sz w:val="32"/>
          <w:szCs w:val="32"/>
        </w:rPr>
        <w:instrText xml:space="preserve"> PAGEREF _Toc78835306 \h </w:instrText>
      </w:r>
      <w:r>
        <w:rPr>
          <w:rStyle w:val="60"/>
          <w:rFonts w:ascii="Times New Roman" w:eastAsia="楷体_GB2312"/>
          <w:sz w:val="32"/>
          <w:szCs w:val="32"/>
        </w:rPr>
        <w:fldChar w:fldCharType="separate"/>
      </w:r>
      <w:r>
        <w:rPr>
          <w:rStyle w:val="60"/>
          <w:rFonts w:ascii="Times New Roman" w:eastAsia="楷体_GB2312"/>
          <w:sz w:val="32"/>
          <w:szCs w:val="32"/>
        </w:rPr>
        <w:t>43</w:t>
      </w:r>
      <w:r>
        <w:rPr>
          <w:rStyle w:val="60"/>
          <w:rFonts w:ascii="Times New Roman" w:eastAsia="楷体_GB2312"/>
          <w:sz w:val="32"/>
          <w:szCs w:val="32"/>
        </w:rPr>
        <w:fldChar w:fldCharType="end"/>
      </w:r>
      <w:r>
        <w:rPr>
          <w:rStyle w:val="60"/>
          <w:rFonts w:ascii="Times New Roman" w:eastAsia="楷体_GB2312"/>
          <w:sz w:val="32"/>
          <w:szCs w:val="32"/>
        </w:rPr>
        <w:fldChar w:fldCharType="end"/>
      </w:r>
    </w:p>
    <w:p>
      <w:pPr>
        <w:pStyle w:val="33"/>
        <w:spacing w:before="0" w:beforeLines="0" w:after="0" w:afterLines="0" w:line="590" w:lineRule="exact"/>
        <w:ind w:firstLine="315" w:firstLineChars="150"/>
        <w:rPr>
          <w:rStyle w:val="60"/>
          <w:rFonts w:ascii="楷体_GB2312" w:hAnsi="黑体" w:eastAsia="楷体_GB2312"/>
          <w:sz w:val="32"/>
          <w:szCs w:val="32"/>
        </w:rPr>
      </w:pPr>
      <w:r>
        <w:fldChar w:fldCharType="begin"/>
      </w:r>
      <w:r>
        <w:instrText xml:space="preserve"> HYPERLINK \l "_Toc78835307" </w:instrText>
      </w:r>
      <w:r>
        <w:fldChar w:fldCharType="separate"/>
      </w:r>
      <w:r>
        <w:rPr>
          <w:rStyle w:val="60"/>
          <w:rFonts w:hint="eastAsia" w:ascii="楷体_GB2312" w:hAnsi="黑体" w:eastAsia="楷体_GB2312"/>
          <w:sz w:val="32"/>
          <w:szCs w:val="32"/>
        </w:rPr>
        <w:t>（四）运维要求</w:t>
      </w:r>
      <w:r>
        <w:rPr>
          <w:rStyle w:val="60"/>
          <w:rFonts w:hint="eastAsia" w:ascii="楷体_GB2312" w:hAnsi="黑体" w:eastAsia="楷体_GB2312"/>
          <w:sz w:val="32"/>
          <w:szCs w:val="32"/>
        </w:rPr>
        <w:tab/>
      </w:r>
      <w:r>
        <w:rPr>
          <w:rStyle w:val="60"/>
          <w:rFonts w:ascii="Times New Roman" w:eastAsia="楷体_GB2312"/>
          <w:sz w:val="32"/>
          <w:szCs w:val="32"/>
        </w:rPr>
        <w:fldChar w:fldCharType="begin"/>
      </w:r>
      <w:r>
        <w:rPr>
          <w:rStyle w:val="60"/>
          <w:rFonts w:ascii="Times New Roman" w:eastAsia="楷体_GB2312"/>
          <w:sz w:val="32"/>
          <w:szCs w:val="32"/>
        </w:rPr>
        <w:instrText xml:space="preserve"> PAGEREF _Toc78835307 \h </w:instrText>
      </w:r>
      <w:r>
        <w:rPr>
          <w:rStyle w:val="60"/>
          <w:rFonts w:ascii="Times New Roman" w:eastAsia="楷体_GB2312"/>
          <w:sz w:val="32"/>
          <w:szCs w:val="32"/>
        </w:rPr>
        <w:fldChar w:fldCharType="separate"/>
      </w:r>
      <w:r>
        <w:rPr>
          <w:rStyle w:val="60"/>
          <w:rFonts w:ascii="Times New Roman" w:eastAsia="楷体_GB2312"/>
          <w:sz w:val="32"/>
          <w:szCs w:val="32"/>
        </w:rPr>
        <w:t>43</w:t>
      </w:r>
      <w:r>
        <w:rPr>
          <w:rStyle w:val="60"/>
          <w:rFonts w:ascii="Times New Roman" w:eastAsia="楷体_GB2312"/>
          <w:sz w:val="32"/>
          <w:szCs w:val="32"/>
        </w:rPr>
        <w:fldChar w:fldCharType="end"/>
      </w:r>
      <w:r>
        <w:rPr>
          <w:rStyle w:val="60"/>
          <w:rFonts w:ascii="Times New Roman" w:eastAsia="楷体_GB2312"/>
          <w:sz w:val="32"/>
          <w:szCs w:val="32"/>
        </w:rPr>
        <w:fldChar w:fldCharType="end"/>
      </w:r>
    </w:p>
    <w:p>
      <w:pPr>
        <w:pStyle w:val="33"/>
        <w:spacing w:before="0" w:beforeLines="0" w:after="0" w:afterLines="0" w:line="590" w:lineRule="exact"/>
        <w:ind w:firstLine="315" w:firstLineChars="150"/>
        <w:rPr>
          <w:rStyle w:val="60"/>
          <w:rFonts w:ascii="楷体_GB2312" w:hAnsi="黑体" w:eastAsia="楷体_GB2312"/>
          <w:sz w:val="32"/>
          <w:szCs w:val="32"/>
        </w:rPr>
      </w:pPr>
      <w:r>
        <w:fldChar w:fldCharType="begin"/>
      </w:r>
      <w:r>
        <w:instrText xml:space="preserve"> HYPERLINK \l "_Toc78835308" </w:instrText>
      </w:r>
      <w:r>
        <w:fldChar w:fldCharType="separate"/>
      </w:r>
      <w:r>
        <w:rPr>
          <w:rStyle w:val="60"/>
          <w:rFonts w:hint="eastAsia" w:ascii="楷体_GB2312" w:hAnsi="黑体" w:eastAsia="楷体_GB2312"/>
          <w:sz w:val="32"/>
          <w:szCs w:val="32"/>
        </w:rPr>
        <w:t>（五）安全要求</w:t>
      </w:r>
      <w:r>
        <w:rPr>
          <w:rStyle w:val="60"/>
          <w:rFonts w:hint="eastAsia" w:ascii="楷体_GB2312" w:hAnsi="黑体" w:eastAsia="楷体_GB2312"/>
          <w:sz w:val="32"/>
          <w:szCs w:val="32"/>
        </w:rPr>
        <w:tab/>
      </w:r>
      <w:r>
        <w:rPr>
          <w:rStyle w:val="60"/>
          <w:rFonts w:ascii="Times New Roman" w:eastAsia="楷体_GB2312"/>
          <w:sz w:val="32"/>
          <w:szCs w:val="32"/>
        </w:rPr>
        <w:fldChar w:fldCharType="begin"/>
      </w:r>
      <w:r>
        <w:rPr>
          <w:rStyle w:val="60"/>
          <w:rFonts w:ascii="Times New Roman" w:eastAsia="楷体_GB2312"/>
          <w:sz w:val="32"/>
          <w:szCs w:val="32"/>
        </w:rPr>
        <w:instrText xml:space="preserve"> PAGEREF _Toc78835308 \h </w:instrText>
      </w:r>
      <w:r>
        <w:rPr>
          <w:rStyle w:val="60"/>
          <w:rFonts w:ascii="Times New Roman" w:eastAsia="楷体_GB2312"/>
          <w:sz w:val="32"/>
          <w:szCs w:val="32"/>
        </w:rPr>
        <w:fldChar w:fldCharType="separate"/>
      </w:r>
      <w:r>
        <w:rPr>
          <w:rStyle w:val="60"/>
          <w:rFonts w:ascii="Times New Roman" w:eastAsia="楷体_GB2312"/>
          <w:sz w:val="32"/>
          <w:szCs w:val="32"/>
        </w:rPr>
        <w:t>44</w:t>
      </w:r>
      <w:r>
        <w:rPr>
          <w:rStyle w:val="60"/>
          <w:rFonts w:ascii="Times New Roman" w:eastAsia="楷体_GB2312"/>
          <w:sz w:val="32"/>
          <w:szCs w:val="32"/>
        </w:rPr>
        <w:fldChar w:fldCharType="end"/>
      </w:r>
      <w:r>
        <w:rPr>
          <w:rStyle w:val="60"/>
          <w:rFonts w:ascii="Times New Roman" w:eastAsia="楷体_GB2312"/>
          <w:sz w:val="32"/>
          <w:szCs w:val="32"/>
        </w:rPr>
        <w:fldChar w:fldCharType="end"/>
      </w:r>
    </w:p>
    <w:p>
      <w:pPr>
        <w:pStyle w:val="33"/>
        <w:spacing w:before="0" w:beforeLines="0" w:after="0" w:afterLines="0" w:line="590" w:lineRule="exact"/>
        <w:rPr>
          <w:rStyle w:val="60"/>
          <w:rFonts w:ascii="黑体" w:hAnsi="黑体" w:eastAsia="黑体"/>
          <w:sz w:val="32"/>
          <w:szCs w:val="32"/>
        </w:rPr>
      </w:pPr>
      <w:r>
        <w:fldChar w:fldCharType="begin"/>
      </w:r>
      <w:r>
        <w:instrText xml:space="preserve"> HYPERLINK \l "_Toc78835309" </w:instrText>
      </w:r>
      <w:r>
        <w:fldChar w:fldCharType="separate"/>
      </w:r>
      <w:r>
        <w:rPr>
          <w:rStyle w:val="60"/>
          <w:rFonts w:hint="eastAsia" w:ascii="黑体" w:hAnsi="黑体" w:eastAsia="黑体"/>
          <w:sz w:val="32"/>
          <w:szCs w:val="32"/>
        </w:rPr>
        <w:t>六、码头岸电设施技术要求</w:t>
      </w:r>
      <w:r>
        <w:rPr>
          <w:rStyle w:val="60"/>
          <w:rFonts w:ascii="黑体" w:hAnsi="黑体" w:eastAsia="黑体"/>
          <w:sz w:val="32"/>
          <w:szCs w:val="32"/>
        </w:rPr>
        <w:tab/>
      </w:r>
      <w:r>
        <w:rPr>
          <w:rStyle w:val="60"/>
          <w:rFonts w:ascii="Times New Roman" w:eastAsia="黑体"/>
          <w:sz w:val="32"/>
          <w:szCs w:val="32"/>
        </w:rPr>
        <w:fldChar w:fldCharType="begin"/>
      </w:r>
      <w:r>
        <w:rPr>
          <w:rStyle w:val="60"/>
          <w:rFonts w:ascii="Times New Roman" w:eastAsia="黑体"/>
          <w:sz w:val="32"/>
          <w:szCs w:val="32"/>
        </w:rPr>
        <w:instrText xml:space="preserve"> PAGEREF _Toc78835309 \h </w:instrText>
      </w:r>
      <w:r>
        <w:rPr>
          <w:rStyle w:val="60"/>
          <w:rFonts w:ascii="Times New Roman" w:eastAsia="黑体"/>
          <w:sz w:val="32"/>
          <w:szCs w:val="32"/>
        </w:rPr>
        <w:fldChar w:fldCharType="separate"/>
      </w:r>
      <w:r>
        <w:rPr>
          <w:rStyle w:val="60"/>
          <w:rFonts w:ascii="Times New Roman" w:eastAsia="黑体"/>
          <w:sz w:val="32"/>
          <w:szCs w:val="32"/>
        </w:rPr>
        <w:t>45</w:t>
      </w:r>
      <w:r>
        <w:rPr>
          <w:rStyle w:val="60"/>
          <w:rFonts w:ascii="Times New Roman" w:eastAsia="黑体"/>
          <w:sz w:val="32"/>
          <w:szCs w:val="32"/>
        </w:rPr>
        <w:fldChar w:fldCharType="end"/>
      </w:r>
      <w:r>
        <w:rPr>
          <w:rStyle w:val="60"/>
          <w:rFonts w:ascii="Times New Roman" w:eastAsia="黑体"/>
          <w:sz w:val="32"/>
          <w:szCs w:val="32"/>
        </w:rPr>
        <w:fldChar w:fldCharType="end"/>
      </w:r>
    </w:p>
    <w:p>
      <w:pPr>
        <w:pStyle w:val="33"/>
        <w:spacing w:before="0" w:beforeLines="0" w:after="0" w:afterLines="0" w:line="590" w:lineRule="exact"/>
        <w:ind w:firstLine="420" w:firstLineChars="200"/>
        <w:rPr>
          <w:rStyle w:val="60"/>
          <w:rFonts w:ascii="楷体_GB2312" w:hAnsi="黑体" w:eastAsia="楷体_GB2312"/>
          <w:sz w:val="32"/>
          <w:szCs w:val="32"/>
        </w:rPr>
      </w:pPr>
      <w:r>
        <w:fldChar w:fldCharType="begin"/>
      </w:r>
      <w:r>
        <w:instrText xml:space="preserve"> HYPERLINK \l "_Toc78835310" </w:instrText>
      </w:r>
      <w:r>
        <w:fldChar w:fldCharType="separate"/>
      </w:r>
      <w:r>
        <w:rPr>
          <w:rStyle w:val="60"/>
          <w:rFonts w:hint="eastAsia" w:ascii="楷体_GB2312" w:hAnsi="黑体" w:eastAsia="楷体_GB2312"/>
          <w:sz w:val="32"/>
          <w:szCs w:val="32"/>
        </w:rPr>
        <w:t>（一）一般规定</w:t>
      </w:r>
      <w:r>
        <w:rPr>
          <w:rStyle w:val="60"/>
          <w:rFonts w:hint="eastAsia" w:ascii="楷体_GB2312" w:hAnsi="黑体" w:eastAsia="楷体_GB2312"/>
          <w:sz w:val="32"/>
          <w:szCs w:val="32"/>
        </w:rPr>
        <w:tab/>
      </w:r>
      <w:r>
        <w:rPr>
          <w:rStyle w:val="60"/>
          <w:rFonts w:ascii="Times New Roman" w:eastAsia="楷体_GB2312"/>
          <w:sz w:val="32"/>
          <w:szCs w:val="32"/>
        </w:rPr>
        <w:fldChar w:fldCharType="begin"/>
      </w:r>
      <w:r>
        <w:rPr>
          <w:rStyle w:val="60"/>
          <w:rFonts w:ascii="Times New Roman" w:eastAsia="楷体_GB2312"/>
          <w:sz w:val="32"/>
          <w:szCs w:val="32"/>
        </w:rPr>
        <w:instrText xml:space="preserve"> PAGEREF _Toc78835310 \h </w:instrText>
      </w:r>
      <w:r>
        <w:rPr>
          <w:rStyle w:val="60"/>
          <w:rFonts w:ascii="Times New Roman" w:eastAsia="楷体_GB2312"/>
          <w:sz w:val="32"/>
          <w:szCs w:val="32"/>
        </w:rPr>
        <w:fldChar w:fldCharType="separate"/>
      </w:r>
      <w:r>
        <w:rPr>
          <w:rStyle w:val="60"/>
          <w:rFonts w:ascii="Times New Roman" w:eastAsia="楷体_GB2312"/>
          <w:sz w:val="32"/>
          <w:szCs w:val="32"/>
        </w:rPr>
        <w:t>45</w:t>
      </w:r>
      <w:r>
        <w:rPr>
          <w:rStyle w:val="60"/>
          <w:rFonts w:ascii="Times New Roman" w:eastAsia="楷体_GB2312"/>
          <w:sz w:val="32"/>
          <w:szCs w:val="32"/>
        </w:rPr>
        <w:fldChar w:fldCharType="end"/>
      </w:r>
      <w:r>
        <w:rPr>
          <w:rStyle w:val="60"/>
          <w:rFonts w:ascii="Times New Roman" w:eastAsia="楷体_GB2312"/>
          <w:sz w:val="32"/>
          <w:szCs w:val="32"/>
        </w:rPr>
        <w:fldChar w:fldCharType="end"/>
      </w:r>
    </w:p>
    <w:p>
      <w:pPr>
        <w:pStyle w:val="33"/>
        <w:spacing w:before="0" w:beforeLines="0" w:after="0" w:afterLines="0" w:line="590" w:lineRule="exact"/>
        <w:ind w:firstLine="420" w:firstLineChars="200"/>
        <w:rPr>
          <w:rStyle w:val="60"/>
          <w:rFonts w:ascii="楷体_GB2312" w:hAnsi="黑体" w:eastAsia="楷体_GB2312"/>
          <w:sz w:val="32"/>
          <w:szCs w:val="32"/>
        </w:rPr>
      </w:pPr>
      <w:r>
        <w:fldChar w:fldCharType="begin"/>
      </w:r>
      <w:r>
        <w:instrText xml:space="preserve"> HYPERLINK \l "_Toc78835311" </w:instrText>
      </w:r>
      <w:r>
        <w:fldChar w:fldCharType="separate"/>
      </w:r>
      <w:r>
        <w:rPr>
          <w:rStyle w:val="60"/>
          <w:rFonts w:hint="eastAsia" w:ascii="楷体_GB2312" w:hAnsi="黑体" w:eastAsia="楷体_GB2312"/>
          <w:sz w:val="32"/>
          <w:szCs w:val="32"/>
        </w:rPr>
        <w:t>（二）平面布置</w:t>
      </w:r>
      <w:r>
        <w:rPr>
          <w:rStyle w:val="60"/>
          <w:rFonts w:hint="eastAsia" w:ascii="楷体_GB2312" w:hAnsi="黑体" w:eastAsia="楷体_GB2312"/>
          <w:sz w:val="32"/>
          <w:szCs w:val="32"/>
        </w:rPr>
        <w:tab/>
      </w:r>
      <w:r>
        <w:rPr>
          <w:rStyle w:val="60"/>
          <w:rFonts w:ascii="Times New Roman" w:eastAsia="楷体_GB2312"/>
          <w:sz w:val="32"/>
          <w:szCs w:val="32"/>
        </w:rPr>
        <w:fldChar w:fldCharType="begin"/>
      </w:r>
      <w:r>
        <w:rPr>
          <w:rStyle w:val="60"/>
          <w:rFonts w:ascii="Times New Roman" w:eastAsia="楷体_GB2312"/>
          <w:sz w:val="32"/>
          <w:szCs w:val="32"/>
        </w:rPr>
        <w:instrText xml:space="preserve"> PAGEREF _Toc78835311 \h </w:instrText>
      </w:r>
      <w:r>
        <w:rPr>
          <w:rStyle w:val="60"/>
          <w:rFonts w:ascii="Times New Roman" w:eastAsia="楷体_GB2312"/>
          <w:sz w:val="32"/>
          <w:szCs w:val="32"/>
        </w:rPr>
        <w:fldChar w:fldCharType="separate"/>
      </w:r>
      <w:r>
        <w:rPr>
          <w:rStyle w:val="60"/>
          <w:rFonts w:ascii="Times New Roman" w:eastAsia="楷体_GB2312"/>
          <w:sz w:val="32"/>
          <w:szCs w:val="32"/>
        </w:rPr>
        <w:t>47</w:t>
      </w:r>
      <w:r>
        <w:rPr>
          <w:rStyle w:val="60"/>
          <w:rFonts w:ascii="Times New Roman" w:eastAsia="楷体_GB2312"/>
          <w:sz w:val="32"/>
          <w:szCs w:val="32"/>
        </w:rPr>
        <w:fldChar w:fldCharType="end"/>
      </w:r>
      <w:r>
        <w:rPr>
          <w:rStyle w:val="60"/>
          <w:rFonts w:ascii="Times New Roman" w:eastAsia="楷体_GB2312"/>
          <w:sz w:val="32"/>
          <w:szCs w:val="32"/>
        </w:rPr>
        <w:fldChar w:fldCharType="end"/>
      </w:r>
    </w:p>
    <w:p>
      <w:pPr>
        <w:pStyle w:val="33"/>
        <w:spacing w:before="0" w:beforeLines="0" w:after="0" w:afterLines="0" w:line="590" w:lineRule="exact"/>
        <w:ind w:firstLine="420" w:firstLineChars="200"/>
        <w:rPr>
          <w:rStyle w:val="60"/>
          <w:rFonts w:ascii="楷体_GB2312" w:hAnsi="黑体" w:eastAsia="楷体_GB2312"/>
          <w:sz w:val="32"/>
          <w:szCs w:val="32"/>
        </w:rPr>
      </w:pPr>
      <w:r>
        <w:fldChar w:fldCharType="begin"/>
      </w:r>
      <w:r>
        <w:instrText xml:space="preserve"> HYPERLINK \l "_Toc78835312" </w:instrText>
      </w:r>
      <w:r>
        <w:fldChar w:fldCharType="separate"/>
      </w:r>
      <w:r>
        <w:rPr>
          <w:rStyle w:val="60"/>
          <w:rFonts w:hint="eastAsia" w:ascii="楷体_GB2312" w:hAnsi="黑体" w:eastAsia="楷体_GB2312"/>
          <w:sz w:val="32"/>
          <w:szCs w:val="32"/>
        </w:rPr>
        <w:t>（三）供电系统</w:t>
      </w:r>
      <w:r>
        <w:rPr>
          <w:rStyle w:val="60"/>
          <w:rFonts w:hint="eastAsia" w:ascii="楷体_GB2312" w:hAnsi="黑体" w:eastAsia="楷体_GB2312"/>
          <w:sz w:val="32"/>
          <w:szCs w:val="32"/>
        </w:rPr>
        <w:tab/>
      </w:r>
      <w:r>
        <w:rPr>
          <w:rStyle w:val="60"/>
          <w:rFonts w:ascii="Times New Roman" w:eastAsia="楷体_GB2312"/>
          <w:sz w:val="32"/>
          <w:szCs w:val="32"/>
        </w:rPr>
        <w:fldChar w:fldCharType="begin"/>
      </w:r>
      <w:r>
        <w:rPr>
          <w:rStyle w:val="60"/>
          <w:rFonts w:ascii="Times New Roman" w:eastAsia="楷体_GB2312"/>
          <w:sz w:val="32"/>
          <w:szCs w:val="32"/>
        </w:rPr>
        <w:instrText xml:space="preserve"> PAGEREF _Toc78835312 \h </w:instrText>
      </w:r>
      <w:r>
        <w:rPr>
          <w:rStyle w:val="60"/>
          <w:rFonts w:ascii="Times New Roman" w:eastAsia="楷体_GB2312"/>
          <w:sz w:val="32"/>
          <w:szCs w:val="32"/>
        </w:rPr>
        <w:fldChar w:fldCharType="separate"/>
      </w:r>
      <w:r>
        <w:rPr>
          <w:rStyle w:val="60"/>
          <w:rFonts w:ascii="Times New Roman" w:eastAsia="楷体_GB2312"/>
          <w:sz w:val="32"/>
          <w:szCs w:val="32"/>
        </w:rPr>
        <w:t>47</w:t>
      </w:r>
      <w:r>
        <w:rPr>
          <w:rStyle w:val="60"/>
          <w:rFonts w:ascii="Times New Roman" w:eastAsia="楷体_GB2312"/>
          <w:sz w:val="32"/>
          <w:szCs w:val="32"/>
        </w:rPr>
        <w:fldChar w:fldCharType="end"/>
      </w:r>
      <w:r>
        <w:rPr>
          <w:rStyle w:val="60"/>
          <w:rFonts w:ascii="Times New Roman" w:eastAsia="楷体_GB2312"/>
          <w:sz w:val="32"/>
          <w:szCs w:val="32"/>
        </w:rPr>
        <w:fldChar w:fldCharType="end"/>
      </w:r>
    </w:p>
    <w:p>
      <w:pPr>
        <w:pStyle w:val="33"/>
        <w:spacing w:before="0" w:beforeLines="0" w:after="0" w:afterLines="0" w:line="590" w:lineRule="exact"/>
        <w:rPr>
          <w:rStyle w:val="60"/>
          <w:rFonts w:ascii="黑体" w:hAnsi="黑体" w:eastAsia="黑体"/>
          <w:sz w:val="32"/>
          <w:szCs w:val="32"/>
        </w:rPr>
      </w:pPr>
      <w:r>
        <w:fldChar w:fldCharType="begin"/>
      </w:r>
      <w:r>
        <w:instrText xml:space="preserve"> HYPERLINK \l "_Toc78835313" </w:instrText>
      </w:r>
      <w:r>
        <w:fldChar w:fldCharType="separate"/>
      </w:r>
      <w:r>
        <w:rPr>
          <w:rStyle w:val="60"/>
          <w:rFonts w:hint="eastAsia" w:ascii="黑体" w:hAnsi="黑体" w:eastAsia="黑体"/>
          <w:sz w:val="32"/>
          <w:szCs w:val="32"/>
        </w:rPr>
        <w:t>七、换电设施技术要求</w:t>
      </w:r>
      <w:r>
        <w:rPr>
          <w:rStyle w:val="60"/>
          <w:rFonts w:ascii="黑体" w:hAnsi="黑体" w:eastAsia="黑体"/>
          <w:sz w:val="32"/>
          <w:szCs w:val="32"/>
        </w:rPr>
        <w:tab/>
      </w:r>
      <w:r>
        <w:rPr>
          <w:rStyle w:val="60"/>
          <w:rFonts w:ascii="Times New Roman" w:eastAsia="黑体"/>
          <w:sz w:val="32"/>
          <w:szCs w:val="32"/>
        </w:rPr>
        <w:fldChar w:fldCharType="begin"/>
      </w:r>
      <w:r>
        <w:rPr>
          <w:rStyle w:val="60"/>
          <w:rFonts w:ascii="Times New Roman" w:eastAsia="黑体"/>
          <w:sz w:val="32"/>
          <w:szCs w:val="32"/>
        </w:rPr>
        <w:instrText xml:space="preserve"> PAGEREF _Toc78835313 \h </w:instrText>
      </w:r>
      <w:r>
        <w:rPr>
          <w:rStyle w:val="60"/>
          <w:rFonts w:ascii="Times New Roman" w:eastAsia="黑体"/>
          <w:sz w:val="32"/>
          <w:szCs w:val="32"/>
        </w:rPr>
        <w:fldChar w:fldCharType="separate"/>
      </w:r>
      <w:r>
        <w:rPr>
          <w:rStyle w:val="60"/>
          <w:rFonts w:ascii="Times New Roman" w:eastAsia="黑体"/>
          <w:sz w:val="32"/>
          <w:szCs w:val="32"/>
        </w:rPr>
        <w:t>49</w:t>
      </w:r>
      <w:r>
        <w:rPr>
          <w:rStyle w:val="60"/>
          <w:rFonts w:ascii="Times New Roman" w:eastAsia="黑体"/>
          <w:sz w:val="32"/>
          <w:szCs w:val="32"/>
        </w:rPr>
        <w:fldChar w:fldCharType="end"/>
      </w:r>
      <w:r>
        <w:rPr>
          <w:rStyle w:val="60"/>
          <w:rFonts w:ascii="Times New Roman" w:eastAsia="黑体"/>
          <w:sz w:val="32"/>
          <w:szCs w:val="32"/>
        </w:rPr>
        <w:fldChar w:fldCharType="end"/>
      </w:r>
    </w:p>
    <w:p>
      <w:pPr>
        <w:pStyle w:val="33"/>
        <w:spacing w:before="0" w:beforeLines="0" w:after="0" w:afterLines="0" w:line="590" w:lineRule="exact"/>
        <w:ind w:firstLine="420" w:firstLineChars="200"/>
        <w:rPr>
          <w:rStyle w:val="60"/>
          <w:rFonts w:ascii="楷体_GB2312" w:hAnsi="黑体" w:eastAsia="楷体_GB2312"/>
          <w:sz w:val="32"/>
          <w:szCs w:val="32"/>
        </w:rPr>
      </w:pPr>
      <w:r>
        <w:fldChar w:fldCharType="begin"/>
      </w:r>
      <w:r>
        <w:instrText xml:space="preserve"> HYPERLINK \l "_Toc78835314" </w:instrText>
      </w:r>
      <w:r>
        <w:fldChar w:fldCharType="separate"/>
      </w:r>
      <w:r>
        <w:rPr>
          <w:rStyle w:val="60"/>
          <w:rFonts w:hint="eastAsia" w:ascii="楷体_GB2312" w:hAnsi="黑体" w:eastAsia="楷体_GB2312"/>
          <w:sz w:val="32"/>
          <w:szCs w:val="32"/>
        </w:rPr>
        <w:t>（一）整体要求</w:t>
      </w:r>
      <w:r>
        <w:rPr>
          <w:rStyle w:val="60"/>
          <w:rFonts w:hint="eastAsia" w:ascii="楷体_GB2312" w:hAnsi="黑体" w:eastAsia="楷体_GB2312"/>
          <w:sz w:val="32"/>
          <w:szCs w:val="32"/>
        </w:rPr>
        <w:tab/>
      </w:r>
      <w:r>
        <w:rPr>
          <w:rStyle w:val="60"/>
          <w:rFonts w:ascii="Times New Roman" w:eastAsia="楷体_GB2312"/>
          <w:sz w:val="32"/>
          <w:szCs w:val="32"/>
        </w:rPr>
        <w:fldChar w:fldCharType="begin"/>
      </w:r>
      <w:r>
        <w:rPr>
          <w:rStyle w:val="60"/>
          <w:rFonts w:ascii="Times New Roman" w:eastAsia="楷体_GB2312"/>
          <w:sz w:val="32"/>
          <w:szCs w:val="32"/>
        </w:rPr>
        <w:instrText xml:space="preserve"> PAGEREF _Toc78835314 \h </w:instrText>
      </w:r>
      <w:r>
        <w:rPr>
          <w:rStyle w:val="60"/>
          <w:rFonts w:ascii="Times New Roman" w:eastAsia="楷体_GB2312"/>
          <w:sz w:val="32"/>
          <w:szCs w:val="32"/>
        </w:rPr>
        <w:fldChar w:fldCharType="separate"/>
      </w:r>
      <w:r>
        <w:rPr>
          <w:rStyle w:val="60"/>
          <w:rFonts w:ascii="Times New Roman" w:eastAsia="楷体_GB2312"/>
          <w:sz w:val="32"/>
          <w:szCs w:val="32"/>
        </w:rPr>
        <w:t>49</w:t>
      </w:r>
      <w:r>
        <w:rPr>
          <w:rStyle w:val="60"/>
          <w:rFonts w:ascii="Times New Roman" w:eastAsia="楷体_GB2312"/>
          <w:sz w:val="32"/>
          <w:szCs w:val="32"/>
        </w:rPr>
        <w:fldChar w:fldCharType="end"/>
      </w:r>
      <w:r>
        <w:rPr>
          <w:rStyle w:val="60"/>
          <w:rFonts w:ascii="Times New Roman" w:eastAsia="楷体_GB2312"/>
          <w:sz w:val="32"/>
          <w:szCs w:val="32"/>
        </w:rPr>
        <w:fldChar w:fldCharType="end"/>
      </w:r>
    </w:p>
    <w:p>
      <w:pPr>
        <w:pStyle w:val="33"/>
        <w:spacing w:before="0" w:beforeLines="0" w:after="0" w:afterLines="0" w:line="590" w:lineRule="exact"/>
        <w:ind w:firstLine="420" w:firstLineChars="200"/>
        <w:rPr>
          <w:rStyle w:val="60"/>
          <w:rFonts w:ascii="楷体_GB2312" w:hAnsi="黑体" w:eastAsia="楷体_GB2312"/>
          <w:sz w:val="32"/>
          <w:szCs w:val="32"/>
        </w:rPr>
      </w:pPr>
      <w:r>
        <w:fldChar w:fldCharType="begin"/>
      </w:r>
      <w:r>
        <w:instrText xml:space="preserve"> HYPERLINK \l "_Toc78835315" </w:instrText>
      </w:r>
      <w:r>
        <w:fldChar w:fldCharType="separate"/>
      </w:r>
      <w:r>
        <w:rPr>
          <w:rStyle w:val="60"/>
          <w:rFonts w:hint="eastAsia" w:ascii="楷体_GB2312" w:hAnsi="黑体" w:eastAsia="楷体_GB2312"/>
          <w:sz w:val="32"/>
          <w:szCs w:val="32"/>
        </w:rPr>
        <w:t>（二）安装布局</w:t>
      </w:r>
      <w:r>
        <w:rPr>
          <w:rStyle w:val="60"/>
          <w:rFonts w:hint="eastAsia" w:ascii="楷体_GB2312" w:hAnsi="黑体" w:eastAsia="楷体_GB2312"/>
          <w:sz w:val="32"/>
          <w:szCs w:val="32"/>
        </w:rPr>
        <w:tab/>
      </w:r>
      <w:r>
        <w:rPr>
          <w:rStyle w:val="60"/>
          <w:rFonts w:ascii="Times New Roman" w:eastAsia="楷体_GB2312"/>
          <w:sz w:val="32"/>
          <w:szCs w:val="32"/>
        </w:rPr>
        <w:fldChar w:fldCharType="begin"/>
      </w:r>
      <w:r>
        <w:rPr>
          <w:rStyle w:val="60"/>
          <w:rFonts w:ascii="Times New Roman" w:eastAsia="楷体_GB2312"/>
          <w:sz w:val="32"/>
          <w:szCs w:val="32"/>
        </w:rPr>
        <w:instrText xml:space="preserve"> PAGEREF _Toc78835315 \h </w:instrText>
      </w:r>
      <w:r>
        <w:rPr>
          <w:rStyle w:val="60"/>
          <w:rFonts w:ascii="Times New Roman" w:eastAsia="楷体_GB2312"/>
          <w:sz w:val="32"/>
          <w:szCs w:val="32"/>
        </w:rPr>
        <w:fldChar w:fldCharType="separate"/>
      </w:r>
      <w:r>
        <w:rPr>
          <w:rStyle w:val="60"/>
          <w:rFonts w:ascii="Times New Roman" w:eastAsia="楷体_GB2312"/>
          <w:sz w:val="32"/>
          <w:szCs w:val="32"/>
        </w:rPr>
        <w:t>50</w:t>
      </w:r>
      <w:r>
        <w:rPr>
          <w:rStyle w:val="60"/>
          <w:rFonts w:ascii="Times New Roman" w:eastAsia="楷体_GB2312"/>
          <w:sz w:val="32"/>
          <w:szCs w:val="32"/>
        </w:rPr>
        <w:fldChar w:fldCharType="end"/>
      </w:r>
      <w:r>
        <w:rPr>
          <w:rStyle w:val="60"/>
          <w:rFonts w:ascii="Times New Roman" w:eastAsia="楷体_GB2312"/>
          <w:sz w:val="32"/>
          <w:szCs w:val="32"/>
        </w:rPr>
        <w:fldChar w:fldCharType="end"/>
      </w:r>
    </w:p>
    <w:p>
      <w:pPr>
        <w:pStyle w:val="33"/>
        <w:spacing w:before="0" w:beforeLines="0" w:after="0" w:afterLines="0" w:line="590" w:lineRule="exact"/>
        <w:ind w:firstLine="420" w:firstLineChars="200"/>
        <w:rPr>
          <w:rStyle w:val="60"/>
          <w:rFonts w:ascii="楷体_GB2312" w:hAnsi="黑体" w:eastAsia="楷体_GB2312"/>
          <w:sz w:val="32"/>
          <w:szCs w:val="32"/>
        </w:rPr>
      </w:pPr>
      <w:r>
        <w:fldChar w:fldCharType="begin"/>
      </w:r>
      <w:r>
        <w:instrText xml:space="preserve"> HYPERLINK \l "_Toc78835316" </w:instrText>
      </w:r>
      <w:r>
        <w:fldChar w:fldCharType="separate"/>
      </w:r>
      <w:r>
        <w:rPr>
          <w:rStyle w:val="60"/>
          <w:rFonts w:hint="eastAsia" w:ascii="楷体_GB2312" w:hAnsi="黑体" w:eastAsia="楷体_GB2312"/>
          <w:sz w:val="32"/>
          <w:szCs w:val="32"/>
        </w:rPr>
        <w:t>（三）吊装系统</w:t>
      </w:r>
      <w:r>
        <w:rPr>
          <w:rStyle w:val="60"/>
          <w:rFonts w:hint="eastAsia" w:ascii="楷体_GB2312" w:hAnsi="黑体" w:eastAsia="楷体_GB2312"/>
          <w:sz w:val="32"/>
          <w:szCs w:val="32"/>
        </w:rPr>
        <w:tab/>
      </w:r>
      <w:r>
        <w:rPr>
          <w:rStyle w:val="60"/>
          <w:rFonts w:ascii="Times New Roman" w:eastAsia="楷体_GB2312"/>
          <w:sz w:val="32"/>
          <w:szCs w:val="32"/>
        </w:rPr>
        <w:fldChar w:fldCharType="begin"/>
      </w:r>
      <w:r>
        <w:rPr>
          <w:rStyle w:val="60"/>
          <w:rFonts w:ascii="Times New Roman" w:eastAsia="楷体_GB2312"/>
          <w:sz w:val="32"/>
          <w:szCs w:val="32"/>
        </w:rPr>
        <w:instrText xml:space="preserve"> PAGEREF _Toc78835316 \h </w:instrText>
      </w:r>
      <w:r>
        <w:rPr>
          <w:rStyle w:val="60"/>
          <w:rFonts w:ascii="Times New Roman" w:eastAsia="楷体_GB2312"/>
          <w:sz w:val="32"/>
          <w:szCs w:val="32"/>
        </w:rPr>
        <w:fldChar w:fldCharType="separate"/>
      </w:r>
      <w:r>
        <w:rPr>
          <w:rStyle w:val="60"/>
          <w:rFonts w:ascii="Times New Roman" w:eastAsia="楷体_GB2312"/>
          <w:sz w:val="32"/>
          <w:szCs w:val="32"/>
        </w:rPr>
        <w:t>50</w:t>
      </w:r>
      <w:r>
        <w:rPr>
          <w:rStyle w:val="60"/>
          <w:rFonts w:ascii="Times New Roman" w:eastAsia="楷体_GB2312"/>
          <w:sz w:val="32"/>
          <w:szCs w:val="32"/>
        </w:rPr>
        <w:fldChar w:fldCharType="end"/>
      </w:r>
      <w:r>
        <w:rPr>
          <w:rStyle w:val="60"/>
          <w:rFonts w:ascii="Times New Roman" w:eastAsia="楷体_GB2312"/>
          <w:sz w:val="32"/>
          <w:szCs w:val="32"/>
        </w:rPr>
        <w:fldChar w:fldCharType="end"/>
      </w:r>
    </w:p>
    <w:p>
      <w:pPr>
        <w:pStyle w:val="33"/>
        <w:spacing w:before="0" w:beforeLines="0" w:after="0" w:afterLines="0" w:line="590" w:lineRule="exact"/>
        <w:ind w:firstLine="420" w:firstLineChars="200"/>
        <w:rPr>
          <w:rStyle w:val="60"/>
          <w:rFonts w:ascii="楷体_GB2312" w:hAnsi="黑体" w:eastAsia="楷体_GB2312"/>
          <w:sz w:val="32"/>
          <w:szCs w:val="32"/>
        </w:rPr>
      </w:pPr>
      <w:r>
        <w:fldChar w:fldCharType="begin"/>
      </w:r>
      <w:r>
        <w:instrText xml:space="preserve"> HYPERLINK \l "_Toc78835317" </w:instrText>
      </w:r>
      <w:r>
        <w:fldChar w:fldCharType="separate"/>
      </w:r>
      <w:r>
        <w:rPr>
          <w:rStyle w:val="60"/>
          <w:rFonts w:hint="eastAsia" w:ascii="楷体_GB2312" w:hAnsi="黑体" w:eastAsia="楷体_GB2312"/>
          <w:sz w:val="32"/>
          <w:szCs w:val="32"/>
        </w:rPr>
        <w:t>（四）充电系统</w:t>
      </w:r>
      <w:r>
        <w:rPr>
          <w:rStyle w:val="60"/>
          <w:rFonts w:hint="eastAsia" w:ascii="楷体_GB2312" w:hAnsi="黑体" w:eastAsia="楷体_GB2312"/>
          <w:sz w:val="32"/>
          <w:szCs w:val="32"/>
        </w:rPr>
        <w:tab/>
      </w:r>
      <w:r>
        <w:rPr>
          <w:rStyle w:val="60"/>
          <w:rFonts w:ascii="Times New Roman" w:eastAsia="楷体_GB2312"/>
          <w:sz w:val="32"/>
          <w:szCs w:val="32"/>
        </w:rPr>
        <w:fldChar w:fldCharType="begin"/>
      </w:r>
      <w:r>
        <w:rPr>
          <w:rStyle w:val="60"/>
          <w:rFonts w:ascii="Times New Roman" w:eastAsia="楷体_GB2312"/>
          <w:sz w:val="32"/>
          <w:szCs w:val="32"/>
        </w:rPr>
        <w:instrText xml:space="preserve"> PAGEREF _Toc78835317 \h </w:instrText>
      </w:r>
      <w:r>
        <w:rPr>
          <w:rStyle w:val="60"/>
          <w:rFonts w:ascii="Times New Roman" w:eastAsia="楷体_GB2312"/>
          <w:sz w:val="32"/>
          <w:szCs w:val="32"/>
        </w:rPr>
        <w:fldChar w:fldCharType="separate"/>
      </w:r>
      <w:r>
        <w:rPr>
          <w:rStyle w:val="60"/>
          <w:rFonts w:ascii="Times New Roman" w:eastAsia="楷体_GB2312"/>
          <w:sz w:val="32"/>
          <w:szCs w:val="32"/>
        </w:rPr>
        <w:t>52</w:t>
      </w:r>
      <w:r>
        <w:rPr>
          <w:rStyle w:val="60"/>
          <w:rFonts w:ascii="Times New Roman" w:eastAsia="楷体_GB2312"/>
          <w:sz w:val="32"/>
          <w:szCs w:val="32"/>
        </w:rPr>
        <w:fldChar w:fldCharType="end"/>
      </w:r>
      <w:r>
        <w:rPr>
          <w:rStyle w:val="60"/>
          <w:rFonts w:ascii="Times New Roman" w:eastAsia="楷体_GB2312"/>
          <w:sz w:val="32"/>
          <w:szCs w:val="32"/>
        </w:rPr>
        <w:fldChar w:fldCharType="end"/>
      </w:r>
    </w:p>
    <w:p>
      <w:pPr>
        <w:pStyle w:val="33"/>
        <w:spacing w:before="0" w:beforeLines="0" w:after="0" w:afterLines="0" w:line="590" w:lineRule="exact"/>
        <w:ind w:firstLine="420" w:firstLineChars="200"/>
        <w:rPr>
          <w:rStyle w:val="60"/>
          <w:rFonts w:ascii="楷体_GB2312" w:hAnsi="黑体" w:eastAsia="楷体_GB2312"/>
          <w:sz w:val="32"/>
          <w:szCs w:val="32"/>
        </w:rPr>
      </w:pPr>
      <w:r>
        <w:fldChar w:fldCharType="begin"/>
      </w:r>
      <w:r>
        <w:instrText xml:space="preserve"> HYPERLINK \l "_Toc78835318" </w:instrText>
      </w:r>
      <w:r>
        <w:fldChar w:fldCharType="separate"/>
      </w:r>
      <w:r>
        <w:rPr>
          <w:rStyle w:val="60"/>
          <w:rFonts w:hint="eastAsia" w:ascii="楷体_GB2312" w:hAnsi="黑体" w:eastAsia="楷体_GB2312"/>
          <w:sz w:val="32"/>
          <w:szCs w:val="32"/>
        </w:rPr>
        <w:t>（五）控制系统</w:t>
      </w:r>
      <w:r>
        <w:rPr>
          <w:rStyle w:val="60"/>
          <w:rFonts w:hint="eastAsia" w:ascii="楷体_GB2312" w:hAnsi="黑体" w:eastAsia="楷体_GB2312"/>
          <w:sz w:val="32"/>
          <w:szCs w:val="32"/>
        </w:rPr>
        <w:tab/>
      </w:r>
      <w:r>
        <w:rPr>
          <w:rStyle w:val="60"/>
          <w:rFonts w:ascii="Times New Roman" w:eastAsia="楷体_GB2312"/>
          <w:sz w:val="32"/>
          <w:szCs w:val="32"/>
        </w:rPr>
        <w:fldChar w:fldCharType="begin"/>
      </w:r>
      <w:r>
        <w:rPr>
          <w:rStyle w:val="60"/>
          <w:rFonts w:ascii="Times New Roman" w:eastAsia="楷体_GB2312"/>
          <w:sz w:val="32"/>
          <w:szCs w:val="32"/>
        </w:rPr>
        <w:instrText xml:space="preserve"> PAGEREF _Toc78835318 \h </w:instrText>
      </w:r>
      <w:r>
        <w:rPr>
          <w:rStyle w:val="60"/>
          <w:rFonts w:ascii="Times New Roman" w:eastAsia="楷体_GB2312"/>
          <w:sz w:val="32"/>
          <w:szCs w:val="32"/>
        </w:rPr>
        <w:fldChar w:fldCharType="separate"/>
      </w:r>
      <w:r>
        <w:rPr>
          <w:rStyle w:val="60"/>
          <w:rFonts w:ascii="Times New Roman" w:eastAsia="楷体_GB2312"/>
          <w:sz w:val="32"/>
          <w:szCs w:val="32"/>
        </w:rPr>
        <w:t>52</w:t>
      </w:r>
      <w:r>
        <w:rPr>
          <w:rStyle w:val="60"/>
          <w:rFonts w:ascii="Times New Roman" w:eastAsia="楷体_GB2312"/>
          <w:sz w:val="32"/>
          <w:szCs w:val="32"/>
        </w:rPr>
        <w:fldChar w:fldCharType="end"/>
      </w:r>
      <w:r>
        <w:rPr>
          <w:rStyle w:val="60"/>
          <w:rFonts w:ascii="Times New Roman" w:eastAsia="楷体_GB2312"/>
          <w:sz w:val="32"/>
          <w:szCs w:val="32"/>
        </w:rPr>
        <w:fldChar w:fldCharType="end"/>
      </w:r>
    </w:p>
    <w:p>
      <w:pPr>
        <w:pStyle w:val="33"/>
        <w:spacing w:before="0" w:beforeLines="0" w:after="0" w:afterLines="0" w:line="590" w:lineRule="exact"/>
        <w:ind w:firstLine="420" w:firstLineChars="200"/>
        <w:rPr>
          <w:rStyle w:val="60"/>
          <w:rFonts w:ascii="楷体_GB2312" w:hAnsi="黑体" w:eastAsia="楷体_GB2312"/>
          <w:sz w:val="32"/>
          <w:szCs w:val="32"/>
        </w:rPr>
      </w:pPr>
      <w:r>
        <w:fldChar w:fldCharType="begin"/>
      </w:r>
      <w:r>
        <w:instrText xml:space="preserve"> HYPERLINK \l "_Toc78835319" </w:instrText>
      </w:r>
      <w:r>
        <w:fldChar w:fldCharType="separate"/>
      </w:r>
      <w:r>
        <w:rPr>
          <w:rStyle w:val="60"/>
          <w:rFonts w:hint="eastAsia" w:ascii="楷体_GB2312" w:hAnsi="黑体" w:eastAsia="楷体_GB2312"/>
          <w:sz w:val="32"/>
          <w:szCs w:val="32"/>
        </w:rPr>
        <w:t>（六）换电站房</w:t>
      </w:r>
      <w:r>
        <w:rPr>
          <w:rStyle w:val="60"/>
          <w:rFonts w:hint="eastAsia" w:ascii="楷体_GB2312" w:hAnsi="黑体" w:eastAsia="楷体_GB2312"/>
          <w:sz w:val="32"/>
          <w:szCs w:val="32"/>
        </w:rPr>
        <w:tab/>
      </w:r>
      <w:r>
        <w:rPr>
          <w:rStyle w:val="60"/>
          <w:rFonts w:ascii="Times New Roman" w:eastAsia="楷体_GB2312"/>
          <w:sz w:val="32"/>
          <w:szCs w:val="32"/>
        </w:rPr>
        <w:fldChar w:fldCharType="begin"/>
      </w:r>
      <w:r>
        <w:rPr>
          <w:rStyle w:val="60"/>
          <w:rFonts w:ascii="Times New Roman" w:eastAsia="楷体_GB2312"/>
          <w:sz w:val="32"/>
          <w:szCs w:val="32"/>
        </w:rPr>
        <w:instrText xml:space="preserve"> PAGEREF _Toc78835319 \h </w:instrText>
      </w:r>
      <w:r>
        <w:rPr>
          <w:rStyle w:val="60"/>
          <w:rFonts w:ascii="Times New Roman" w:eastAsia="楷体_GB2312"/>
          <w:sz w:val="32"/>
          <w:szCs w:val="32"/>
        </w:rPr>
        <w:fldChar w:fldCharType="separate"/>
      </w:r>
      <w:r>
        <w:rPr>
          <w:rStyle w:val="60"/>
          <w:rFonts w:ascii="Times New Roman" w:eastAsia="楷体_GB2312"/>
          <w:sz w:val="32"/>
          <w:szCs w:val="32"/>
        </w:rPr>
        <w:t>52</w:t>
      </w:r>
      <w:r>
        <w:rPr>
          <w:rStyle w:val="60"/>
          <w:rFonts w:ascii="Times New Roman" w:eastAsia="楷体_GB2312"/>
          <w:sz w:val="32"/>
          <w:szCs w:val="32"/>
        </w:rPr>
        <w:fldChar w:fldCharType="end"/>
      </w:r>
      <w:r>
        <w:rPr>
          <w:rStyle w:val="60"/>
          <w:rFonts w:ascii="Times New Roman" w:eastAsia="楷体_GB2312"/>
          <w:sz w:val="32"/>
          <w:szCs w:val="32"/>
        </w:rPr>
        <w:fldChar w:fldCharType="end"/>
      </w:r>
    </w:p>
    <w:p>
      <w:pPr>
        <w:pStyle w:val="33"/>
        <w:spacing w:before="0" w:beforeLines="0" w:after="0" w:afterLines="0" w:line="590" w:lineRule="exact"/>
        <w:rPr>
          <w:rStyle w:val="60"/>
          <w:rFonts w:ascii="黑体" w:hAnsi="黑体" w:eastAsia="黑体"/>
          <w:sz w:val="32"/>
          <w:szCs w:val="32"/>
        </w:rPr>
      </w:pPr>
      <w:r>
        <w:fldChar w:fldCharType="begin"/>
      </w:r>
      <w:r>
        <w:instrText xml:space="preserve"> HYPERLINK \l "_Toc78835320" </w:instrText>
      </w:r>
      <w:r>
        <w:fldChar w:fldCharType="separate"/>
      </w:r>
      <w:r>
        <w:rPr>
          <w:rStyle w:val="60"/>
          <w:rFonts w:hint="eastAsia" w:ascii="黑体" w:hAnsi="黑体" w:eastAsia="黑体"/>
          <w:sz w:val="32"/>
          <w:szCs w:val="32"/>
        </w:rPr>
        <w:t>八、充换电设施储能系统技术要求</w:t>
      </w:r>
      <w:r>
        <w:rPr>
          <w:rStyle w:val="60"/>
          <w:rFonts w:ascii="黑体" w:hAnsi="黑体" w:eastAsia="黑体"/>
          <w:sz w:val="32"/>
          <w:szCs w:val="32"/>
        </w:rPr>
        <w:tab/>
      </w:r>
      <w:r>
        <w:rPr>
          <w:rStyle w:val="60"/>
          <w:rFonts w:ascii="Times New Roman" w:eastAsia="黑体"/>
          <w:sz w:val="32"/>
          <w:szCs w:val="32"/>
        </w:rPr>
        <w:fldChar w:fldCharType="begin"/>
      </w:r>
      <w:r>
        <w:rPr>
          <w:rStyle w:val="60"/>
          <w:rFonts w:ascii="Times New Roman" w:eastAsia="黑体"/>
          <w:sz w:val="32"/>
          <w:szCs w:val="32"/>
        </w:rPr>
        <w:instrText xml:space="preserve"> PAGEREF _Toc78835320 \h </w:instrText>
      </w:r>
      <w:r>
        <w:rPr>
          <w:rStyle w:val="60"/>
          <w:rFonts w:ascii="Times New Roman" w:eastAsia="黑体"/>
          <w:sz w:val="32"/>
          <w:szCs w:val="32"/>
        </w:rPr>
        <w:fldChar w:fldCharType="separate"/>
      </w:r>
      <w:r>
        <w:rPr>
          <w:rStyle w:val="60"/>
          <w:rFonts w:ascii="Times New Roman" w:eastAsia="黑体"/>
          <w:sz w:val="32"/>
          <w:szCs w:val="32"/>
        </w:rPr>
        <w:t>53</w:t>
      </w:r>
      <w:r>
        <w:rPr>
          <w:rStyle w:val="60"/>
          <w:rFonts w:ascii="Times New Roman" w:eastAsia="黑体"/>
          <w:sz w:val="32"/>
          <w:szCs w:val="32"/>
        </w:rPr>
        <w:fldChar w:fldCharType="end"/>
      </w:r>
      <w:r>
        <w:rPr>
          <w:rStyle w:val="60"/>
          <w:rFonts w:ascii="Times New Roman" w:eastAsia="黑体"/>
          <w:sz w:val="32"/>
          <w:szCs w:val="32"/>
        </w:rPr>
        <w:fldChar w:fldCharType="end"/>
      </w:r>
    </w:p>
    <w:p>
      <w:pPr>
        <w:pStyle w:val="33"/>
        <w:spacing w:before="0" w:beforeLines="0" w:after="0" w:afterLines="0" w:line="590" w:lineRule="exact"/>
        <w:ind w:firstLine="420" w:firstLineChars="200"/>
        <w:rPr>
          <w:rStyle w:val="60"/>
          <w:rFonts w:ascii="楷体_GB2312" w:hAnsi="黑体" w:eastAsia="楷体_GB2312"/>
          <w:sz w:val="32"/>
          <w:szCs w:val="32"/>
        </w:rPr>
      </w:pPr>
      <w:r>
        <w:fldChar w:fldCharType="begin"/>
      </w:r>
      <w:r>
        <w:instrText xml:space="preserve"> HYPERLINK \l "_Toc78835321" </w:instrText>
      </w:r>
      <w:r>
        <w:fldChar w:fldCharType="separate"/>
      </w:r>
      <w:r>
        <w:rPr>
          <w:rStyle w:val="60"/>
          <w:rFonts w:hint="eastAsia" w:ascii="楷体_GB2312" w:hAnsi="黑体" w:eastAsia="楷体_GB2312"/>
          <w:sz w:val="32"/>
          <w:szCs w:val="32"/>
        </w:rPr>
        <w:t>（一）储能系统类型</w:t>
      </w:r>
      <w:r>
        <w:rPr>
          <w:rStyle w:val="60"/>
          <w:rFonts w:hint="eastAsia" w:ascii="楷体_GB2312" w:hAnsi="黑体" w:eastAsia="楷体_GB2312"/>
          <w:sz w:val="32"/>
          <w:szCs w:val="32"/>
        </w:rPr>
        <w:tab/>
      </w:r>
      <w:r>
        <w:rPr>
          <w:rStyle w:val="60"/>
          <w:rFonts w:ascii="Times New Roman" w:eastAsia="楷体_GB2312"/>
          <w:sz w:val="32"/>
          <w:szCs w:val="32"/>
        </w:rPr>
        <w:fldChar w:fldCharType="begin"/>
      </w:r>
      <w:r>
        <w:rPr>
          <w:rStyle w:val="60"/>
          <w:rFonts w:ascii="Times New Roman" w:eastAsia="楷体_GB2312"/>
          <w:sz w:val="32"/>
          <w:szCs w:val="32"/>
        </w:rPr>
        <w:instrText xml:space="preserve"> PAGEREF _Toc78835321 \h </w:instrText>
      </w:r>
      <w:r>
        <w:rPr>
          <w:rStyle w:val="60"/>
          <w:rFonts w:ascii="Times New Roman" w:eastAsia="楷体_GB2312"/>
          <w:sz w:val="32"/>
          <w:szCs w:val="32"/>
        </w:rPr>
        <w:fldChar w:fldCharType="separate"/>
      </w:r>
      <w:r>
        <w:rPr>
          <w:rStyle w:val="60"/>
          <w:rFonts w:ascii="Times New Roman" w:eastAsia="楷体_GB2312"/>
          <w:sz w:val="32"/>
          <w:szCs w:val="32"/>
        </w:rPr>
        <w:t>53</w:t>
      </w:r>
      <w:r>
        <w:rPr>
          <w:rStyle w:val="60"/>
          <w:rFonts w:ascii="Times New Roman" w:eastAsia="楷体_GB2312"/>
          <w:sz w:val="32"/>
          <w:szCs w:val="32"/>
        </w:rPr>
        <w:fldChar w:fldCharType="end"/>
      </w:r>
      <w:r>
        <w:rPr>
          <w:rStyle w:val="60"/>
          <w:rFonts w:ascii="Times New Roman" w:eastAsia="楷体_GB2312"/>
          <w:sz w:val="32"/>
          <w:szCs w:val="32"/>
        </w:rPr>
        <w:fldChar w:fldCharType="end"/>
      </w:r>
    </w:p>
    <w:p>
      <w:pPr>
        <w:pStyle w:val="33"/>
        <w:spacing w:before="0" w:beforeLines="0" w:after="0" w:afterLines="0" w:line="590" w:lineRule="exact"/>
        <w:ind w:firstLine="420" w:firstLineChars="200"/>
        <w:rPr>
          <w:rStyle w:val="60"/>
          <w:rFonts w:ascii="楷体_GB2312" w:hAnsi="黑体" w:eastAsia="楷体_GB2312"/>
          <w:sz w:val="32"/>
          <w:szCs w:val="32"/>
        </w:rPr>
      </w:pPr>
      <w:r>
        <w:fldChar w:fldCharType="begin"/>
      </w:r>
      <w:r>
        <w:instrText xml:space="preserve"> HYPERLINK \l "_Toc78835322" </w:instrText>
      </w:r>
      <w:r>
        <w:fldChar w:fldCharType="separate"/>
      </w:r>
      <w:r>
        <w:rPr>
          <w:rStyle w:val="60"/>
          <w:rFonts w:hint="eastAsia" w:ascii="楷体_GB2312" w:hAnsi="黑体" w:eastAsia="楷体_GB2312"/>
          <w:sz w:val="32"/>
          <w:szCs w:val="32"/>
        </w:rPr>
        <w:t>（二）储能系统磷酸铁锂电池安全技术要求</w:t>
      </w:r>
      <w:r>
        <w:rPr>
          <w:rStyle w:val="60"/>
          <w:rFonts w:hint="eastAsia" w:ascii="楷体_GB2312" w:hAnsi="黑体" w:eastAsia="楷体_GB2312"/>
          <w:sz w:val="32"/>
          <w:szCs w:val="32"/>
        </w:rPr>
        <w:tab/>
      </w:r>
      <w:r>
        <w:rPr>
          <w:rStyle w:val="60"/>
          <w:rFonts w:ascii="Times New Roman" w:eastAsia="楷体_GB2312"/>
          <w:sz w:val="32"/>
          <w:szCs w:val="32"/>
        </w:rPr>
        <w:fldChar w:fldCharType="begin"/>
      </w:r>
      <w:r>
        <w:rPr>
          <w:rStyle w:val="60"/>
          <w:rFonts w:ascii="Times New Roman" w:eastAsia="楷体_GB2312"/>
          <w:sz w:val="32"/>
          <w:szCs w:val="32"/>
        </w:rPr>
        <w:instrText xml:space="preserve"> PAGEREF _Toc78835322 \h </w:instrText>
      </w:r>
      <w:r>
        <w:rPr>
          <w:rStyle w:val="60"/>
          <w:rFonts w:ascii="Times New Roman" w:eastAsia="楷体_GB2312"/>
          <w:sz w:val="32"/>
          <w:szCs w:val="32"/>
        </w:rPr>
        <w:fldChar w:fldCharType="separate"/>
      </w:r>
      <w:r>
        <w:rPr>
          <w:rStyle w:val="60"/>
          <w:rFonts w:ascii="Times New Roman" w:eastAsia="楷体_GB2312"/>
          <w:sz w:val="32"/>
          <w:szCs w:val="32"/>
        </w:rPr>
        <w:t>53</w:t>
      </w:r>
      <w:r>
        <w:rPr>
          <w:rStyle w:val="60"/>
          <w:rFonts w:ascii="Times New Roman" w:eastAsia="楷体_GB2312"/>
          <w:sz w:val="32"/>
          <w:szCs w:val="32"/>
        </w:rPr>
        <w:fldChar w:fldCharType="end"/>
      </w:r>
      <w:r>
        <w:rPr>
          <w:rStyle w:val="60"/>
          <w:rFonts w:ascii="Times New Roman" w:eastAsia="楷体_GB2312"/>
          <w:sz w:val="32"/>
          <w:szCs w:val="32"/>
        </w:rPr>
        <w:fldChar w:fldCharType="end"/>
      </w:r>
    </w:p>
    <w:p>
      <w:pPr>
        <w:pStyle w:val="33"/>
        <w:spacing w:before="0" w:beforeLines="0" w:after="0" w:afterLines="0" w:line="590" w:lineRule="exact"/>
        <w:ind w:firstLine="420" w:firstLineChars="200"/>
        <w:rPr>
          <w:rStyle w:val="60"/>
          <w:rFonts w:ascii="楷体_GB2312" w:hAnsi="黑体" w:eastAsia="楷体_GB2312"/>
          <w:sz w:val="32"/>
          <w:szCs w:val="32"/>
        </w:rPr>
      </w:pPr>
      <w:r>
        <w:fldChar w:fldCharType="begin"/>
      </w:r>
      <w:r>
        <w:instrText xml:space="preserve"> HYPERLINK \l "_Toc78835323" </w:instrText>
      </w:r>
      <w:r>
        <w:fldChar w:fldCharType="separate"/>
      </w:r>
      <w:r>
        <w:rPr>
          <w:rStyle w:val="60"/>
          <w:rFonts w:hint="eastAsia" w:ascii="楷体_GB2312" w:hAnsi="黑体" w:eastAsia="楷体_GB2312"/>
          <w:sz w:val="32"/>
          <w:szCs w:val="32"/>
        </w:rPr>
        <w:t>（三）储能系统电池管理系统安全技术要求</w:t>
      </w:r>
      <w:r>
        <w:rPr>
          <w:rStyle w:val="60"/>
          <w:rFonts w:hint="eastAsia" w:ascii="楷体_GB2312" w:hAnsi="黑体" w:eastAsia="楷体_GB2312"/>
          <w:sz w:val="32"/>
          <w:szCs w:val="32"/>
        </w:rPr>
        <w:tab/>
      </w:r>
      <w:r>
        <w:rPr>
          <w:rStyle w:val="60"/>
          <w:rFonts w:ascii="Times New Roman" w:eastAsia="楷体_GB2312"/>
          <w:sz w:val="32"/>
          <w:szCs w:val="32"/>
        </w:rPr>
        <w:fldChar w:fldCharType="begin"/>
      </w:r>
      <w:r>
        <w:rPr>
          <w:rStyle w:val="60"/>
          <w:rFonts w:ascii="Times New Roman" w:eastAsia="楷体_GB2312"/>
          <w:sz w:val="32"/>
          <w:szCs w:val="32"/>
        </w:rPr>
        <w:instrText xml:space="preserve"> PAGEREF _Toc78835323 \h </w:instrText>
      </w:r>
      <w:r>
        <w:rPr>
          <w:rStyle w:val="60"/>
          <w:rFonts w:ascii="Times New Roman" w:eastAsia="楷体_GB2312"/>
          <w:sz w:val="32"/>
          <w:szCs w:val="32"/>
        </w:rPr>
        <w:fldChar w:fldCharType="separate"/>
      </w:r>
      <w:r>
        <w:rPr>
          <w:rStyle w:val="60"/>
          <w:rFonts w:ascii="Times New Roman" w:eastAsia="楷体_GB2312"/>
          <w:sz w:val="32"/>
          <w:szCs w:val="32"/>
        </w:rPr>
        <w:t>54</w:t>
      </w:r>
      <w:r>
        <w:rPr>
          <w:rStyle w:val="60"/>
          <w:rFonts w:ascii="Times New Roman" w:eastAsia="楷体_GB2312"/>
          <w:sz w:val="32"/>
          <w:szCs w:val="32"/>
        </w:rPr>
        <w:fldChar w:fldCharType="end"/>
      </w:r>
      <w:r>
        <w:rPr>
          <w:rStyle w:val="60"/>
          <w:rFonts w:ascii="Times New Roman" w:eastAsia="楷体_GB2312"/>
          <w:sz w:val="32"/>
          <w:szCs w:val="32"/>
        </w:rPr>
        <w:fldChar w:fldCharType="end"/>
      </w:r>
    </w:p>
    <w:p>
      <w:pPr>
        <w:pStyle w:val="33"/>
        <w:spacing w:before="0" w:beforeLines="0" w:after="0" w:afterLines="0" w:line="590" w:lineRule="exact"/>
        <w:ind w:firstLine="420" w:firstLineChars="200"/>
        <w:rPr>
          <w:rStyle w:val="60"/>
          <w:rFonts w:ascii="楷体_GB2312" w:hAnsi="黑体" w:eastAsia="楷体_GB2312"/>
          <w:sz w:val="32"/>
          <w:szCs w:val="32"/>
        </w:rPr>
      </w:pPr>
      <w:r>
        <w:fldChar w:fldCharType="begin"/>
      </w:r>
      <w:r>
        <w:instrText xml:space="preserve"> HYPERLINK \l "_Toc78835324" </w:instrText>
      </w:r>
      <w:r>
        <w:fldChar w:fldCharType="separate"/>
      </w:r>
      <w:r>
        <w:rPr>
          <w:rStyle w:val="60"/>
          <w:rFonts w:hint="eastAsia" w:ascii="楷体_GB2312" w:hAnsi="黑体" w:eastAsia="楷体_GB2312"/>
          <w:sz w:val="32"/>
          <w:szCs w:val="32"/>
        </w:rPr>
        <w:t>（四）储能系统电池预制舱安全技术要求</w:t>
      </w:r>
      <w:r>
        <w:rPr>
          <w:rStyle w:val="60"/>
          <w:rFonts w:hint="eastAsia" w:ascii="楷体_GB2312" w:hAnsi="黑体" w:eastAsia="楷体_GB2312"/>
          <w:sz w:val="32"/>
          <w:szCs w:val="32"/>
        </w:rPr>
        <w:tab/>
      </w:r>
      <w:r>
        <w:rPr>
          <w:rStyle w:val="60"/>
          <w:rFonts w:ascii="Times New Roman" w:eastAsia="楷体_GB2312"/>
          <w:sz w:val="32"/>
          <w:szCs w:val="32"/>
        </w:rPr>
        <w:fldChar w:fldCharType="begin"/>
      </w:r>
      <w:r>
        <w:rPr>
          <w:rStyle w:val="60"/>
          <w:rFonts w:ascii="Times New Roman" w:eastAsia="楷体_GB2312"/>
          <w:sz w:val="32"/>
          <w:szCs w:val="32"/>
        </w:rPr>
        <w:instrText xml:space="preserve"> PAGEREF _Toc78835324 \h </w:instrText>
      </w:r>
      <w:r>
        <w:rPr>
          <w:rStyle w:val="60"/>
          <w:rFonts w:ascii="Times New Roman" w:eastAsia="楷体_GB2312"/>
          <w:sz w:val="32"/>
          <w:szCs w:val="32"/>
        </w:rPr>
        <w:fldChar w:fldCharType="separate"/>
      </w:r>
      <w:r>
        <w:rPr>
          <w:rStyle w:val="60"/>
          <w:rFonts w:ascii="Times New Roman" w:eastAsia="楷体_GB2312"/>
          <w:sz w:val="32"/>
          <w:szCs w:val="32"/>
        </w:rPr>
        <w:t>54</w:t>
      </w:r>
      <w:r>
        <w:rPr>
          <w:rStyle w:val="60"/>
          <w:rFonts w:ascii="Times New Roman" w:eastAsia="楷体_GB2312"/>
          <w:sz w:val="32"/>
          <w:szCs w:val="32"/>
        </w:rPr>
        <w:fldChar w:fldCharType="end"/>
      </w:r>
      <w:r>
        <w:rPr>
          <w:rStyle w:val="60"/>
          <w:rFonts w:ascii="Times New Roman" w:eastAsia="楷体_GB2312"/>
          <w:sz w:val="32"/>
          <w:szCs w:val="32"/>
        </w:rPr>
        <w:fldChar w:fldCharType="end"/>
      </w:r>
    </w:p>
    <w:p>
      <w:pPr>
        <w:pStyle w:val="33"/>
        <w:spacing w:before="0" w:beforeLines="0" w:after="0" w:afterLines="0" w:line="590" w:lineRule="exact"/>
        <w:ind w:firstLine="420" w:firstLineChars="200"/>
        <w:rPr>
          <w:rStyle w:val="60"/>
          <w:rFonts w:ascii="楷体_GB2312" w:hAnsi="黑体" w:eastAsia="楷体_GB2312"/>
          <w:sz w:val="32"/>
          <w:szCs w:val="32"/>
        </w:rPr>
      </w:pPr>
      <w:r>
        <w:fldChar w:fldCharType="begin"/>
      </w:r>
      <w:r>
        <w:instrText xml:space="preserve"> HYPERLINK \l "_Toc78835325" </w:instrText>
      </w:r>
      <w:r>
        <w:fldChar w:fldCharType="separate"/>
      </w:r>
      <w:r>
        <w:rPr>
          <w:rStyle w:val="60"/>
          <w:rFonts w:hint="eastAsia" w:ascii="楷体_GB2312" w:hAnsi="黑体" w:eastAsia="楷体_GB2312"/>
          <w:sz w:val="32"/>
          <w:szCs w:val="32"/>
        </w:rPr>
        <w:t>（五）消防设施技术要求</w:t>
      </w:r>
      <w:r>
        <w:rPr>
          <w:rStyle w:val="60"/>
          <w:rFonts w:hint="eastAsia" w:ascii="楷体_GB2312" w:hAnsi="黑体" w:eastAsia="楷体_GB2312"/>
          <w:sz w:val="32"/>
          <w:szCs w:val="32"/>
        </w:rPr>
        <w:tab/>
      </w:r>
      <w:r>
        <w:rPr>
          <w:rStyle w:val="60"/>
          <w:rFonts w:ascii="Times New Roman" w:eastAsia="楷体_GB2312"/>
          <w:sz w:val="32"/>
          <w:szCs w:val="32"/>
        </w:rPr>
        <w:fldChar w:fldCharType="begin"/>
      </w:r>
      <w:r>
        <w:rPr>
          <w:rStyle w:val="60"/>
          <w:rFonts w:ascii="Times New Roman" w:eastAsia="楷体_GB2312"/>
          <w:sz w:val="32"/>
          <w:szCs w:val="32"/>
        </w:rPr>
        <w:instrText xml:space="preserve"> PAGEREF _Toc78835325 \h </w:instrText>
      </w:r>
      <w:r>
        <w:rPr>
          <w:rStyle w:val="60"/>
          <w:rFonts w:ascii="Times New Roman" w:eastAsia="楷体_GB2312"/>
          <w:sz w:val="32"/>
          <w:szCs w:val="32"/>
        </w:rPr>
        <w:fldChar w:fldCharType="separate"/>
      </w:r>
      <w:r>
        <w:rPr>
          <w:rStyle w:val="60"/>
          <w:rFonts w:ascii="Times New Roman" w:eastAsia="楷体_GB2312"/>
          <w:sz w:val="32"/>
          <w:szCs w:val="32"/>
        </w:rPr>
        <w:t>56</w:t>
      </w:r>
      <w:r>
        <w:rPr>
          <w:rStyle w:val="60"/>
          <w:rFonts w:ascii="Times New Roman" w:eastAsia="楷体_GB2312"/>
          <w:sz w:val="32"/>
          <w:szCs w:val="32"/>
        </w:rPr>
        <w:fldChar w:fldCharType="end"/>
      </w:r>
      <w:r>
        <w:rPr>
          <w:rStyle w:val="60"/>
          <w:rFonts w:ascii="Times New Roman" w:eastAsia="楷体_GB2312"/>
          <w:sz w:val="32"/>
          <w:szCs w:val="32"/>
        </w:rPr>
        <w:fldChar w:fldCharType="end"/>
      </w:r>
    </w:p>
    <w:p>
      <w:pPr>
        <w:pStyle w:val="33"/>
        <w:spacing w:before="0" w:beforeLines="0" w:after="0" w:afterLines="0" w:line="590" w:lineRule="exact"/>
        <w:rPr>
          <w:rFonts w:ascii="黑体" w:hAnsi="黑体" w:eastAsia="黑体" w:cstheme="minorBidi"/>
          <w:sz w:val="32"/>
          <w:szCs w:val="32"/>
        </w:rPr>
      </w:pPr>
      <w:r>
        <w:fldChar w:fldCharType="begin"/>
      </w:r>
      <w:r>
        <w:instrText xml:space="preserve"> HYPERLINK \l "_Toc78835326" </w:instrText>
      </w:r>
      <w:r>
        <w:fldChar w:fldCharType="separate"/>
      </w:r>
      <w:r>
        <w:rPr>
          <w:rStyle w:val="60"/>
          <w:rFonts w:hint="eastAsia" w:ascii="黑体" w:hAnsi="黑体" w:eastAsia="黑体"/>
          <w:sz w:val="32"/>
          <w:szCs w:val="32"/>
        </w:rPr>
        <w:t>附录</w:t>
      </w:r>
      <w:r>
        <w:rPr>
          <w:rStyle w:val="60"/>
          <w:rFonts w:ascii="黑体" w:hAnsi="黑体" w:eastAsia="黑体"/>
          <w:sz w:val="32"/>
          <w:szCs w:val="32"/>
        </w:rPr>
        <w:t>A</w:t>
      </w:r>
      <w:r>
        <w:rPr>
          <w:rStyle w:val="60"/>
          <w:rFonts w:hint="eastAsia" w:ascii="黑体" w:hAnsi="黑体" w:eastAsia="黑体"/>
          <w:sz w:val="32"/>
          <w:szCs w:val="32"/>
        </w:rPr>
        <w:t>参考文献</w:t>
      </w:r>
      <w:r>
        <w:rPr>
          <w:rFonts w:ascii="黑体" w:hAnsi="黑体" w:eastAsia="黑体"/>
          <w:sz w:val="32"/>
          <w:szCs w:val="32"/>
        </w:rPr>
        <w:tab/>
      </w:r>
      <w:r>
        <w:rPr>
          <w:rFonts w:ascii="Times New Roman" w:eastAsia="黑体"/>
          <w:sz w:val="32"/>
          <w:szCs w:val="32"/>
        </w:rPr>
        <w:fldChar w:fldCharType="begin"/>
      </w:r>
      <w:r>
        <w:rPr>
          <w:rFonts w:ascii="Times New Roman" w:eastAsia="黑体"/>
          <w:sz w:val="32"/>
          <w:szCs w:val="32"/>
        </w:rPr>
        <w:instrText xml:space="preserve"> PAGEREF _Toc78835326 \h </w:instrText>
      </w:r>
      <w:r>
        <w:rPr>
          <w:rFonts w:ascii="Times New Roman" w:eastAsia="黑体"/>
          <w:sz w:val="32"/>
          <w:szCs w:val="32"/>
        </w:rPr>
        <w:fldChar w:fldCharType="separate"/>
      </w:r>
      <w:r>
        <w:rPr>
          <w:rFonts w:ascii="Times New Roman" w:eastAsia="黑体"/>
          <w:sz w:val="32"/>
          <w:szCs w:val="32"/>
        </w:rPr>
        <w:t>60</w:t>
      </w:r>
      <w:r>
        <w:rPr>
          <w:rFonts w:ascii="Times New Roman" w:eastAsia="黑体"/>
          <w:sz w:val="32"/>
          <w:szCs w:val="32"/>
        </w:rPr>
        <w:fldChar w:fldCharType="end"/>
      </w:r>
      <w:r>
        <w:rPr>
          <w:rFonts w:ascii="Times New Roman" w:eastAsia="黑体"/>
          <w:sz w:val="32"/>
          <w:szCs w:val="32"/>
        </w:rPr>
        <w:fldChar w:fldCharType="end"/>
      </w:r>
    </w:p>
    <w:p>
      <w:pPr>
        <w:pStyle w:val="33"/>
        <w:spacing w:before="0" w:beforeLines="0" w:after="0" w:afterLines="0" w:line="590" w:lineRule="exact"/>
        <w:rPr>
          <w:rFonts w:ascii="黑体" w:hAnsi="黑体" w:eastAsia="黑体"/>
          <w:sz w:val="32"/>
          <w:szCs w:val="32"/>
        </w:rPr>
        <w:sectPr>
          <w:footerReference r:id="rId3" w:type="default"/>
          <w:pgSz w:w="11906" w:h="16838"/>
          <w:pgMar w:top="1928" w:right="1531" w:bottom="1814" w:left="1531" w:header="1418" w:footer="1134" w:gutter="0"/>
          <w:pgNumType w:fmt="upperRoman" w:start="1"/>
          <w:cols w:space="720" w:num="1"/>
          <w:formProt w:val="0"/>
          <w:docGrid w:type="lines" w:linePitch="312" w:charSpace="0"/>
        </w:sectPr>
      </w:pPr>
      <w:r>
        <w:fldChar w:fldCharType="begin"/>
      </w:r>
      <w:r>
        <w:instrText xml:space="preserve"> HYPERLINK \l "_Toc78835327" </w:instrText>
      </w:r>
      <w:r>
        <w:fldChar w:fldCharType="separate"/>
      </w:r>
      <w:r>
        <w:rPr>
          <w:rStyle w:val="60"/>
          <w:rFonts w:hint="eastAsia" w:ascii="黑体" w:hAnsi="黑体" w:eastAsia="黑体"/>
          <w:sz w:val="32"/>
          <w:szCs w:val="32"/>
        </w:rPr>
        <w:t>附录</w:t>
      </w:r>
      <w:r>
        <w:rPr>
          <w:rStyle w:val="60"/>
          <w:rFonts w:ascii="黑体" w:hAnsi="黑体" w:eastAsia="黑体"/>
          <w:sz w:val="32"/>
          <w:szCs w:val="32"/>
        </w:rPr>
        <w:t>B</w:t>
      </w:r>
      <w:r>
        <w:rPr>
          <w:rStyle w:val="60"/>
          <w:rFonts w:hint="eastAsia" w:ascii="黑体" w:hAnsi="黑体" w:eastAsia="黑体"/>
          <w:sz w:val="32"/>
          <w:szCs w:val="32"/>
        </w:rPr>
        <w:t>编制说明</w:t>
      </w:r>
      <w:r>
        <w:rPr>
          <w:rFonts w:ascii="黑体" w:hAnsi="黑体" w:eastAsia="黑体"/>
          <w:sz w:val="32"/>
          <w:szCs w:val="32"/>
        </w:rPr>
        <w:tab/>
      </w:r>
      <w:r>
        <w:rPr>
          <w:rFonts w:ascii="Times New Roman" w:eastAsia="黑体"/>
          <w:sz w:val="32"/>
          <w:szCs w:val="32"/>
        </w:rPr>
        <w:fldChar w:fldCharType="begin"/>
      </w:r>
      <w:r>
        <w:rPr>
          <w:rFonts w:ascii="Times New Roman" w:eastAsia="黑体"/>
          <w:sz w:val="32"/>
          <w:szCs w:val="32"/>
        </w:rPr>
        <w:instrText xml:space="preserve"> PAGEREF _Toc78835327 \h </w:instrText>
      </w:r>
      <w:r>
        <w:rPr>
          <w:rFonts w:ascii="Times New Roman" w:eastAsia="黑体"/>
          <w:sz w:val="32"/>
          <w:szCs w:val="32"/>
        </w:rPr>
        <w:fldChar w:fldCharType="separate"/>
      </w:r>
      <w:r>
        <w:rPr>
          <w:rFonts w:ascii="Times New Roman" w:eastAsia="黑体"/>
          <w:sz w:val="32"/>
          <w:szCs w:val="32"/>
        </w:rPr>
        <w:t>61</w:t>
      </w:r>
      <w:r>
        <w:rPr>
          <w:rFonts w:ascii="Times New Roman" w:eastAsia="黑体"/>
          <w:sz w:val="32"/>
          <w:szCs w:val="32"/>
        </w:rPr>
        <w:fldChar w:fldCharType="end"/>
      </w:r>
      <w:r>
        <w:rPr>
          <w:rFonts w:ascii="Times New Roman" w:eastAsia="黑体"/>
          <w:sz w:val="32"/>
          <w:szCs w:val="32"/>
        </w:rPr>
        <w:fldChar w:fldCharType="end"/>
      </w:r>
    </w:p>
    <w:p>
      <w:pPr>
        <w:pStyle w:val="33"/>
        <w:spacing w:before="0" w:beforeLines="0" w:after="0" w:afterLines="0" w:line="590" w:lineRule="exact"/>
        <w:rPr>
          <w:rFonts w:ascii="黑体" w:hAnsi="黑体" w:eastAsia="黑体" w:cstheme="minorBidi"/>
          <w:sz w:val="32"/>
          <w:szCs w:val="32"/>
        </w:rPr>
      </w:pPr>
    </w:p>
    <w:p>
      <w:pPr>
        <w:spacing w:line="590" w:lineRule="exact"/>
        <w:jc w:val="left"/>
        <w:sectPr>
          <w:type w:val="continuous"/>
          <w:pgSz w:w="11906" w:h="16838"/>
          <w:pgMar w:top="1928" w:right="1531" w:bottom="1814" w:left="1531" w:header="1418" w:footer="1134" w:gutter="0"/>
          <w:pgNumType w:fmt="upperRoman" w:start="1"/>
          <w:cols w:space="720" w:num="1"/>
          <w:formProt w:val="0"/>
          <w:docGrid w:type="lines" w:linePitch="312" w:charSpace="0"/>
        </w:sectPr>
      </w:pPr>
      <w:r>
        <w:rPr>
          <w:color w:val="000000"/>
          <w:sz w:val="24"/>
        </w:rPr>
        <w:fldChar w:fldCharType="end"/>
      </w:r>
    </w:p>
    <w:p>
      <w:pPr>
        <w:pStyle w:val="2"/>
        <w:tabs>
          <w:tab w:val="clear" w:pos="0"/>
        </w:tabs>
        <w:spacing w:line="590" w:lineRule="exact"/>
        <w:ind w:firstLine="640" w:firstLineChars="200"/>
        <w:jc w:val="left"/>
        <w:rPr>
          <w:rFonts w:ascii="Times New Roman"/>
          <w:b w:val="0"/>
          <w:bCs w:val="0"/>
          <w:sz w:val="32"/>
        </w:rPr>
      </w:pPr>
      <w:bookmarkStart w:id="0" w:name="_Toc12452"/>
      <w:bookmarkStart w:id="1" w:name="_Toc78835194"/>
      <w:bookmarkStart w:id="2" w:name="_Toc78835290"/>
      <w:bookmarkStart w:id="3" w:name="_Toc478584417"/>
      <w:bookmarkStart w:id="4" w:name="_Toc472007938"/>
      <w:r>
        <w:rPr>
          <w:rFonts w:hint="eastAsia" w:ascii="Times New Roman"/>
          <w:b w:val="0"/>
          <w:bCs w:val="0"/>
          <w:sz w:val="32"/>
        </w:rPr>
        <w:t>一、范围</w:t>
      </w:r>
      <w:bookmarkEnd w:id="0"/>
      <w:bookmarkEnd w:id="1"/>
      <w:bookmarkEnd w:id="2"/>
      <w:bookmarkEnd w:id="3"/>
      <w:bookmarkEnd w:id="4"/>
    </w:p>
    <w:p>
      <w:pPr>
        <w:spacing w:line="590" w:lineRule="exact"/>
        <w:ind w:firstLine="640" w:firstLineChars="200"/>
        <w:jc w:val="left"/>
        <w:rPr>
          <w:rFonts w:eastAsia="仿宋_GB2312"/>
          <w:sz w:val="32"/>
          <w:szCs w:val="22"/>
          <w:lang w:bidi="ar"/>
        </w:rPr>
      </w:pPr>
      <w:r>
        <w:rPr>
          <w:rFonts w:hint="eastAsia" w:eastAsia="仿宋_GB2312"/>
          <w:sz w:val="32"/>
          <w:szCs w:val="22"/>
          <w:lang w:bidi="ar"/>
        </w:rPr>
        <w:t>本规范规定了河北雄安新区充换电设施建设运营应遵循的基本原则。</w:t>
      </w:r>
    </w:p>
    <w:p>
      <w:pPr>
        <w:spacing w:line="590" w:lineRule="exact"/>
        <w:ind w:firstLine="640" w:firstLineChars="200"/>
        <w:jc w:val="left"/>
        <w:rPr>
          <w:rFonts w:eastAsia="仿宋_GB2312"/>
          <w:sz w:val="32"/>
          <w:szCs w:val="22"/>
          <w:lang w:bidi="ar"/>
        </w:rPr>
      </w:pPr>
      <w:r>
        <w:rPr>
          <w:rFonts w:hint="eastAsia" w:eastAsia="仿宋_GB2312"/>
          <w:sz w:val="32"/>
          <w:szCs w:val="22"/>
          <w:lang w:bidi="ar"/>
        </w:rPr>
        <w:t>本规范适用于河北雄安新区充换电设施新建工程的设计和建设工作。</w:t>
      </w:r>
    </w:p>
    <w:p>
      <w:pPr>
        <w:pStyle w:val="2"/>
        <w:tabs>
          <w:tab w:val="clear" w:pos="0"/>
        </w:tabs>
        <w:spacing w:line="590" w:lineRule="exact"/>
        <w:ind w:firstLine="640" w:firstLineChars="200"/>
        <w:jc w:val="left"/>
        <w:rPr>
          <w:rFonts w:ascii="Times New Roman"/>
          <w:b w:val="0"/>
          <w:bCs w:val="0"/>
          <w:sz w:val="32"/>
        </w:rPr>
      </w:pPr>
      <w:bookmarkStart w:id="5" w:name="_Toc25906"/>
      <w:bookmarkStart w:id="6" w:name="_Toc478584418"/>
      <w:bookmarkStart w:id="7" w:name="_Toc78835291"/>
      <w:bookmarkStart w:id="8" w:name="_Toc472007939"/>
      <w:bookmarkStart w:id="9" w:name="_Toc78835195"/>
      <w:r>
        <w:rPr>
          <w:rFonts w:hint="eastAsia" w:ascii="Times New Roman"/>
          <w:b w:val="0"/>
          <w:bCs w:val="0"/>
          <w:sz w:val="32"/>
        </w:rPr>
        <w:t>二、规范性引用文件</w:t>
      </w:r>
      <w:bookmarkEnd w:id="5"/>
      <w:bookmarkEnd w:id="6"/>
      <w:bookmarkEnd w:id="7"/>
      <w:bookmarkEnd w:id="8"/>
      <w:bookmarkEnd w:id="9"/>
    </w:p>
    <w:p>
      <w:pPr>
        <w:spacing w:line="590" w:lineRule="exact"/>
        <w:ind w:firstLine="640" w:firstLineChars="200"/>
        <w:jc w:val="left"/>
        <w:rPr>
          <w:rFonts w:eastAsia="仿宋_GB2312"/>
          <w:sz w:val="32"/>
          <w:szCs w:val="22"/>
        </w:rPr>
      </w:pPr>
      <w:r>
        <w:rPr>
          <w:rFonts w:hint="eastAsia" w:eastAsia="仿宋_GB2312"/>
          <w:sz w:val="32"/>
          <w:szCs w:val="22"/>
        </w:rPr>
        <w:t>下列文件对于本文件的应用是必不可少的。凡是注日期的引用文件，仅注日期的版本适用于本文件。凡是不注日期的引用文件，其最新版本（包括所有的修改单）适用于本文件。</w:t>
      </w:r>
    </w:p>
    <w:p>
      <w:pPr>
        <w:spacing w:line="590" w:lineRule="exact"/>
        <w:ind w:firstLine="640" w:firstLineChars="200"/>
        <w:jc w:val="left"/>
        <w:rPr>
          <w:rFonts w:eastAsia="仿宋_GB2312"/>
          <w:sz w:val="32"/>
          <w:szCs w:val="22"/>
        </w:rPr>
      </w:pPr>
      <w:r>
        <w:rPr>
          <w:rFonts w:eastAsia="仿宋_GB2312"/>
          <w:sz w:val="32"/>
          <w:szCs w:val="22"/>
        </w:rPr>
        <w:t>GB 3096</w:t>
      </w:r>
      <w:r>
        <w:rPr>
          <w:lang w:bidi="ar"/>
        </w:rPr>
        <w:t>―</w:t>
      </w:r>
      <w:r>
        <w:rPr>
          <w:rFonts w:eastAsia="仿宋_GB2312"/>
          <w:sz w:val="32"/>
          <w:szCs w:val="22"/>
        </w:rPr>
        <w:t xml:space="preserve">2008      </w:t>
      </w:r>
      <w:r>
        <w:rPr>
          <w:rFonts w:hint="eastAsia" w:eastAsia="仿宋_GB2312"/>
          <w:sz w:val="32"/>
          <w:szCs w:val="22"/>
        </w:rPr>
        <w:t>《</w:t>
      </w:r>
      <w:r>
        <w:rPr>
          <w:rFonts w:eastAsia="仿宋_GB2312"/>
          <w:sz w:val="32"/>
          <w:szCs w:val="22"/>
        </w:rPr>
        <w:t>声环境质量标准</w:t>
      </w:r>
      <w:r>
        <w:rPr>
          <w:rFonts w:hint="eastAsia" w:eastAsia="仿宋_GB2312"/>
          <w:sz w:val="32"/>
          <w:szCs w:val="22"/>
        </w:rPr>
        <w:t>》</w:t>
      </w:r>
    </w:p>
    <w:p>
      <w:pPr>
        <w:spacing w:line="590" w:lineRule="exact"/>
        <w:ind w:firstLine="640" w:firstLineChars="200"/>
        <w:jc w:val="left"/>
        <w:rPr>
          <w:rFonts w:eastAsia="仿宋_GB2312"/>
          <w:sz w:val="32"/>
          <w:szCs w:val="22"/>
        </w:rPr>
      </w:pPr>
      <w:r>
        <w:rPr>
          <w:rFonts w:eastAsia="仿宋_GB2312"/>
          <w:sz w:val="32"/>
          <w:szCs w:val="22"/>
        </w:rPr>
        <w:t>GB 50015</w:t>
      </w:r>
      <w:r>
        <w:rPr>
          <w:lang w:bidi="ar"/>
        </w:rPr>
        <w:t>―</w:t>
      </w:r>
      <w:r>
        <w:rPr>
          <w:rFonts w:eastAsia="仿宋_GB2312"/>
          <w:sz w:val="32"/>
          <w:szCs w:val="22"/>
        </w:rPr>
        <w:t xml:space="preserve">2019     </w:t>
      </w:r>
      <w:r>
        <w:rPr>
          <w:rFonts w:hint="eastAsia" w:eastAsia="仿宋_GB2312"/>
          <w:sz w:val="32"/>
          <w:szCs w:val="22"/>
        </w:rPr>
        <w:t>《</w:t>
      </w:r>
      <w:r>
        <w:rPr>
          <w:rFonts w:eastAsia="仿宋_GB2312"/>
          <w:sz w:val="32"/>
          <w:szCs w:val="22"/>
        </w:rPr>
        <w:t>建筑给水排水设计</w:t>
      </w:r>
      <w:r>
        <w:rPr>
          <w:rFonts w:hint="eastAsia" w:eastAsia="仿宋_GB2312"/>
          <w:sz w:val="32"/>
          <w:szCs w:val="22"/>
        </w:rPr>
        <w:t>规范》</w:t>
      </w:r>
    </w:p>
    <w:p>
      <w:pPr>
        <w:spacing w:line="590" w:lineRule="exact"/>
        <w:ind w:firstLine="640" w:firstLineChars="200"/>
        <w:jc w:val="left"/>
        <w:rPr>
          <w:rFonts w:eastAsia="仿宋_GB2312"/>
          <w:sz w:val="32"/>
          <w:szCs w:val="22"/>
        </w:rPr>
      </w:pPr>
      <w:r>
        <w:rPr>
          <w:rFonts w:eastAsia="仿宋_GB2312"/>
          <w:sz w:val="32"/>
          <w:szCs w:val="22"/>
        </w:rPr>
        <w:t>GB 50016</w:t>
      </w:r>
      <w:r>
        <w:rPr>
          <w:lang w:bidi="ar"/>
        </w:rPr>
        <w:t>―</w:t>
      </w:r>
      <w:r>
        <w:rPr>
          <w:rFonts w:eastAsia="仿宋_GB2312"/>
          <w:sz w:val="32"/>
          <w:szCs w:val="22"/>
        </w:rPr>
        <w:t xml:space="preserve">2014     </w:t>
      </w:r>
      <w:r>
        <w:rPr>
          <w:rFonts w:hint="eastAsia" w:eastAsia="仿宋_GB2312"/>
          <w:sz w:val="32"/>
          <w:szCs w:val="22"/>
        </w:rPr>
        <w:t>《</w:t>
      </w:r>
      <w:r>
        <w:rPr>
          <w:rFonts w:eastAsia="仿宋_GB2312"/>
          <w:sz w:val="32"/>
          <w:szCs w:val="22"/>
        </w:rPr>
        <w:t>建筑设计防火规范</w:t>
      </w:r>
      <w:r>
        <w:rPr>
          <w:rFonts w:hint="eastAsia" w:eastAsia="仿宋_GB2312"/>
          <w:sz w:val="32"/>
          <w:szCs w:val="22"/>
        </w:rPr>
        <w:t>》</w:t>
      </w:r>
    </w:p>
    <w:p>
      <w:pPr>
        <w:spacing w:line="590" w:lineRule="exact"/>
        <w:ind w:firstLine="640" w:firstLineChars="200"/>
        <w:jc w:val="left"/>
        <w:rPr>
          <w:rFonts w:eastAsia="仿宋_GB2312"/>
          <w:sz w:val="32"/>
          <w:szCs w:val="22"/>
        </w:rPr>
      </w:pPr>
      <w:r>
        <w:rPr>
          <w:rFonts w:eastAsia="仿宋_GB2312"/>
          <w:sz w:val="32"/>
          <w:szCs w:val="22"/>
        </w:rPr>
        <w:t>GB 50019</w:t>
      </w:r>
      <w:r>
        <w:rPr>
          <w:lang w:bidi="ar"/>
        </w:rPr>
        <w:t>―</w:t>
      </w:r>
      <w:r>
        <w:rPr>
          <w:rFonts w:eastAsia="仿宋_GB2312"/>
          <w:sz w:val="32"/>
          <w:szCs w:val="22"/>
        </w:rPr>
        <w:t xml:space="preserve">2015     </w:t>
      </w:r>
      <w:r>
        <w:rPr>
          <w:rFonts w:hint="eastAsia" w:eastAsia="仿宋_GB2312"/>
          <w:sz w:val="32"/>
          <w:szCs w:val="22"/>
        </w:rPr>
        <w:t>《</w:t>
      </w:r>
      <w:r>
        <w:rPr>
          <w:rFonts w:eastAsia="仿宋_GB2312"/>
          <w:sz w:val="32"/>
          <w:szCs w:val="22"/>
        </w:rPr>
        <w:t>工业建筑供</w:t>
      </w:r>
      <w:r>
        <w:rPr>
          <w:rFonts w:hint="eastAsia" w:eastAsia="仿宋_GB2312"/>
          <w:sz w:val="32"/>
          <w:szCs w:val="22"/>
          <w:lang w:val="en-US" w:eastAsia="zh-CN"/>
        </w:rPr>
        <w:t>暖</w:t>
      </w:r>
      <w:r>
        <w:rPr>
          <w:rFonts w:eastAsia="仿宋_GB2312"/>
          <w:sz w:val="32"/>
          <w:szCs w:val="22"/>
        </w:rPr>
        <w:t>通风与空气调节设计规范</w:t>
      </w:r>
      <w:r>
        <w:rPr>
          <w:rFonts w:hint="eastAsia" w:eastAsia="仿宋_GB2312"/>
          <w:sz w:val="32"/>
          <w:szCs w:val="22"/>
        </w:rPr>
        <w:t>》</w:t>
      </w:r>
    </w:p>
    <w:p>
      <w:pPr>
        <w:spacing w:line="590" w:lineRule="exact"/>
        <w:ind w:firstLine="640" w:firstLineChars="200"/>
        <w:jc w:val="left"/>
        <w:rPr>
          <w:rFonts w:eastAsia="仿宋_GB2312"/>
          <w:sz w:val="32"/>
          <w:szCs w:val="22"/>
        </w:rPr>
      </w:pPr>
      <w:r>
        <w:rPr>
          <w:rFonts w:eastAsia="仿宋_GB2312"/>
          <w:sz w:val="32"/>
          <w:szCs w:val="22"/>
        </w:rPr>
        <w:t>GB 50053</w:t>
      </w:r>
      <w:r>
        <w:rPr>
          <w:lang w:bidi="ar"/>
        </w:rPr>
        <w:t>―</w:t>
      </w:r>
      <w:r>
        <w:rPr>
          <w:rFonts w:eastAsia="仿宋_GB2312"/>
          <w:sz w:val="32"/>
          <w:szCs w:val="22"/>
        </w:rPr>
        <w:t xml:space="preserve">2013     </w:t>
      </w:r>
      <w:r>
        <w:rPr>
          <w:rFonts w:hint="eastAsia" w:eastAsia="仿宋_GB2312"/>
          <w:sz w:val="32"/>
          <w:szCs w:val="22"/>
        </w:rPr>
        <w:t>《</w:t>
      </w:r>
      <w:r>
        <w:rPr>
          <w:rFonts w:eastAsia="仿宋_GB2312"/>
          <w:sz w:val="32"/>
          <w:szCs w:val="22"/>
        </w:rPr>
        <w:t>20kV及以下变电所设计规范</w:t>
      </w:r>
      <w:r>
        <w:rPr>
          <w:rFonts w:hint="eastAsia" w:eastAsia="仿宋_GB2312"/>
          <w:sz w:val="32"/>
          <w:szCs w:val="22"/>
        </w:rPr>
        <w:t>》</w:t>
      </w:r>
    </w:p>
    <w:p>
      <w:pPr>
        <w:spacing w:line="590" w:lineRule="exact"/>
        <w:ind w:firstLine="640" w:firstLineChars="200"/>
        <w:jc w:val="left"/>
        <w:rPr>
          <w:rFonts w:eastAsia="仿宋_GB2312"/>
          <w:sz w:val="32"/>
          <w:szCs w:val="22"/>
        </w:rPr>
      </w:pPr>
      <w:r>
        <w:rPr>
          <w:rFonts w:eastAsia="仿宋_GB2312"/>
          <w:sz w:val="32"/>
          <w:szCs w:val="22"/>
        </w:rPr>
        <w:t>GB 50054</w:t>
      </w:r>
      <w:r>
        <w:rPr>
          <w:lang w:bidi="ar"/>
        </w:rPr>
        <w:t>―</w:t>
      </w:r>
      <w:r>
        <w:rPr>
          <w:rFonts w:eastAsia="仿宋_GB2312"/>
          <w:sz w:val="32"/>
          <w:szCs w:val="22"/>
        </w:rPr>
        <w:t xml:space="preserve">2011     </w:t>
      </w:r>
      <w:r>
        <w:rPr>
          <w:rFonts w:hint="eastAsia" w:eastAsia="仿宋_GB2312"/>
          <w:sz w:val="32"/>
          <w:szCs w:val="22"/>
        </w:rPr>
        <w:t>《</w:t>
      </w:r>
      <w:r>
        <w:rPr>
          <w:rFonts w:eastAsia="仿宋_GB2312"/>
          <w:sz w:val="32"/>
          <w:szCs w:val="22"/>
        </w:rPr>
        <w:t>低压配电设计规范</w:t>
      </w:r>
      <w:r>
        <w:rPr>
          <w:rFonts w:hint="eastAsia" w:eastAsia="仿宋_GB2312"/>
          <w:sz w:val="32"/>
          <w:szCs w:val="22"/>
        </w:rPr>
        <w:t>》</w:t>
      </w:r>
    </w:p>
    <w:p>
      <w:pPr>
        <w:spacing w:line="590" w:lineRule="exact"/>
        <w:ind w:firstLine="640" w:firstLineChars="200"/>
        <w:jc w:val="left"/>
        <w:rPr>
          <w:rFonts w:eastAsia="仿宋_GB2312"/>
          <w:sz w:val="32"/>
          <w:szCs w:val="22"/>
        </w:rPr>
      </w:pPr>
      <w:r>
        <w:rPr>
          <w:rFonts w:eastAsia="仿宋_GB2312"/>
          <w:sz w:val="32"/>
          <w:szCs w:val="22"/>
        </w:rPr>
        <w:t>GB 50057</w:t>
      </w:r>
      <w:r>
        <w:rPr>
          <w:lang w:bidi="ar"/>
        </w:rPr>
        <w:t>―</w:t>
      </w:r>
      <w:r>
        <w:rPr>
          <w:rFonts w:eastAsia="仿宋_GB2312"/>
          <w:sz w:val="32"/>
          <w:szCs w:val="22"/>
        </w:rPr>
        <w:t xml:space="preserve">2010     </w:t>
      </w:r>
      <w:r>
        <w:rPr>
          <w:rFonts w:hint="eastAsia" w:eastAsia="仿宋_GB2312"/>
          <w:sz w:val="32"/>
          <w:szCs w:val="22"/>
        </w:rPr>
        <w:t>《</w:t>
      </w:r>
      <w:r>
        <w:rPr>
          <w:rFonts w:eastAsia="仿宋_GB2312"/>
          <w:sz w:val="32"/>
          <w:szCs w:val="22"/>
        </w:rPr>
        <w:t>建筑物防雷设计规范</w:t>
      </w:r>
      <w:r>
        <w:rPr>
          <w:rFonts w:hint="eastAsia" w:eastAsia="仿宋_GB2312"/>
          <w:sz w:val="32"/>
          <w:szCs w:val="22"/>
        </w:rPr>
        <w:t>》</w:t>
      </w:r>
    </w:p>
    <w:p>
      <w:pPr>
        <w:spacing w:line="590" w:lineRule="exact"/>
        <w:ind w:firstLine="640" w:firstLineChars="200"/>
        <w:jc w:val="left"/>
        <w:rPr>
          <w:rFonts w:eastAsia="仿宋_GB2312"/>
          <w:sz w:val="32"/>
          <w:szCs w:val="22"/>
        </w:rPr>
      </w:pPr>
      <w:r>
        <w:rPr>
          <w:rFonts w:eastAsia="仿宋_GB2312"/>
          <w:sz w:val="32"/>
          <w:szCs w:val="22"/>
        </w:rPr>
        <w:t>GB 50065</w:t>
      </w:r>
      <w:r>
        <w:rPr>
          <w:lang w:bidi="ar"/>
        </w:rPr>
        <w:t>―</w:t>
      </w:r>
      <w:r>
        <w:rPr>
          <w:rFonts w:eastAsia="仿宋_GB2312"/>
          <w:sz w:val="32"/>
          <w:szCs w:val="22"/>
        </w:rPr>
        <w:t xml:space="preserve">2011     </w:t>
      </w:r>
      <w:r>
        <w:rPr>
          <w:rFonts w:hint="eastAsia" w:eastAsia="仿宋_GB2312"/>
          <w:sz w:val="32"/>
          <w:szCs w:val="22"/>
        </w:rPr>
        <w:t>《</w:t>
      </w:r>
      <w:r>
        <w:rPr>
          <w:rFonts w:eastAsia="仿宋_GB2312"/>
          <w:sz w:val="32"/>
          <w:szCs w:val="22"/>
        </w:rPr>
        <w:t>交流电气装置的接地设计规范</w:t>
      </w:r>
      <w:r>
        <w:rPr>
          <w:rFonts w:hint="eastAsia" w:eastAsia="仿宋_GB2312"/>
          <w:sz w:val="32"/>
          <w:szCs w:val="22"/>
        </w:rPr>
        <w:t>》</w:t>
      </w:r>
    </w:p>
    <w:p>
      <w:pPr>
        <w:spacing w:line="590" w:lineRule="exact"/>
        <w:ind w:firstLine="640" w:firstLineChars="200"/>
        <w:jc w:val="left"/>
        <w:rPr>
          <w:rFonts w:eastAsia="仿宋_GB2312"/>
          <w:sz w:val="32"/>
          <w:szCs w:val="22"/>
        </w:rPr>
      </w:pPr>
      <w:r>
        <w:rPr>
          <w:rFonts w:eastAsia="仿宋_GB2312"/>
          <w:sz w:val="32"/>
          <w:szCs w:val="22"/>
        </w:rPr>
        <w:t>GB 50966</w:t>
      </w:r>
      <w:r>
        <w:rPr>
          <w:lang w:bidi="ar"/>
        </w:rPr>
        <w:t>―</w:t>
      </w:r>
      <w:r>
        <w:rPr>
          <w:rFonts w:eastAsia="仿宋_GB2312"/>
          <w:sz w:val="32"/>
          <w:szCs w:val="22"/>
        </w:rPr>
        <w:t xml:space="preserve">2014     </w:t>
      </w:r>
      <w:r>
        <w:rPr>
          <w:rFonts w:hint="eastAsia" w:eastAsia="仿宋_GB2312"/>
          <w:sz w:val="32"/>
          <w:szCs w:val="22"/>
        </w:rPr>
        <w:t>《电动汽车充电站技术规范》</w:t>
      </w:r>
    </w:p>
    <w:p>
      <w:pPr>
        <w:spacing w:line="590" w:lineRule="exact"/>
        <w:ind w:firstLine="640" w:firstLineChars="200"/>
        <w:jc w:val="left"/>
        <w:rPr>
          <w:rFonts w:eastAsia="仿宋_GB2312"/>
          <w:sz w:val="32"/>
          <w:szCs w:val="22"/>
        </w:rPr>
      </w:pPr>
      <w:r>
        <w:rPr>
          <w:rFonts w:eastAsia="仿宋_GB2312"/>
          <w:sz w:val="32"/>
          <w:szCs w:val="22"/>
        </w:rPr>
        <w:t>GB 50217</w:t>
      </w:r>
      <w:r>
        <w:rPr>
          <w:lang w:bidi="ar"/>
        </w:rPr>
        <w:t>―</w:t>
      </w:r>
      <w:r>
        <w:rPr>
          <w:rFonts w:eastAsia="仿宋_GB2312"/>
          <w:sz w:val="32"/>
          <w:szCs w:val="22"/>
        </w:rPr>
        <w:t xml:space="preserve">2007     </w:t>
      </w:r>
      <w:r>
        <w:rPr>
          <w:rFonts w:hint="eastAsia" w:eastAsia="仿宋_GB2312"/>
          <w:sz w:val="32"/>
          <w:szCs w:val="22"/>
        </w:rPr>
        <w:t>《电力工程电缆设计规范》</w:t>
      </w:r>
    </w:p>
    <w:p>
      <w:pPr>
        <w:spacing w:line="590" w:lineRule="exact"/>
        <w:ind w:firstLine="640" w:firstLineChars="200"/>
        <w:jc w:val="left"/>
        <w:rPr>
          <w:rFonts w:eastAsia="仿宋_GB2312"/>
          <w:sz w:val="32"/>
          <w:szCs w:val="22"/>
        </w:rPr>
      </w:pPr>
      <w:r>
        <w:rPr>
          <w:rFonts w:eastAsia="仿宋_GB2312"/>
          <w:sz w:val="32"/>
          <w:szCs w:val="22"/>
        </w:rPr>
        <w:t xml:space="preserve">GB 50067         </w:t>
      </w:r>
      <w:r>
        <w:rPr>
          <w:rFonts w:hint="eastAsia" w:eastAsia="仿宋_GB2312"/>
          <w:sz w:val="32"/>
          <w:szCs w:val="22"/>
        </w:rPr>
        <w:t xml:space="preserve"> 《</w:t>
      </w:r>
      <w:r>
        <w:rPr>
          <w:rFonts w:eastAsia="仿宋_GB2312"/>
          <w:sz w:val="32"/>
          <w:szCs w:val="22"/>
        </w:rPr>
        <w:t>汽车库、修车库、停车场设计防火规范</w:t>
      </w:r>
      <w:r>
        <w:rPr>
          <w:rFonts w:hint="eastAsia" w:eastAsia="仿宋_GB2312"/>
          <w:sz w:val="32"/>
          <w:szCs w:val="22"/>
        </w:rPr>
        <w:t>》</w:t>
      </w:r>
    </w:p>
    <w:p>
      <w:pPr>
        <w:spacing w:line="590" w:lineRule="exact"/>
        <w:ind w:firstLine="640" w:firstLineChars="200"/>
        <w:jc w:val="left"/>
        <w:rPr>
          <w:rFonts w:eastAsia="仿宋_GB2312"/>
          <w:sz w:val="32"/>
          <w:szCs w:val="22"/>
        </w:rPr>
      </w:pPr>
      <w:r>
        <w:rPr>
          <w:rFonts w:eastAsia="仿宋_GB2312"/>
          <w:sz w:val="32"/>
          <w:szCs w:val="22"/>
        </w:rPr>
        <w:t xml:space="preserve">GB 50116          </w:t>
      </w:r>
      <w:r>
        <w:rPr>
          <w:rFonts w:hint="eastAsia" w:eastAsia="仿宋_GB2312"/>
          <w:sz w:val="32"/>
          <w:szCs w:val="22"/>
        </w:rPr>
        <w:t>《</w:t>
      </w:r>
      <w:r>
        <w:rPr>
          <w:rFonts w:eastAsia="仿宋_GB2312"/>
          <w:sz w:val="32"/>
          <w:szCs w:val="22"/>
        </w:rPr>
        <w:t>火灾自动报警系统设计规范</w:t>
      </w:r>
      <w:r>
        <w:rPr>
          <w:rFonts w:hint="eastAsia" w:eastAsia="仿宋_GB2312"/>
          <w:sz w:val="32"/>
          <w:szCs w:val="22"/>
        </w:rPr>
        <w:t>》</w:t>
      </w:r>
    </w:p>
    <w:p>
      <w:pPr>
        <w:spacing w:line="590" w:lineRule="exact"/>
        <w:ind w:firstLine="640" w:firstLineChars="200"/>
        <w:jc w:val="left"/>
        <w:rPr>
          <w:rFonts w:eastAsia="仿宋_GB2312"/>
          <w:sz w:val="32"/>
          <w:szCs w:val="22"/>
        </w:rPr>
      </w:pPr>
      <w:r>
        <w:rPr>
          <w:rFonts w:eastAsia="仿宋_GB2312"/>
          <w:sz w:val="32"/>
          <w:szCs w:val="22"/>
        </w:rPr>
        <w:t>GB 50140</w:t>
      </w:r>
      <w:r>
        <w:rPr>
          <w:lang w:bidi="ar"/>
        </w:rPr>
        <w:t>―</w:t>
      </w:r>
      <w:r>
        <w:rPr>
          <w:rFonts w:eastAsia="仿宋_GB2312"/>
          <w:sz w:val="32"/>
          <w:szCs w:val="22"/>
        </w:rPr>
        <w:t xml:space="preserve">2005     </w:t>
      </w:r>
      <w:r>
        <w:rPr>
          <w:rFonts w:hint="eastAsia" w:eastAsia="仿宋_GB2312"/>
          <w:sz w:val="32"/>
          <w:szCs w:val="22"/>
        </w:rPr>
        <w:t>《</w:t>
      </w:r>
      <w:r>
        <w:rPr>
          <w:rFonts w:eastAsia="仿宋_GB2312"/>
          <w:sz w:val="32"/>
          <w:szCs w:val="22"/>
        </w:rPr>
        <w:t>建筑灭火器配置设计规范</w:t>
      </w:r>
      <w:r>
        <w:rPr>
          <w:rFonts w:hint="eastAsia" w:eastAsia="仿宋_GB2312"/>
          <w:sz w:val="32"/>
          <w:szCs w:val="22"/>
        </w:rPr>
        <w:t>》</w:t>
      </w:r>
    </w:p>
    <w:p>
      <w:pPr>
        <w:spacing w:line="590" w:lineRule="exact"/>
        <w:ind w:firstLine="640" w:firstLineChars="200"/>
        <w:jc w:val="left"/>
        <w:rPr>
          <w:rFonts w:eastAsia="仿宋_GB2312"/>
          <w:sz w:val="32"/>
          <w:szCs w:val="22"/>
        </w:rPr>
      </w:pPr>
      <w:r>
        <w:rPr>
          <w:rFonts w:eastAsia="仿宋_GB2312"/>
          <w:sz w:val="32"/>
          <w:szCs w:val="22"/>
        </w:rPr>
        <w:t>GB 50229</w:t>
      </w:r>
      <w:r>
        <w:rPr>
          <w:lang w:bidi="ar"/>
        </w:rPr>
        <w:t>―</w:t>
      </w:r>
      <w:r>
        <w:rPr>
          <w:rFonts w:eastAsia="仿宋_GB2312"/>
          <w:sz w:val="32"/>
          <w:szCs w:val="22"/>
        </w:rPr>
        <w:t xml:space="preserve">2006     </w:t>
      </w:r>
      <w:r>
        <w:rPr>
          <w:rFonts w:hint="eastAsia" w:eastAsia="仿宋_GB2312"/>
          <w:sz w:val="32"/>
          <w:szCs w:val="22"/>
        </w:rPr>
        <w:t>《</w:t>
      </w:r>
      <w:r>
        <w:rPr>
          <w:rFonts w:eastAsia="仿宋_GB2312"/>
          <w:sz w:val="32"/>
          <w:szCs w:val="22"/>
        </w:rPr>
        <w:t>火力发电厂与变电站设计防火规范</w:t>
      </w:r>
      <w:r>
        <w:rPr>
          <w:rFonts w:hint="eastAsia" w:eastAsia="仿宋_GB2312"/>
          <w:sz w:val="32"/>
          <w:szCs w:val="22"/>
        </w:rPr>
        <w:t>》</w:t>
      </w:r>
    </w:p>
    <w:p>
      <w:pPr>
        <w:spacing w:line="590" w:lineRule="exact"/>
        <w:ind w:firstLine="640" w:firstLineChars="200"/>
        <w:jc w:val="left"/>
        <w:rPr>
          <w:rFonts w:eastAsia="仿宋_GB2312"/>
          <w:sz w:val="32"/>
          <w:szCs w:val="22"/>
        </w:rPr>
      </w:pPr>
      <w:r>
        <w:rPr>
          <w:rFonts w:eastAsia="仿宋_GB2312"/>
          <w:sz w:val="32"/>
          <w:szCs w:val="22"/>
        </w:rPr>
        <w:t>GB 50289</w:t>
      </w:r>
      <w:r>
        <w:rPr>
          <w:lang w:bidi="ar"/>
        </w:rPr>
        <w:t>―</w:t>
      </w:r>
      <w:r>
        <w:rPr>
          <w:rFonts w:eastAsia="仿宋_GB2312"/>
          <w:sz w:val="32"/>
          <w:szCs w:val="22"/>
        </w:rPr>
        <w:t xml:space="preserve">2016     </w:t>
      </w:r>
      <w:r>
        <w:rPr>
          <w:rFonts w:hint="eastAsia" w:eastAsia="仿宋_GB2312"/>
          <w:sz w:val="32"/>
          <w:szCs w:val="22"/>
        </w:rPr>
        <w:t>《</w:t>
      </w:r>
      <w:r>
        <w:rPr>
          <w:rFonts w:eastAsia="仿宋_GB2312"/>
          <w:sz w:val="32"/>
          <w:szCs w:val="22"/>
        </w:rPr>
        <w:t>城市工程管线综合规划规范</w:t>
      </w:r>
      <w:r>
        <w:rPr>
          <w:rFonts w:hint="eastAsia" w:eastAsia="仿宋_GB2312"/>
          <w:sz w:val="32"/>
          <w:szCs w:val="22"/>
        </w:rPr>
        <w:t>》</w:t>
      </w:r>
    </w:p>
    <w:p>
      <w:pPr>
        <w:spacing w:line="590" w:lineRule="exact"/>
        <w:ind w:firstLine="640" w:firstLineChars="200"/>
        <w:jc w:val="left"/>
        <w:rPr>
          <w:rFonts w:eastAsia="仿宋_GB2312"/>
          <w:sz w:val="32"/>
          <w:szCs w:val="22"/>
        </w:rPr>
      </w:pPr>
      <w:r>
        <w:rPr>
          <w:rFonts w:eastAsia="仿宋_GB2312"/>
          <w:sz w:val="32"/>
          <w:szCs w:val="22"/>
        </w:rPr>
        <w:t>GB 50898</w:t>
      </w:r>
      <w:r>
        <w:rPr>
          <w:lang w:bidi="ar"/>
        </w:rPr>
        <w:t>―</w:t>
      </w:r>
      <w:r>
        <w:rPr>
          <w:rFonts w:eastAsia="仿宋_GB2312"/>
          <w:sz w:val="32"/>
          <w:szCs w:val="22"/>
        </w:rPr>
        <w:t xml:space="preserve">2013     </w:t>
      </w:r>
      <w:r>
        <w:rPr>
          <w:rFonts w:hint="eastAsia" w:eastAsia="仿宋_GB2312"/>
          <w:sz w:val="32"/>
          <w:szCs w:val="22"/>
        </w:rPr>
        <w:t>《</w:t>
      </w:r>
      <w:r>
        <w:rPr>
          <w:rFonts w:eastAsia="仿宋_GB2312"/>
          <w:sz w:val="32"/>
          <w:szCs w:val="22"/>
        </w:rPr>
        <w:t>细水雾灭火系统技术规范</w:t>
      </w:r>
      <w:r>
        <w:rPr>
          <w:rFonts w:hint="eastAsia" w:eastAsia="仿宋_GB2312"/>
          <w:sz w:val="32"/>
          <w:szCs w:val="22"/>
        </w:rPr>
        <w:t>》</w:t>
      </w:r>
    </w:p>
    <w:p>
      <w:pPr>
        <w:spacing w:line="590" w:lineRule="exact"/>
        <w:ind w:firstLine="640" w:firstLineChars="200"/>
        <w:jc w:val="left"/>
        <w:rPr>
          <w:rFonts w:eastAsia="仿宋_GB2312"/>
          <w:sz w:val="32"/>
          <w:szCs w:val="22"/>
        </w:rPr>
      </w:pPr>
      <w:r>
        <w:rPr>
          <w:rFonts w:eastAsia="仿宋_GB2312"/>
          <w:sz w:val="32"/>
          <w:szCs w:val="22"/>
        </w:rPr>
        <w:t>GB 50974</w:t>
      </w:r>
      <w:r>
        <w:rPr>
          <w:lang w:bidi="ar"/>
        </w:rPr>
        <w:t>―</w:t>
      </w:r>
      <w:r>
        <w:rPr>
          <w:rFonts w:eastAsia="仿宋_GB2312"/>
          <w:sz w:val="32"/>
          <w:szCs w:val="22"/>
        </w:rPr>
        <w:t xml:space="preserve">2014     </w:t>
      </w:r>
      <w:r>
        <w:rPr>
          <w:rFonts w:hint="eastAsia" w:eastAsia="仿宋_GB2312"/>
          <w:sz w:val="32"/>
          <w:szCs w:val="22"/>
        </w:rPr>
        <w:t>《</w:t>
      </w:r>
      <w:r>
        <w:rPr>
          <w:rFonts w:eastAsia="仿宋_GB2312"/>
          <w:sz w:val="32"/>
          <w:szCs w:val="22"/>
        </w:rPr>
        <w:t>消防给水及消火栓系统技术规范</w:t>
      </w:r>
      <w:r>
        <w:rPr>
          <w:rFonts w:hint="eastAsia" w:eastAsia="仿宋_GB2312"/>
          <w:sz w:val="32"/>
          <w:szCs w:val="22"/>
        </w:rPr>
        <w:t>》</w:t>
      </w:r>
    </w:p>
    <w:p>
      <w:pPr>
        <w:spacing w:line="590" w:lineRule="exact"/>
        <w:ind w:firstLine="640" w:firstLineChars="200"/>
        <w:jc w:val="left"/>
        <w:rPr>
          <w:rFonts w:eastAsia="仿宋_GB2312"/>
          <w:sz w:val="32"/>
          <w:szCs w:val="22"/>
        </w:rPr>
      </w:pPr>
      <w:r>
        <w:rPr>
          <w:rFonts w:eastAsia="仿宋_GB2312"/>
          <w:sz w:val="32"/>
          <w:szCs w:val="22"/>
        </w:rPr>
        <w:t xml:space="preserve">GB 51048          </w:t>
      </w:r>
      <w:r>
        <w:rPr>
          <w:rFonts w:hint="eastAsia" w:eastAsia="仿宋_GB2312"/>
          <w:sz w:val="32"/>
          <w:szCs w:val="22"/>
        </w:rPr>
        <w:t>《</w:t>
      </w:r>
      <w:r>
        <w:rPr>
          <w:rFonts w:eastAsia="仿宋_GB2312"/>
          <w:sz w:val="32"/>
          <w:szCs w:val="22"/>
        </w:rPr>
        <w:t>电化学储能电站设计规范</w:t>
      </w:r>
      <w:r>
        <w:rPr>
          <w:rFonts w:hint="eastAsia" w:eastAsia="仿宋_GB2312"/>
          <w:sz w:val="32"/>
          <w:szCs w:val="22"/>
        </w:rPr>
        <w:t>》</w:t>
      </w:r>
    </w:p>
    <w:p>
      <w:pPr>
        <w:spacing w:line="590" w:lineRule="exact"/>
        <w:ind w:firstLine="640" w:firstLineChars="200"/>
        <w:jc w:val="left"/>
        <w:rPr>
          <w:rFonts w:eastAsia="仿宋_GB2312"/>
          <w:sz w:val="32"/>
          <w:szCs w:val="22"/>
        </w:rPr>
      </w:pPr>
      <w:r>
        <w:rPr>
          <w:rFonts w:eastAsia="仿宋_GB2312"/>
          <w:sz w:val="32"/>
          <w:szCs w:val="22"/>
        </w:rPr>
        <w:t>GB 13955</w:t>
      </w:r>
      <w:r>
        <w:rPr>
          <w:lang w:bidi="ar"/>
        </w:rPr>
        <w:t>―</w:t>
      </w:r>
      <w:r>
        <w:rPr>
          <w:rFonts w:eastAsia="仿宋_GB2312"/>
          <w:sz w:val="32"/>
          <w:szCs w:val="22"/>
        </w:rPr>
        <w:t xml:space="preserve">2017     </w:t>
      </w:r>
      <w:r>
        <w:rPr>
          <w:rFonts w:hint="eastAsia" w:eastAsia="仿宋_GB2312"/>
          <w:sz w:val="32"/>
          <w:szCs w:val="22"/>
        </w:rPr>
        <w:t>《剩余</w:t>
      </w:r>
      <w:r>
        <w:rPr>
          <w:rFonts w:eastAsia="仿宋_GB2312"/>
          <w:sz w:val="32"/>
          <w:szCs w:val="22"/>
        </w:rPr>
        <w:t>电流动作保护装置安装和运行</w:t>
      </w:r>
      <w:r>
        <w:rPr>
          <w:rFonts w:hint="eastAsia" w:eastAsia="仿宋_GB2312"/>
          <w:sz w:val="32"/>
          <w:szCs w:val="22"/>
        </w:rPr>
        <w:t>》</w:t>
      </w:r>
    </w:p>
    <w:p>
      <w:pPr>
        <w:spacing w:line="590" w:lineRule="exact"/>
        <w:ind w:firstLine="640" w:firstLineChars="200"/>
        <w:jc w:val="left"/>
        <w:rPr>
          <w:rFonts w:eastAsia="仿宋_GB2312"/>
          <w:sz w:val="32"/>
          <w:szCs w:val="22"/>
        </w:rPr>
      </w:pPr>
      <w:r>
        <w:rPr>
          <w:rFonts w:eastAsia="仿宋_GB2312"/>
          <w:sz w:val="32"/>
          <w:szCs w:val="22"/>
        </w:rPr>
        <w:t>GB/T 4208</w:t>
      </w:r>
      <w:r>
        <w:rPr>
          <w:lang w:bidi="ar"/>
        </w:rPr>
        <w:t>―</w:t>
      </w:r>
      <w:r>
        <w:rPr>
          <w:rFonts w:eastAsia="仿宋_GB2312"/>
          <w:sz w:val="32"/>
          <w:szCs w:val="22"/>
        </w:rPr>
        <w:t xml:space="preserve">2017    </w:t>
      </w:r>
      <w:r>
        <w:rPr>
          <w:rFonts w:hint="eastAsia" w:eastAsia="仿宋_GB2312"/>
          <w:sz w:val="32"/>
          <w:szCs w:val="22"/>
        </w:rPr>
        <w:t>《</w:t>
      </w:r>
      <w:r>
        <w:rPr>
          <w:rFonts w:eastAsia="仿宋_GB2312"/>
          <w:sz w:val="32"/>
          <w:szCs w:val="22"/>
        </w:rPr>
        <w:t>外壳防护等级（IP代码）</w:t>
      </w:r>
      <w:r>
        <w:rPr>
          <w:rFonts w:hint="eastAsia" w:eastAsia="仿宋_GB2312"/>
          <w:sz w:val="32"/>
          <w:szCs w:val="22"/>
        </w:rPr>
        <w:t>》</w:t>
      </w:r>
    </w:p>
    <w:p>
      <w:pPr>
        <w:spacing w:line="590" w:lineRule="exact"/>
        <w:ind w:firstLine="640" w:firstLineChars="200"/>
        <w:jc w:val="left"/>
        <w:rPr>
          <w:rFonts w:eastAsia="仿宋_GB2312"/>
          <w:sz w:val="32"/>
          <w:szCs w:val="22"/>
        </w:rPr>
      </w:pPr>
      <w:r>
        <w:rPr>
          <w:rFonts w:eastAsia="仿宋_GB2312"/>
          <w:sz w:val="32"/>
          <w:szCs w:val="22"/>
        </w:rPr>
        <w:t>GB/T 13869</w:t>
      </w:r>
      <w:r>
        <w:rPr>
          <w:lang w:bidi="ar"/>
        </w:rPr>
        <w:t>―</w:t>
      </w:r>
      <w:r>
        <w:rPr>
          <w:rFonts w:eastAsia="仿宋_GB2312"/>
          <w:sz w:val="32"/>
          <w:szCs w:val="22"/>
        </w:rPr>
        <w:t xml:space="preserve">2017   </w:t>
      </w:r>
      <w:r>
        <w:rPr>
          <w:rFonts w:hint="eastAsia" w:eastAsia="仿宋_GB2312"/>
          <w:sz w:val="32"/>
          <w:szCs w:val="22"/>
        </w:rPr>
        <w:t>《</w:t>
      </w:r>
      <w:r>
        <w:rPr>
          <w:rFonts w:eastAsia="仿宋_GB2312"/>
          <w:sz w:val="32"/>
          <w:szCs w:val="22"/>
        </w:rPr>
        <w:t>用电安全导则</w:t>
      </w:r>
      <w:r>
        <w:rPr>
          <w:rFonts w:hint="eastAsia" w:eastAsia="仿宋_GB2312"/>
          <w:sz w:val="32"/>
          <w:szCs w:val="22"/>
        </w:rPr>
        <w:t>》</w:t>
      </w:r>
    </w:p>
    <w:p>
      <w:pPr>
        <w:spacing w:line="590" w:lineRule="exact"/>
        <w:ind w:firstLine="640" w:firstLineChars="200"/>
        <w:jc w:val="left"/>
        <w:rPr>
          <w:rFonts w:eastAsia="仿宋_GB2312"/>
          <w:sz w:val="32"/>
          <w:szCs w:val="22"/>
        </w:rPr>
      </w:pPr>
      <w:r>
        <w:rPr>
          <w:rFonts w:eastAsia="仿宋_GB2312"/>
          <w:sz w:val="32"/>
          <w:szCs w:val="22"/>
        </w:rPr>
        <w:t>GB/T 34131</w:t>
      </w:r>
      <w:r>
        <w:rPr>
          <w:lang w:bidi="ar"/>
        </w:rPr>
        <w:t>―</w:t>
      </w:r>
      <w:r>
        <w:rPr>
          <w:rFonts w:eastAsia="仿宋_GB2312"/>
          <w:sz w:val="32"/>
          <w:szCs w:val="22"/>
        </w:rPr>
        <w:t xml:space="preserve">2017   </w:t>
      </w:r>
      <w:r>
        <w:rPr>
          <w:rFonts w:hint="eastAsia" w:eastAsia="仿宋_GB2312"/>
          <w:sz w:val="32"/>
          <w:szCs w:val="22"/>
        </w:rPr>
        <w:t>《</w:t>
      </w:r>
      <w:r>
        <w:rPr>
          <w:rFonts w:eastAsia="仿宋_GB2312"/>
          <w:sz w:val="32"/>
          <w:szCs w:val="22"/>
        </w:rPr>
        <w:t>电化学储能电站用锂离子电池管理系统技术规范</w:t>
      </w:r>
      <w:r>
        <w:rPr>
          <w:rFonts w:hint="eastAsia" w:eastAsia="仿宋_GB2312"/>
          <w:sz w:val="32"/>
          <w:szCs w:val="22"/>
        </w:rPr>
        <w:t>》</w:t>
      </w:r>
    </w:p>
    <w:p>
      <w:pPr>
        <w:spacing w:line="590" w:lineRule="exact"/>
        <w:ind w:firstLine="640" w:firstLineChars="200"/>
        <w:jc w:val="left"/>
        <w:rPr>
          <w:rFonts w:eastAsia="仿宋_GB2312"/>
          <w:sz w:val="32"/>
          <w:szCs w:val="22"/>
        </w:rPr>
      </w:pPr>
      <w:r>
        <w:rPr>
          <w:rFonts w:eastAsia="仿宋_GB2312"/>
          <w:sz w:val="32"/>
          <w:szCs w:val="22"/>
        </w:rPr>
        <w:t>GB/T 36276</w:t>
      </w:r>
      <w:r>
        <w:rPr>
          <w:lang w:bidi="ar"/>
        </w:rPr>
        <w:t>―</w:t>
      </w:r>
      <w:r>
        <w:rPr>
          <w:rFonts w:eastAsia="仿宋_GB2312"/>
          <w:sz w:val="32"/>
          <w:szCs w:val="22"/>
        </w:rPr>
        <w:t xml:space="preserve">2018   </w:t>
      </w:r>
      <w:r>
        <w:rPr>
          <w:rFonts w:hint="eastAsia" w:eastAsia="仿宋_GB2312"/>
          <w:sz w:val="32"/>
          <w:szCs w:val="22"/>
        </w:rPr>
        <w:t>《</w:t>
      </w:r>
      <w:r>
        <w:rPr>
          <w:rFonts w:eastAsia="仿宋_GB2312"/>
          <w:sz w:val="32"/>
          <w:szCs w:val="22"/>
        </w:rPr>
        <w:t>电力储能用锂离子电池</w:t>
      </w:r>
      <w:r>
        <w:rPr>
          <w:rFonts w:hint="eastAsia" w:eastAsia="仿宋_GB2312"/>
          <w:sz w:val="32"/>
          <w:szCs w:val="22"/>
        </w:rPr>
        <w:t>》</w:t>
      </w:r>
    </w:p>
    <w:p>
      <w:pPr>
        <w:spacing w:line="590" w:lineRule="exact"/>
        <w:ind w:firstLine="640" w:firstLineChars="200"/>
        <w:jc w:val="left"/>
        <w:rPr>
          <w:rFonts w:eastAsia="仿宋_GB2312"/>
          <w:sz w:val="32"/>
          <w:szCs w:val="22"/>
        </w:rPr>
      </w:pPr>
      <w:r>
        <w:rPr>
          <w:rFonts w:eastAsia="仿宋_GB2312"/>
          <w:sz w:val="32"/>
          <w:szCs w:val="22"/>
        </w:rPr>
        <w:t>GB/T 51313</w:t>
      </w:r>
      <w:r>
        <w:rPr>
          <w:lang w:bidi="ar"/>
        </w:rPr>
        <w:t>―</w:t>
      </w:r>
      <w:r>
        <w:rPr>
          <w:rFonts w:eastAsia="仿宋_GB2312"/>
          <w:sz w:val="32"/>
          <w:szCs w:val="22"/>
        </w:rPr>
        <w:t xml:space="preserve">2018   </w:t>
      </w:r>
      <w:r>
        <w:rPr>
          <w:rFonts w:hint="eastAsia" w:eastAsia="仿宋_GB2312"/>
          <w:sz w:val="32"/>
          <w:szCs w:val="22"/>
        </w:rPr>
        <w:t>《</w:t>
      </w:r>
      <w:r>
        <w:rPr>
          <w:rFonts w:eastAsia="仿宋_GB2312"/>
          <w:sz w:val="32"/>
          <w:szCs w:val="22"/>
        </w:rPr>
        <w:t>电动汽车分散充电设施工程技术标准</w:t>
      </w:r>
      <w:r>
        <w:rPr>
          <w:rFonts w:hint="eastAsia" w:eastAsia="仿宋_GB2312"/>
          <w:sz w:val="32"/>
          <w:szCs w:val="22"/>
        </w:rPr>
        <w:t>》</w:t>
      </w:r>
    </w:p>
    <w:p>
      <w:pPr>
        <w:spacing w:line="590" w:lineRule="exact"/>
        <w:ind w:firstLine="640" w:firstLineChars="200"/>
        <w:jc w:val="left"/>
        <w:rPr>
          <w:rFonts w:eastAsia="仿宋_GB2312"/>
          <w:sz w:val="32"/>
          <w:szCs w:val="22"/>
        </w:rPr>
      </w:pPr>
      <w:r>
        <w:rPr>
          <w:rFonts w:eastAsia="仿宋_GB2312"/>
          <w:sz w:val="32"/>
          <w:szCs w:val="22"/>
        </w:rPr>
        <w:t>GB/T 17467</w:t>
      </w:r>
      <w:r>
        <w:rPr>
          <w:lang w:bidi="ar"/>
        </w:rPr>
        <w:t>―</w:t>
      </w:r>
      <w:r>
        <w:rPr>
          <w:rFonts w:eastAsia="仿宋_GB2312"/>
          <w:sz w:val="32"/>
          <w:szCs w:val="22"/>
        </w:rPr>
        <w:t xml:space="preserve">2020   </w:t>
      </w:r>
      <w:r>
        <w:rPr>
          <w:rFonts w:hint="eastAsia" w:eastAsia="仿宋_GB2312"/>
          <w:sz w:val="32"/>
          <w:szCs w:val="22"/>
        </w:rPr>
        <w:t>《</w:t>
      </w:r>
      <w:r>
        <w:rPr>
          <w:rFonts w:eastAsia="仿宋_GB2312"/>
          <w:sz w:val="32"/>
          <w:szCs w:val="22"/>
        </w:rPr>
        <w:t>高压/低压预装式变电站</w:t>
      </w:r>
      <w:r>
        <w:rPr>
          <w:rFonts w:hint="eastAsia" w:eastAsia="仿宋_GB2312"/>
          <w:sz w:val="32"/>
          <w:szCs w:val="22"/>
        </w:rPr>
        <w:t>》</w:t>
      </w:r>
    </w:p>
    <w:p>
      <w:pPr>
        <w:spacing w:line="590" w:lineRule="exact"/>
        <w:ind w:firstLine="640" w:firstLineChars="200"/>
        <w:jc w:val="left"/>
        <w:rPr>
          <w:rFonts w:eastAsia="仿宋_GB2312"/>
          <w:sz w:val="32"/>
          <w:szCs w:val="22"/>
        </w:rPr>
      </w:pPr>
      <w:r>
        <w:rPr>
          <w:rFonts w:eastAsia="仿宋_GB2312"/>
          <w:sz w:val="32"/>
          <w:szCs w:val="22"/>
        </w:rPr>
        <w:t>GB/T 14549</w:t>
      </w:r>
      <w:r>
        <w:rPr>
          <w:lang w:bidi="ar"/>
        </w:rPr>
        <w:t>―</w:t>
      </w:r>
      <w:r>
        <w:rPr>
          <w:rFonts w:eastAsia="仿宋_GB2312"/>
          <w:sz w:val="32"/>
          <w:szCs w:val="22"/>
        </w:rPr>
        <w:t xml:space="preserve">1993   </w:t>
      </w:r>
      <w:r>
        <w:rPr>
          <w:rFonts w:hint="eastAsia" w:eastAsia="仿宋_GB2312"/>
          <w:sz w:val="32"/>
          <w:szCs w:val="22"/>
        </w:rPr>
        <w:t>《</w:t>
      </w:r>
      <w:r>
        <w:rPr>
          <w:rFonts w:eastAsia="仿宋_GB2312"/>
          <w:sz w:val="32"/>
          <w:szCs w:val="22"/>
        </w:rPr>
        <w:t>电能质量公用电</w:t>
      </w:r>
      <w:r>
        <w:rPr>
          <w:rFonts w:hint="eastAsia" w:eastAsia="仿宋_GB2312"/>
          <w:sz w:val="32"/>
          <w:szCs w:val="22"/>
        </w:rPr>
        <w:t>网</w:t>
      </w:r>
      <w:r>
        <w:rPr>
          <w:rFonts w:eastAsia="仿宋_GB2312"/>
          <w:sz w:val="32"/>
          <w:szCs w:val="22"/>
        </w:rPr>
        <w:t>谐波</w:t>
      </w:r>
      <w:r>
        <w:rPr>
          <w:rFonts w:hint="eastAsia" w:eastAsia="仿宋_GB2312"/>
          <w:sz w:val="32"/>
          <w:szCs w:val="22"/>
        </w:rPr>
        <w:t>》</w:t>
      </w:r>
    </w:p>
    <w:p>
      <w:pPr>
        <w:spacing w:line="590" w:lineRule="exact"/>
        <w:ind w:firstLine="640" w:firstLineChars="200"/>
        <w:jc w:val="left"/>
        <w:rPr>
          <w:rFonts w:eastAsia="仿宋_GB2312"/>
          <w:sz w:val="32"/>
          <w:szCs w:val="22"/>
        </w:rPr>
      </w:pPr>
      <w:r>
        <w:rPr>
          <w:rFonts w:eastAsia="仿宋_GB2312"/>
          <w:sz w:val="32"/>
          <w:szCs w:val="22"/>
        </w:rPr>
        <w:t>GB/T 30845.1</w:t>
      </w:r>
      <w:r>
        <w:rPr>
          <w:lang w:bidi="ar"/>
        </w:rPr>
        <w:t>―</w:t>
      </w:r>
      <w:r>
        <w:rPr>
          <w:rFonts w:eastAsia="仿宋_GB2312"/>
          <w:sz w:val="32"/>
          <w:szCs w:val="22"/>
        </w:rPr>
        <w:t xml:space="preserve">2014 </w:t>
      </w:r>
      <w:r>
        <w:rPr>
          <w:rFonts w:hint="eastAsia" w:eastAsia="仿宋_GB2312"/>
          <w:sz w:val="32"/>
          <w:szCs w:val="22"/>
        </w:rPr>
        <w:t xml:space="preserve"> 《高压岸电连接系统（</w:t>
      </w:r>
      <w:r>
        <w:rPr>
          <w:rFonts w:eastAsia="仿宋_GB2312"/>
          <w:sz w:val="32"/>
          <w:szCs w:val="22"/>
        </w:rPr>
        <w:t>HVSC系统）用插头、插座和船用耦合器 第1部分：通用要求</w:t>
      </w:r>
      <w:r>
        <w:rPr>
          <w:rFonts w:hint="eastAsia" w:eastAsia="仿宋_GB2312"/>
          <w:sz w:val="32"/>
          <w:szCs w:val="22"/>
        </w:rPr>
        <w:t>》</w:t>
      </w:r>
    </w:p>
    <w:p>
      <w:pPr>
        <w:spacing w:line="590" w:lineRule="exact"/>
        <w:ind w:firstLine="640" w:firstLineChars="200"/>
        <w:jc w:val="left"/>
        <w:rPr>
          <w:rFonts w:eastAsia="仿宋_GB2312"/>
          <w:sz w:val="32"/>
          <w:szCs w:val="22"/>
        </w:rPr>
      </w:pPr>
      <w:r>
        <w:rPr>
          <w:rFonts w:eastAsia="仿宋_GB2312"/>
          <w:sz w:val="32"/>
          <w:szCs w:val="22"/>
        </w:rPr>
        <w:t>GB/T 11918.5</w:t>
      </w:r>
      <w:r>
        <w:rPr>
          <w:lang w:bidi="ar"/>
        </w:rPr>
        <w:t>―</w:t>
      </w:r>
      <w:r>
        <w:rPr>
          <w:rFonts w:eastAsia="仿宋_GB2312"/>
          <w:sz w:val="32"/>
          <w:szCs w:val="22"/>
        </w:rPr>
        <w:t xml:space="preserve">2020 </w:t>
      </w:r>
      <w:r>
        <w:rPr>
          <w:rFonts w:hint="eastAsia" w:eastAsia="仿宋_GB2312"/>
          <w:sz w:val="32"/>
          <w:szCs w:val="22"/>
        </w:rPr>
        <w:t xml:space="preserve"> 《工业用插头插座和耦合器</w:t>
      </w:r>
      <w:r>
        <w:rPr>
          <w:rFonts w:eastAsia="仿宋_GB2312"/>
          <w:sz w:val="32"/>
          <w:szCs w:val="22"/>
        </w:rPr>
        <w:t xml:space="preserve"> 第5部分：低压岸电连接系统（LVSC系统）用插头、插座、船用连接器和船用输入插座的尺寸兼容性和互换性要求</w:t>
      </w:r>
      <w:r>
        <w:rPr>
          <w:rFonts w:hint="eastAsia" w:eastAsia="仿宋_GB2312"/>
          <w:sz w:val="32"/>
          <w:szCs w:val="22"/>
        </w:rPr>
        <w:t>》</w:t>
      </w:r>
    </w:p>
    <w:p>
      <w:pPr>
        <w:spacing w:line="590" w:lineRule="exact"/>
        <w:ind w:firstLine="640" w:firstLineChars="200"/>
        <w:jc w:val="left"/>
        <w:rPr>
          <w:rFonts w:eastAsia="仿宋_GB2312"/>
          <w:sz w:val="32"/>
          <w:szCs w:val="22"/>
        </w:rPr>
      </w:pPr>
      <w:r>
        <w:rPr>
          <w:rFonts w:eastAsia="仿宋_GB2312"/>
          <w:sz w:val="32"/>
          <w:szCs w:val="22"/>
        </w:rPr>
        <w:t>GB/T 36278</w:t>
      </w:r>
      <w:r>
        <w:rPr>
          <w:lang w:bidi="ar"/>
        </w:rPr>
        <w:t>―</w:t>
      </w:r>
      <w:r>
        <w:rPr>
          <w:rFonts w:eastAsia="仿宋_GB2312"/>
          <w:sz w:val="32"/>
          <w:szCs w:val="22"/>
        </w:rPr>
        <w:t xml:space="preserve">2018   </w:t>
      </w:r>
      <w:r>
        <w:rPr>
          <w:rFonts w:hint="eastAsia" w:eastAsia="仿宋_GB2312"/>
          <w:sz w:val="32"/>
          <w:szCs w:val="22"/>
        </w:rPr>
        <w:t>《</w:t>
      </w:r>
      <w:r>
        <w:rPr>
          <w:rFonts w:eastAsia="仿宋_GB2312"/>
          <w:sz w:val="32"/>
          <w:szCs w:val="22"/>
        </w:rPr>
        <w:t>电动汽车充换电设施接入配电网技术规范</w:t>
      </w:r>
      <w:r>
        <w:rPr>
          <w:rFonts w:hint="eastAsia" w:eastAsia="仿宋_GB2312"/>
          <w:sz w:val="32"/>
          <w:szCs w:val="22"/>
        </w:rPr>
        <w:t>》</w:t>
      </w:r>
    </w:p>
    <w:p>
      <w:pPr>
        <w:spacing w:line="590" w:lineRule="exact"/>
        <w:ind w:firstLine="640" w:firstLineChars="200"/>
        <w:jc w:val="left"/>
        <w:rPr>
          <w:rFonts w:eastAsia="仿宋_GB2312"/>
          <w:sz w:val="32"/>
          <w:szCs w:val="22"/>
        </w:rPr>
      </w:pPr>
      <w:r>
        <w:rPr>
          <w:rFonts w:eastAsia="仿宋_GB2312"/>
          <w:sz w:val="32"/>
          <w:szCs w:val="22"/>
        </w:rPr>
        <w:t>GB/</w:t>
      </w:r>
      <w:r>
        <w:rPr>
          <w:rFonts w:hint="eastAsia" w:eastAsia="仿宋_GB2312"/>
          <w:sz w:val="32"/>
          <w:szCs w:val="22"/>
        </w:rPr>
        <w:t>T</w:t>
      </w:r>
      <w:r>
        <w:rPr>
          <w:rFonts w:eastAsia="仿宋_GB2312"/>
          <w:sz w:val="32"/>
          <w:szCs w:val="22"/>
        </w:rPr>
        <w:t xml:space="preserve"> 18487.1</w:t>
      </w:r>
      <w:r>
        <w:rPr>
          <w:lang w:bidi="ar"/>
        </w:rPr>
        <w:t>―</w:t>
      </w:r>
      <w:r>
        <w:rPr>
          <w:rFonts w:eastAsia="仿宋_GB2312"/>
          <w:sz w:val="32"/>
          <w:szCs w:val="22"/>
        </w:rPr>
        <w:t xml:space="preserve">2015 </w:t>
      </w:r>
      <w:r>
        <w:rPr>
          <w:rFonts w:hint="eastAsia" w:eastAsia="仿宋_GB2312"/>
          <w:sz w:val="32"/>
          <w:szCs w:val="22"/>
        </w:rPr>
        <w:t xml:space="preserve"> 《</w:t>
      </w:r>
      <w:r>
        <w:rPr>
          <w:rFonts w:eastAsia="仿宋_GB2312"/>
          <w:sz w:val="32"/>
          <w:szCs w:val="22"/>
        </w:rPr>
        <w:t>电动汽车传导充电系统 第1部分：通用要求</w:t>
      </w:r>
      <w:r>
        <w:rPr>
          <w:rFonts w:hint="eastAsia" w:eastAsia="仿宋_GB2312"/>
          <w:sz w:val="32"/>
          <w:szCs w:val="22"/>
        </w:rPr>
        <w:t>》</w:t>
      </w:r>
    </w:p>
    <w:p>
      <w:pPr>
        <w:spacing w:line="590" w:lineRule="exact"/>
        <w:ind w:firstLine="640" w:firstLineChars="200"/>
        <w:jc w:val="left"/>
        <w:rPr>
          <w:rFonts w:eastAsia="仿宋_GB2312"/>
          <w:sz w:val="32"/>
          <w:szCs w:val="22"/>
        </w:rPr>
      </w:pPr>
      <w:r>
        <w:rPr>
          <w:rFonts w:eastAsia="仿宋_GB2312"/>
          <w:sz w:val="32"/>
          <w:szCs w:val="22"/>
        </w:rPr>
        <w:t>GB/T 20234.1</w:t>
      </w:r>
      <w:r>
        <w:rPr>
          <w:lang w:bidi="ar"/>
        </w:rPr>
        <w:t>―</w:t>
      </w:r>
      <w:r>
        <w:rPr>
          <w:rFonts w:eastAsia="仿宋_GB2312"/>
          <w:sz w:val="32"/>
          <w:szCs w:val="22"/>
        </w:rPr>
        <w:t>2015</w:t>
      </w:r>
      <w:r>
        <w:rPr>
          <w:rFonts w:hint="eastAsia" w:eastAsia="仿宋_GB2312"/>
          <w:sz w:val="32"/>
          <w:szCs w:val="22"/>
        </w:rPr>
        <w:t xml:space="preserve"> </w:t>
      </w:r>
      <w:r>
        <w:rPr>
          <w:rFonts w:eastAsia="仿宋_GB2312"/>
          <w:sz w:val="32"/>
          <w:szCs w:val="22"/>
        </w:rPr>
        <w:t xml:space="preserve"> </w:t>
      </w:r>
      <w:r>
        <w:rPr>
          <w:rFonts w:hint="eastAsia" w:eastAsia="仿宋_GB2312"/>
          <w:sz w:val="32"/>
          <w:szCs w:val="22"/>
        </w:rPr>
        <w:t>《电动汽车传导充电用连接装置</w:t>
      </w:r>
      <w:r>
        <w:rPr>
          <w:rFonts w:eastAsia="仿宋_GB2312"/>
          <w:sz w:val="32"/>
          <w:szCs w:val="22"/>
        </w:rPr>
        <w:t xml:space="preserve"> </w:t>
      </w:r>
      <w:r>
        <w:rPr>
          <w:rFonts w:hint="eastAsia" w:eastAsia="仿宋_GB2312"/>
          <w:sz w:val="32"/>
          <w:szCs w:val="22"/>
        </w:rPr>
        <w:t>第</w:t>
      </w:r>
      <w:r>
        <w:rPr>
          <w:rFonts w:eastAsia="仿宋_GB2312"/>
          <w:sz w:val="32"/>
          <w:szCs w:val="22"/>
        </w:rPr>
        <w:t>1</w:t>
      </w:r>
      <w:r>
        <w:rPr>
          <w:rFonts w:hint="eastAsia" w:eastAsia="仿宋_GB2312"/>
          <w:sz w:val="32"/>
          <w:szCs w:val="22"/>
        </w:rPr>
        <w:t>部分：通用要求》</w:t>
      </w:r>
    </w:p>
    <w:p>
      <w:pPr>
        <w:pStyle w:val="2"/>
        <w:tabs>
          <w:tab w:val="clear" w:pos="0"/>
        </w:tabs>
        <w:spacing w:line="590" w:lineRule="exact"/>
        <w:ind w:firstLine="640" w:firstLineChars="200"/>
        <w:jc w:val="left"/>
        <w:rPr>
          <w:rFonts w:ascii="Times New Roman"/>
          <w:b w:val="0"/>
          <w:bCs w:val="0"/>
          <w:sz w:val="32"/>
        </w:rPr>
      </w:pPr>
      <w:bookmarkStart w:id="10" w:name="_Toc78835196"/>
      <w:bookmarkStart w:id="11" w:name="_Toc78835292"/>
      <w:bookmarkStart w:id="12" w:name="_Toc29193"/>
      <w:r>
        <w:rPr>
          <w:rFonts w:hint="eastAsia" w:ascii="Times New Roman"/>
          <w:b w:val="0"/>
          <w:bCs w:val="0"/>
          <w:sz w:val="32"/>
        </w:rPr>
        <w:t>三、术语和定义</w:t>
      </w:r>
      <w:bookmarkEnd w:id="10"/>
      <w:bookmarkEnd w:id="11"/>
      <w:bookmarkEnd w:id="12"/>
    </w:p>
    <w:p>
      <w:pPr>
        <w:spacing w:line="590" w:lineRule="exact"/>
        <w:ind w:firstLine="640" w:firstLineChars="200"/>
        <w:jc w:val="left"/>
        <w:rPr>
          <w:rFonts w:eastAsia="仿宋_GB2312"/>
          <w:sz w:val="32"/>
          <w:szCs w:val="22"/>
          <w:lang w:bidi="ar"/>
        </w:rPr>
      </w:pPr>
      <w:r>
        <w:rPr>
          <w:rFonts w:hint="eastAsia" w:eastAsia="仿宋_GB2312"/>
          <w:sz w:val="32"/>
          <w:szCs w:val="22"/>
          <w:lang w:bidi="ar"/>
        </w:rPr>
        <w:t>下列术语和定义适用于本规范。</w:t>
      </w:r>
    </w:p>
    <w:p>
      <w:pPr>
        <w:spacing w:line="590" w:lineRule="exact"/>
        <w:ind w:firstLine="640" w:firstLineChars="200"/>
        <w:jc w:val="left"/>
        <w:rPr>
          <w:rFonts w:eastAsia="仿宋_GB2312"/>
          <w:sz w:val="32"/>
          <w:szCs w:val="22"/>
          <w:lang w:bidi="ar"/>
        </w:rPr>
      </w:pPr>
      <w:bookmarkStart w:id="13" w:name="_Toc472007941"/>
      <w:bookmarkEnd w:id="13"/>
      <w:bookmarkStart w:id="14" w:name="_Toc478584420"/>
      <w:bookmarkEnd w:id="14"/>
      <w:bookmarkStart w:id="15" w:name="_Toc22131"/>
      <w:r>
        <w:rPr>
          <w:rFonts w:hint="eastAsia" w:eastAsia="仿宋_GB2312"/>
          <w:sz w:val="32"/>
          <w:szCs w:val="22"/>
          <w:lang w:bidi="ar"/>
        </w:rPr>
        <w:t>换电设施：</w:t>
      </w:r>
      <w:r>
        <w:rPr>
          <w:rFonts w:eastAsia="仿宋_GB2312"/>
          <w:sz w:val="32"/>
          <w:szCs w:val="22"/>
          <w:lang w:bidi="ar"/>
        </w:rPr>
        <w:t>battery swap infrastructure</w:t>
      </w:r>
      <w:bookmarkEnd w:id="15"/>
      <w:r>
        <w:rPr>
          <w:rFonts w:eastAsia="仿宋_GB2312"/>
          <w:sz w:val="32"/>
          <w:szCs w:val="22"/>
          <w:lang w:bidi="ar"/>
        </w:rPr>
        <w:t>，</w:t>
      </w:r>
      <w:r>
        <w:rPr>
          <w:rFonts w:hint="eastAsia" w:eastAsia="仿宋_GB2312"/>
          <w:sz w:val="32"/>
          <w:szCs w:val="22"/>
          <w:lang w:bidi="ar"/>
        </w:rPr>
        <w:t>通过电池更换方式为电动汽车提供电能的相关设施的总称。</w:t>
      </w:r>
      <w:bookmarkStart w:id="16" w:name="_Toc10514"/>
    </w:p>
    <w:p>
      <w:pPr>
        <w:spacing w:line="590" w:lineRule="exact"/>
        <w:ind w:firstLine="640" w:firstLineChars="200"/>
        <w:jc w:val="left"/>
        <w:rPr>
          <w:rFonts w:eastAsia="仿宋_GB2312"/>
          <w:sz w:val="32"/>
          <w:szCs w:val="22"/>
          <w:lang w:bidi="ar"/>
        </w:rPr>
      </w:pPr>
      <w:r>
        <w:rPr>
          <w:rFonts w:hint="eastAsia" w:eastAsia="仿宋_GB2312"/>
          <w:sz w:val="32"/>
          <w:szCs w:val="22"/>
          <w:lang w:bidi="ar"/>
        </w:rPr>
        <w:t>充电服务平台：charging service platform</w:t>
      </w:r>
      <w:bookmarkEnd w:id="16"/>
      <w:r>
        <w:rPr>
          <w:rFonts w:hint="eastAsia" w:eastAsia="仿宋_GB2312"/>
          <w:sz w:val="32"/>
          <w:szCs w:val="22"/>
          <w:lang w:bidi="ar"/>
        </w:rPr>
        <w:t>，</w:t>
      </w:r>
      <w:r>
        <w:rPr>
          <w:rFonts w:eastAsia="仿宋_GB2312"/>
          <w:sz w:val="32"/>
          <w:szCs w:val="22"/>
          <w:lang w:bidi="ar"/>
        </w:rPr>
        <w:t>简称充电平台</w:t>
      </w:r>
      <w:r>
        <w:rPr>
          <w:rFonts w:hint="eastAsia" w:eastAsia="仿宋_GB2312"/>
          <w:sz w:val="32"/>
          <w:szCs w:val="22"/>
          <w:lang w:bidi="ar"/>
        </w:rPr>
        <w:t>，对电动汽车信息及电动汽车充电设施信息进行采集、处理和运行管理，向用户提供充电服务、业务管理及信息服务功能的支撑系统。</w:t>
      </w:r>
    </w:p>
    <w:p>
      <w:pPr>
        <w:spacing w:line="590" w:lineRule="exact"/>
        <w:ind w:firstLine="640" w:firstLineChars="200"/>
        <w:jc w:val="left"/>
        <w:rPr>
          <w:rFonts w:eastAsia="仿宋_GB2312"/>
          <w:sz w:val="32"/>
          <w:szCs w:val="22"/>
          <w:lang w:bidi="ar"/>
        </w:rPr>
      </w:pPr>
      <w:r>
        <w:rPr>
          <w:rFonts w:hint="eastAsia" w:eastAsia="仿宋_GB2312"/>
          <w:sz w:val="32"/>
          <w:szCs w:val="22"/>
          <w:lang w:bidi="ar"/>
        </w:rPr>
        <w:t>停车场服务运营平台：</w:t>
      </w:r>
      <w:r>
        <w:rPr>
          <w:rFonts w:eastAsia="仿宋_GB2312"/>
          <w:sz w:val="32"/>
          <w:szCs w:val="22"/>
          <w:lang w:bidi="ar"/>
        </w:rPr>
        <w:t>Parking lot service operat</w:t>
      </w:r>
      <w:r>
        <w:rPr>
          <w:rFonts w:hint="eastAsia" w:eastAsia="仿宋_GB2312"/>
          <w:sz w:val="32"/>
          <w:szCs w:val="22"/>
          <w:lang w:bidi="ar"/>
        </w:rPr>
        <w:t>ion</w:t>
      </w:r>
      <w:r>
        <w:rPr>
          <w:rFonts w:eastAsia="仿宋_GB2312"/>
          <w:sz w:val="32"/>
          <w:szCs w:val="22"/>
          <w:lang w:bidi="ar"/>
        </w:rPr>
        <w:t xml:space="preserve"> service platform</w:t>
      </w:r>
      <w:r>
        <w:rPr>
          <w:rFonts w:hint="eastAsia" w:eastAsia="仿宋_GB2312"/>
          <w:sz w:val="32"/>
          <w:szCs w:val="22"/>
          <w:lang w:bidi="ar"/>
        </w:rPr>
        <w:t>，简称停车场服务平台，对电动汽车停车信息进行采集、处理和运行管理的支撑系统，为联网用户提供信息服务。</w:t>
      </w:r>
    </w:p>
    <w:p>
      <w:pPr>
        <w:spacing w:line="590" w:lineRule="exact"/>
        <w:ind w:firstLine="640" w:firstLineChars="200"/>
        <w:jc w:val="left"/>
        <w:rPr>
          <w:rFonts w:eastAsia="仿宋_GB2312"/>
          <w:sz w:val="32"/>
          <w:szCs w:val="22"/>
          <w:lang w:bidi="ar"/>
        </w:rPr>
      </w:pPr>
      <w:bookmarkStart w:id="17" w:name="_Toc3977"/>
      <w:bookmarkStart w:id="18" w:name="_Toc77324045"/>
      <w:r>
        <w:rPr>
          <w:rFonts w:hint="eastAsia" w:eastAsia="仿宋_GB2312"/>
          <w:sz w:val="32"/>
          <w:szCs w:val="22"/>
          <w:lang w:bidi="ar"/>
        </w:rPr>
        <w:t>码头岸电设施：</w:t>
      </w:r>
      <w:r>
        <w:rPr>
          <w:rFonts w:eastAsia="仿宋_GB2312"/>
          <w:sz w:val="32"/>
          <w:szCs w:val="22"/>
          <w:lang w:bidi="ar"/>
        </w:rPr>
        <w:t>Shore-to-ship </w:t>
      </w:r>
      <w:r>
        <w:rPr>
          <w:rFonts w:hint="eastAsia" w:eastAsia="仿宋_GB2312"/>
          <w:sz w:val="32"/>
          <w:szCs w:val="22"/>
          <w:lang w:bidi="ar"/>
        </w:rPr>
        <w:t xml:space="preserve"> </w:t>
      </w:r>
      <w:r>
        <w:rPr>
          <w:rFonts w:eastAsia="仿宋_GB2312"/>
          <w:sz w:val="32"/>
          <w:szCs w:val="22"/>
          <w:lang w:bidi="ar"/>
        </w:rPr>
        <w:t>power supp</w:t>
      </w:r>
      <w:r>
        <w:rPr>
          <w:rFonts w:hint="eastAsia" w:eastAsia="仿宋_GB2312"/>
          <w:sz w:val="32"/>
          <w:szCs w:val="22"/>
          <w:lang w:bidi="ar"/>
        </w:rPr>
        <w:t>l</w:t>
      </w:r>
      <w:r>
        <w:rPr>
          <w:rFonts w:eastAsia="仿宋_GB2312"/>
          <w:sz w:val="32"/>
          <w:szCs w:val="22"/>
          <w:lang w:bidi="ar"/>
        </w:rPr>
        <w:t>y</w:t>
      </w:r>
      <w:r>
        <w:rPr>
          <w:rFonts w:hint="eastAsia" w:eastAsia="仿宋_GB2312"/>
          <w:sz w:val="32"/>
          <w:szCs w:val="22"/>
          <w:lang w:bidi="ar"/>
        </w:rPr>
        <w:t xml:space="preserve"> facility</w:t>
      </w:r>
      <w:bookmarkEnd w:id="17"/>
      <w:bookmarkEnd w:id="18"/>
      <w:r>
        <w:rPr>
          <w:rFonts w:hint="eastAsia" w:eastAsia="仿宋_GB2312"/>
          <w:sz w:val="32"/>
          <w:szCs w:val="22"/>
          <w:lang w:bidi="ar"/>
        </w:rPr>
        <w:t>，由岸侧电力系统向停靠码头的船舶提供电能的设备及装置，主要包括开关柜、岸电电源、接电装置、电缆管理装置等，其整体称为码头岸电设施。</w:t>
      </w:r>
      <w:bookmarkStart w:id="19" w:name="_Toc26458"/>
    </w:p>
    <w:p>
      <w:pPr>
        <w:spacing w:line="590" w:lineRule="exact"/>
        <w:ind w:firstLine="640" w:firstLineChars="200"/>
        <w:jc w:val="left"/>
        <w:rPr>
          <w:rFonts w:eastAsia="仿宋_GB2312"/>
          <w:sz w:val="32"/>
          <w:szCs w:val="22"/>
          <w:lang w:bidi="ar"/>
        </w:rPr>
      </w:pPr>
      <w:r>
        <w:rPr>
          <w:rFonts w:eastAsia="仿宋_GB2312"/>
          <w:sz w:val="32"/>
          <w:szCs w:val="22"/>
          <w:lang w:bidi="ar"/>
        </w:rPr>
        <w:t>智慧充电</w:t>
      </w:r>
      <w:r>
        <w:rPr>
          <w:rFonts w:hint="eastAsia" w:eastAsia="仿宋_GB2312"/>
          <w:sz w:val="32"/>
          <w:szCs w:val="22"/>
          <w:lang w:bidi="ar"/>
        </w:rPr>
        <w:t>：</w:t>
      </w:r>
      <w:r>
        <w:rPr>
          <w:rFonts w:eastAsia="仿宋_GB2312"/>
          <w:sz w:val="32"/>
          <w:szCs w:val="22"/>
          <w:lang w:bidi="ar"/>
        </w:rPr>
        <w:t>Orderly charging</w:t>
      </w:r>
      <w:bookmarkEnd w:id="19"/>
      <w:r>
        <w:rPr>
          <w:rFonts w:hint="eastAsia" w:eastAsia="仿宋_GB2312"/>
          <w:sz w:val="32"/>
          <w:szCs w:val="22"/>
          <w:lang w:bidi="ar"/>
        </w:rPr>
        <w:t>，在充分考虑用户充电需求的前提下，采用硬件设备及配套软件对电动汽车充电过程进行调控，改善充电负荷特性，避免电网负荷叠加，提高电网运行经济性和可靠性。</w:t>
      </w:r>
      <w:bookmarkStart w:id="20" w:name="_Toc3002"/>
    </w:p>
    <w:p>
      <w:pPr>
        <w:spacing w:line="590" w:lineRule="exact"/>
        <w:ind w:firstLine="640" w:firstLineChars="200"/>
        <w:jc w:val="left"/>
        <w:rPr>
          <w:rFonts w:eastAsia="仿宋_GB2312"/>
          <w:sz w:val="32"/>
          <w:szCs w:val="22"/>
          <w:lang w:bidi="ar"/>
        </w:rPr>
      </w:pPr>
      <w:r>
        <w:rPr>
          <w:rFonts w:hint="eastAsia" w:eastAsia="仿宋_GB2312"/>
          <w:sz w:val="32"/>
          <w:szCs w:val="22"/>
          <w:lang w:bidi="ar"/>
        </w:rPr>
        <w:t>充放电设施</w:t>
      </w:r>
      <w:r>
        <w:rPr>
          <w:rFonts w:eastAsia="仿宋_GB2312"/>
          <w:sz w:val="32"/>
          <w:szCs w:val="22"/>
          <w:lang w:bidi="ar"/>
        </w:rPr>
        <w:fldChar w:fldCharType="begin"/>
      </w:r>
      <w:r>
        <w:rPr>
          <w:rFonts w:eastAsia="仿宋_GB2312"/>
          <w:sz w:val="32"/>
          <w:szCs w:val="22"/>
          <w:lang w:bidi="ar"/>
        </w:rPr>
        <w:instrText xml:space="preserve"> XE "</w:instrText>
      </w:r>
      <w:r>
        <w:rPr>
          <w:rFonts w:hint="eastAsia" w:eastAsia="仿宋_GB2312"/>
          <w:sz w:val="32"/>
          <w:szCs w:val="22"/>
          <w:lang w:bidi="ar"/>
        </w:rPr>
        <w:instrText xml:space="preserve">充换电设施</w:instrText>
      </w:r>
      <w:r>
        <w:rPr>
          <w:rFonts w:eastAsia="仿宋_GB2312"/>
          <w:sz w:val="32"/>
          <w:szCs w:val="22"/>
          <w:lang w:bidi="ar"/>
        </w:rPr>
        <w:instrText xml:space="preserve">" \t "2.1" </w:instrText>
      </w:r>
      <w:r>
        <w:rPr>
          <w:rFonts w:eastAsia="仿宋_GB2312"/>
          <w:sz w:val="32"/>
          <w:szCs w:val="22"/>
          <w:lang w:bidi="ar"/>
        </w:rPr>
        <w:fldChar w:fldCharType="end"/>
      </w:r>
      <w:r>
        <w:rPr>
          <w:rFonts w:hint="eastAsia" w:eastAsia="仿宋_GB2312"/>
          <w:sz w:val="32"/>
          <w:szCs w:val="22"/>
          <w:lang w:bidi="ar"/>
        </w:rPr>
        <w:t>：charging and discharging infrastructure</w:t>
      </w:r>
      <w:r>
        <w:rPr>
          <w:rFonts w:eastAsia="仿宋_GB2312"/>
          <w:sz w:val="32"/>
          <w:szCs w:val="22"/>
          <w:lang w:bidi="ar"/>
        </w:rPr>
        <w:t xml:space="preserve"> </w:t>
      </w:r>
      <w:r>
        <w:rPr>
          <w:rFonts w:eastAsia="仿宋_GB2312"/>
          <w:sz w:val="32"/>
          <w:szCs w:val="22"/>
          <w:lang w:bidi="ar"/>
        </w:rPr>
        <w:fldChar w:fldCharType="begin"/>
      </w:r>
      <w:r>
        <w:rPr>
          <w:rFonts w:eastAsia="仿宋_GB2312"/>
          <w:sz w:val="32"/>
          <w:szCs w:val="22"/>
          <w:lang w:bidi="ar"/>
        </w:rPr>
        <w:instrText xml:space="preserve"> XE "charging/battery swap infrastructure" \t "2.1" </w:instrText>
      </w:r>
      <w:r>
        <w:rPr>
          <w:rFonts w:eastAsia="仿宋_GB2312"/>
          <w:sz w:val="32"/>
          <w:szCs w:val="22"/>
          <w:lang w:bidi="ar"/>
        </w:rPr>
        <w:fldChar w:fldCharType="end"/>
      </w:r>
      <w:bookmarkEnd w:id="20"/>
      <w:r>
        <w:rPr>
          <w:rFonts w:hint="eastAsia" w:eastAsia="仿宋_GB2312"/>
          <w:sz w:val="32"/>
          <w:szCs w:val="22"/>
          <w:lang w:bidi="ar"/>
        </w:rPr>
        <w:t>，同时具备充电和放电功能的电动汽车充换电设施。</w:t>
      </w:r>
      <w:bookmarkStart w:id="21" w:name="_Toc29394"/>
    </w:p>
    <w:p>
      <w:pPr>
        <w:spacing w:line="590" w:lineRule="exact"/>
        <w:ind w:firstLine="640" w:firstLineChars="200"/>
        <w:jc w:val="left"/>
        <w:rPr>
          <w:rFonts w:eastAsia="仿宋_GB2312"/>
          <w:sz w:val="32"/>
          <w:szCs w:val="22"/>
          <w:lang w:bidi="ar"/>
        </w:rPr>
      </w:pPr>
      <w:r>
        <w:rPr>
          <w:rFonts w:hint="eastAsia" w:eastAsia="仿宋_GB2312"/>
          <w:sz w:val="32"/>
          <w:szCs w:val="22"/>
          <w:lang w:bidi="ar"/>
        </w:rPr>
        <w:t>车网互动：</w:t>
      </w:r>
      <w:r>
        <w:rPr>
          <w:rFonts w:eastAsia="仿宋_GB2312"/>
          <w:sz w:val="32"/>
          <w:szCs w:val="22"/>
          <w:lang w:bidi="ar"/>
        </w:rPr>
        <w:t>V2G（Vehicle-to-Grid）</w:t>
      </w:r>
      <w:bookmarkEnd w:id="21"/>
      <w:r>
        <w:rPr>
          <w:rFonts w:hint="eastAsia" w:eastAsia="仿宋_GB2312"/>
          <w:sz w:val="32"/>
          <w:szCs w:val="22"/>
          <w:lang w:bidi="ar"/>
        </w:rPr>
        <w:t>，运用经济或技术措施对电动汽车用户进行引导，按照一定的策略对充放电行为以及充放电功率进行调控，协助电网削峰填谷，消纳清洁能源。</w:t>
      </w:r>
      <w:bookmarkStart w:id="22" w:name="_Toc31181"/>
      <w:bookmarkStart w:id="23" w:name="_Toc77324046"/>
    </w:p>
    <w:p>
      <w:pPr>
        <w:spacing w:line="590" w:lineRule="exact"/>
        <w:ind w:firstLine="640" w:firstLineChars="200"/>
        <w:jc w:val="left"/>
        <w:rPr>
          <w:rFonts w:eastAsia="仿宋_GB2312"/>
          <w:sz w:val="32"/>
          <w:szCs w:val="22"/>
          <w:lang w:bidi="ar"/>
        </w:rPr>
      </w:pPr>
      <w:r>
        <w:rPr>
          <w:rFonts w:hint="eastAsia" w:eastAsia="仿宋_GB2312"/>
          <w:sz w:val="32"/>
          <w:szCs w:val="22"/>
          <w:lang w:bidi="ar"/>
        </w:rPr>
        <w:t>站网互动：</w:t>
      </w:r>
      <w:r>
        <w:rPr>
          <w:rFonts w:eastAsia="仿宋_GB2312"/>
          <w:sz w:val="32"/>
          <w:szCs w:val="22"/>
          <w:lang w:bidi="ar"/>
        </w:rPr>
        <w:t>S2G（Station to Grid）</w:t>
      </w:r>
      <w:bookmarkEnd w:id="22"/>
      <w:bookmarkEnd w:id="23"/>
      <w:r>
        <w:rPr>
          <w:rFonts w:hint="eastAsia" w:eastAsia="仿宋_GB2312"/>
          <w:sz w:val="32"/>
          <w:szCs w:val="22"/>
          <w:lang w:bidi="ar"/>
        </w:rPr>
        <w:t>，指通过站控级能源管理系统对充电站内的充电设备、储能等设施柔性调控的技术，使充电站的充电容量保持稳定，减少随机性充电对电网造成冲击。</w:t>
      </w:r>
      <w:bookmarkStart w:id="24" w:name="_Toc17730"/>
      <w:bookmarkStart w:id="25" w:name="_Toc77324047"/>
    </w:p>
    <w:p>
      <w:pPr>
        <w:spacing w:line="590" w:lineRule="exact"/>
        <w:ind w:firstLine="640" w:firstLineChars="200"/>
        <w:jc w:val="left"/>
        <w:rPr>
          <w:rFonts w:eastAsia="仿宋_GB2312"/>
          <w:sz w:val="32"/>
          <w:szCs w:val="22"/>
          <w:lang w:bidi="ar"/>
        </w:rPr>
      </w:pPr>
      <w:r>
        <w:rPr>
          <w:rFonts w:hint="eastAsia" w:eastAsia="仿宋_GB2312"/>
          <w:sz w:val="32"/>
          <w:szCs w:val="22"/>
          <w:lang w:bidi="ar"/>
        </w:rPr>
        <w:t>S2G充电设备：S2G</w:t>
      </w:r>
      <w:r>
        <w:rPr>
          <w:rFonts w:eastAsia="仿宋_GB2312"/>
          <w:sz w:val="32"/>
          <w:szCs w:val="22"/>
          <w:lang w:bidi="ar"/>
        </w:rPr>
        <w:t xml:space="preserve"> </w:t>
      </w:r>
      <w:r>
        <w:rPr>
          <w:rFonts w:hint="eastAsia" w:eastAsia="仿宋_GB2312"/>
          <w:sz w:val="32"/>
          <w:szCs w:val="22"/>
          <w:lang w:bidi="ar"/>
        </w:rPr>
        <w:t>charging</w:t>
      </w:r>
      <w:r>
        <w:rPr>
          <w:rFonts w:eastAsia="仿宋_GB2312"/>
          <w:sz w:val="32"/>
          <w:szCs w:val="22"/>
          <w:lang w:bidi="ar"/>
        </w:rPr>
        <w:t xml:space="preserve"> </w:t>
      </w:r>
      <w:r>
        <w:rPr>
          <w:rFonts w:hint="eastAsia" w:eastAsia="仿宋_GB2312"/>
          <w:sz w:val="32"/>
          <w:szCs w:val="22"/>
          <w:lang w:bidi="ar"/>
        </w:rPr>
        <w:t>equipment</w:t>
      </w:r>
      <w:bookmarkEnd w:id="24"/>
      <w:bookmarkEnd w:id="25"/>
      <w:r>
        <w:rPr>
          <w:rFonts w:hint="eastAsia" w:eastAsia="仿宋_GB2312"/>
          <w:sz w:val="32"/>
          <w:szCs w:val="22"/>
          <w:lang w:bidi="ar"/>
        </w:rPr>
        <w:t>，受站控级能源管理系统指令控制，实现充电功率柔性调控的充电设备。</w:t>
      </w:r>
      <w:bookmarkStart w:id="26" w:name="_Toc77324048"/>
      <w:bookmarkStart w:id="27" w:name="_Toc16931"/>
    </w:p>
    <w:p>
      <w:pPr>
        <w:spacing w:line="590" w:lineRule="exact"/>
        <w:ind w:firstLine="640" w:firstLineChars="200"/>
        <w:jc w:val="left"/>
        <w:rPr>
          <w:rFonts w:eastAsia="仿宋_GB2312"/>
          <w:sz w:val="32"/>
          <w:szCs w:val="22"/>
          <w:lang w:bidi="ar"/>
        </w:rPr>
      </w:pPr>
      <w:r>
        <w:rPr>
          <w:rFonts w:hint="eastAsia" w:eastAsia="仿宋_GB2312"/>
          <w:sz w:val="32"/>
          <w:szCs w:val="22"/>
          <w:lang w:bidi="ar"/>
        </w:rPr>
        <w:t>站控级能源管理系统：</w:t>
      </w:r>
      <w:r>
        <w:rPr>
          <w:rFonts w:eastAsia="仿宋_GB2312"/>
          <w:sz w:val="32"/>
          <w:szCs w:val="22"/>
          <w:lang w:bidi="ar"/>
        </w:rPr>
        <w:t>SEMS（Station Energy Management System）</w:t>
      </w:r>
      <w:bookmarkEnd w:id="26"/>
      <w:bookmarkEnd w:id="27"/>
      <w:r>
        <w:rPr>
          <w:rFonts w:hint="eastAsia" w:eastAsia="仿宋_GB2312"/>
          <w:sz w:val="32"/>
          <w:szCs w:val="22"/>
          <w:lang w:bidi="ar"/>
        </w:rPr>
        <w:t>，指部署在S2G充电站内，通过与S2G充电设备、储能等设施的通讯，动态分配充电站内部的充电功率，接收并执行上级电网发送的调控指令，实现充电站与电网的智慧、主动、柔性互动。</w:t>
      </w:r>
      <w:bookmarkStart w:id="28" w:name="_Toc77324049"/>
      <w:bookmarkStart w:id="29" w:name="_Toc27761"/>
    </w:p>
    <w:p>
      <w:pPr>
        <w:spacing w:line="590" w:lineRule="exact"/>
        <w:ind w:firstLine="640" w:firstLineChars="200"/>
        <w:jc w:val="left"/>
        <w:rPr>
          <w:rFonts w:eastAsia="仿宋_GB2312"/>
          <w:sz w:val="32"/>
          <w:szCs w:val="22"/>
          <w:lang w:bidi="ar"/>
        </w:rPr>
      </w:pPr>
      <w:r>
        <w:rPr>
          <w:rFonts w:hint="eastAsia" w:eastAsia="仿宋_GB2312"/>
          <w:sz w:val="32"/>
          <w:szCs w:val="22"/>
          <w:lang w:bidi="ar"/>
        </w:rPr>
        <w:t>随机性充电负荷：Random</w:t>
      </w:r>
      <w:r>
        <w:rPr>
          <w:rFonts w:eastAsia="仿宋_GB2312"/>
          <w:sz w:val="32"/>
          <w:szCs w:val="22"/>
          <w:lang w:bidi="ar"/>
        </w:rPr>
        <w:t xml:space="preserve"> </w:t>
      </w:r>
      <w:r>
        <w:rPr>
          <w:rFonts w:hint="eastAsia" w:eastAsia="仿宋_GB2312"/>
          <w:sz w:val="32"/>
          <w:szCs w:val="22"/>
          <w:lang w:bidi="ar"/>
        </w:rPr>
        <w:t>charging</w:t>
      </w:r>
      <w:r>
        <w:rPr>
          <w:rFonts w:eastAsia="仿宋_GB2312"/>
          <w:sz w:val="32"/>
          <w:szCs w:val="22"/>
          <w:lang w:bidi="ar"/>
        </w:rPr>
        <w:t xml:space="preserve"> </w:t>
      </w:r>
      <w:r>
        <w:rPr>
          <w:rFonts w:hint="eastAsia" w:eastAsia="仿宋_GB2312"/>
          <w:sz w:val="32"/>
          <w:szCs w:val="22"/>
          <w:lang w:bidi="ar"/>
        </w:rPr>
        <w:t>load</w:t>
      </w:r>
      <w:bookmarkEnd w:id="28"/>
      <w:bookmarkEnd w:id="29"/>
      <w:r>
        <w:rPr>
          <w:rFonts w:hint="eastAsia" w:eastAsia="仿宋_GB2312"/>
          <w:sz w:val="32"/>
          <w:szCs w:val="22"/>
          <w:lang w:bidi="ar"/>
        </w:rPr>
        <w:t>，指受车主充电行为、充电需求指引下，造成充电时间、充电容量、充电位置随机分配的充电负荷。</w:t>
      </w:r>
      <w:bookmarkStart w:id="30" w:name="_Toc3750"/>
    </w:p>
    <w:p>
      <w:pPr>
        <w:spacing w:line="590" w:lineRule="exact"/>
        <w:ind w:firstLine="640" w:firstLineChars="200"/>
        <w:jc w:val="left"/>
        <w:rPr>
          <w:rFonts w:eastAsia="仿宋_GB2312"/>
          <w:sz w:val="32"/>
          <w:szCs w:val="22"/>
          <w:lang w:bidi="ar"/>
        </w:rPr>
      </w:pPr>
      <w:r>
        <w:rPr>
          <w:rFonts w:hint="eastAsia" w:eastAsia="仿宋_GB2312"/>
          <w:sz w:val="32"/>
          <w:szCs w:val="22"/>
          <w:lang w:bidi="ar"/>
        </w:rPr>
        <w:t>统建统营：</w:t>
      </w:r>
      <w:r>
        <w:rPr>
          <w:rFonts w:eastAsia="仿宋_GB2312"/>
          <w:sz w:val="32"/>
          <w:szCs w:val="22"/>
          <w:lang w:bidi="ar"/>
        </w:rPr>
        <w:t>Unified construction and unified operation</w:t>
      </w:r>
      <w:bookmarkEnd w:id="30"/>
      <w:r>
        <w:rPr>
          <w:rFonts w:hint="eastAsia" w:eastAsia="仿宋_GB2312"/>
          <w:sz w:val="32"/>
          <w:szCs w:val="22"/>
          <w:lang w:bidi="ar"/>
        </w:rPr>
        <w:t>，指运营商对居民区充电设施进行统一设计、统一建设、统一运营，通过“负荷约束、智慧充电”等手段保障居民区电动汽车充电安全，解决无序充电问题。</w:t>
      </w:r>
    </w:p>
    <w:p>
      <w:pPr>
        <w:pStyle w:val="2"/>
        <w:tabs>
          <w:tab w:val="clear" w:pos="0"/>
        </w:tabs>
        <w:spacing w:line="590" w:lineRule="exact"/>
        <w:ind w:firstLine="640" w:firstLineChars="200"/>
        <w:jc w:val="left"/>
        <w:rPr>
          <w:rFonts w:ascii="Times New Roman"/>
          <w:b w:val="0"/>
          <w:bCs w:val="0"/>
          <w:sz w:val="32"/>
          <w:lang w:bidi="ar"/>
        </w:rPr>
      </w:pPr>
      <w:bookmarkStart w:id="31" w:name="_Toc30938"/>
      <w:bookmarkStart w:id="32" w:name="_Toc78835293"/>
      <w:bookmarkStart w:id="33" w:name="_Toc78835197"/>
      <w:r>
        <w:rPr>
          <w:rFonts w:hint="eastAsia" w:ascii="Times New Roman"/>
          <w:b w:val="0"/>
          <w:bCs w:val="0"/>
          <w:sz w:val="32"/>
          <w:lang w:bidi="ar"/>
        </w:rPr>
        <w:t>四、充电设施及充电平台通用技术要求</w:t>
      </w:r>
      <w:bookmarkEnd w:id="31"/>
      <w:bookmarkEnd w:id="32"/>
      <w:bookmarkEnd w:id="33"/>
    </w:p>
    <w:p>
      <w:pPr>
        <w:pStyle w:val="3"/>
        <w:spacing w:before="0" w:after="0" w:line="590" w:lineRule="exact"/>
        <w:ind w:firstLine="640" w:firstLineChars="200"/>
        <w:jc w:val="left"/>
        <w:rPr>
          <w:rFonts w:ascii="Times New Roman" w:hAnsi="Times New Roman" w:eastAsia="楷体_GB2312"/>
          <w:b w:val="0"/>
          <w:bCs w:val="0"/>
          <w:lang w:bidi="ar"/>
        </w:rPr>
      </w:pPr>
      <w:bookmarkStart w:id="34" w:name="_Toc78835198"/>
      <w:bookmarkStart w:id="35" w:name="_Toc78835294"/>
      <w:bookmarkStart w:id="36" w:name="_Toc27446"/>
      <w:r>
        <w:rPr>
          <w:rFonts w:ascii="Times New Roman" w:hAnsi="Times New Roman" w:eastAsia="楷体_GB2312"/>
          <w:b w:val="0"/>
          <w:bCs w:val="0"/>
          <w:lang w:bidi="ar"/>
        </w:rPr>
        <w:t>（一）</w:t>
      </w:r>
      <w:r>
        <w:rPr>
          <w:rFonts w:hint="eastAsia" w:ascii="Times New Roman" w:hAnsi="Times New Roman" w:eastAsia="楷体_GB2312"/>
          <w:b w:val="0"/>
          <w:bCs w:val="0"/>
          <w:lang w:bidi="ar"/>
        </w:rPr>
        <w:t>充电站和充电站本体</w:t>
      </w:r>
      <w:bookmarkEnd w:id="34"/>
      <w:bookmarkEnd w:id="35"/>
      <w:bookmarkEnd w:id="36"/>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1.充电站组成和功能</w:t>
      </w:r>
    </w:p>
    <w:p>
      <w:pPr>
        <w:spacing w:line="590" w:lineRule="exact"/>
        <w:ind w:firstLine="640" w:firstLineChars="200"/>
        <w:jc w:val="left"/>
        <w:rPr>
          <w:rFonts w:eastAsia="仿宋_GB2312"/>
          <w:sz w:val="32"/>
          <w:szCs w:val="22"/>
          <w:lang w:bidi="ar"/>
        </w:rPr>
      </w:pPr>
      <w:r>
        <w:rPr>
          <w:rFonts w:hint="eastAsia" w:ascii="仿宋_GB2312" w:eastAsia="仿宋_GB2312"/>
          <w:sz w:val="32"/>
          <w:szCs w:val="22"/>
          <w:lang w:bidi="ar"/>
        </w:rPr>
        <w:t>（1）</w:t>
      </w:r>
      <w:r>
        <w:rPr>
          <w:rFonts w:hint="eastAsia" w:eastAsia="仿宋_GB2312"/>
          <w:sz w:val="32"/>
          <w:szCs w:val="22"/>
          <w:lang w:bidi="ar"/>
        </w:rPr>
        <w:t>充电站主要由行车道、充电区、供配电设施、充电装置、监控装置等组成。宜设置充电机房、监控室、设备维修室等功能区。</w:t>
      </w:r>
    </w:p>
    <w:p>
      <w:pPr>
        <w:spacing w:line="590" w:lineRule="exact"/>
        <w:ind w:firstLine="640" w:firstLineChars="200"/>
        <w:jc w:val="left"/>
        <w:rPr>
          <w:rFonts w:eastAsia="仿宋_GB2312"/>
          <w:sz w:val="32"/>
          <w:szCs w:val="22"/>
          <w:lang w:bidi="ar"/>
        </w:rPr>
      </w:pPr>
      <w:r>
        <w:rPr>
          <w:rFonts w:hint="eastAsia" w:ascii="仿宋_GB2312" w:eastAsia="仿宋_GB2312"/>
          <w:sz w:val="32"/>
          <w:szCs w:val="22"/>
          <w:lang w:bidi="ar"/>
        </w:rPr>
        <w:t>（2）</w:t>
      </w:r>
      <w:r>
        <w:rPr>
          <w:rFonts w:hint="eastAsia" w:eastAsia="仿宋_GB2312"/>
          <w:sz w:val="32"/>
          <w:szCs w:val="22"/>
          <w:lang w:bidi="ar"/>
        </w:rPr>
        <w:t>具有电池更换功能的充电站应包括备用电池存储，电池更换的设施及场所。</w:t>
      </w:r>
    </w:p>
    <w:p>
      <w:pPr>
        <w:spacing w:line="590" w:lineRule="exact"/>
        <w:ind w:firstLine="640" w:firstLineChars="200"/>
        <w:jc w:val="left"/>
        <w:rPr>
          <w:rFonts w:eastAsia="仿宋_GB2312"/>
          <w:sz w:val="32"/>
          <w:szCs w:val="22"/>
          <w:lang w:bidi="ar"/>
        </w:rPr>
      </w:pPr>
      <w:r>
        <w:rPr>
          <w:rFonts w:hint="eastAsia" w:ascii="仿宋_GB2312" w:eastAsia="仿宋_GB2312"/>
          <w:sz w:val="32"/>
          <w:szCs w:val="22"/>
          <w:lang w:bidi="ar"/>
        </w:rPr>
        <w:t>（3）</w:t>
      </w:r>
      <w:r>
        <w:rPr>
          <w:rFonts w:hint="eastAsia" w:eastAsia="仿宋_GB2312"/>
          <w:sz w:val="32"/>
          <w:szCs w:val="22"/>
          <w:lang w:bidi="ar"/>
        </w:rPr>
        <w:t>充电站的基本功能应包括供配电、充电、监控、计量和通信。扩展功能包括计费。</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2.充电桩组成和功能</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（1）充电桩由桩体、电气模块、计量模块、人机交互等部分组成。</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（2）充电桩包括交流充电桩和直流充电桩。</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（3）充电桩通常以成组的</w:t>
      </w:r>
      <w:r>
        <w:rPr>
          <w:rFonts w:hint="default" w:ascii="仿宋_GB2312" w:eastAsia="仿宋_GB2312"/>
          <w:sz w:val="32"/>
          <w:szCs w:val="22"/>
          <w:lang w:val="en-US" w:bidi="ar"/>
        </w:rPr>
        <w:t>型式</w:t>
      </w:r>
      <w:r>
        <w:rPr>
          <w:rFonts w:hint="eastAsia" w:ascii="仿宋_GB2312" w:eastAsia="仿宋_GB2312"/>
          <w:sz w:val="32"/>
          <w:szCs w:val="22"/>
          <w:lang w:bidi="ar"/>
        </w:rPr>
        <w:t>进行设置，以提高其利用率。</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（4）充电桩基本功能为供电或充电、计量和通信，扩展功能为计费。</w:t>
      </w:r>
    </w:p>
    <w:p>
      <w:pPr>
        <w:spacing w:line="590" w:lineRule="exact"/>
        <w:ind w:firstLine="640" w:firstLineChars="200"/>
        <w:jc w:val="left"/>
        <w:outlineLvl w:val="2"/>
        <w:rPr>
          <w:rFonts w:ascii="仿宋_GB2312" w:eastAsia="仿宋_GB2312"/>
          <w:sz w:val="32"/>
          <w:szCs w:val="22"/>
          <w:lang w:bidi="ar"/>
        </w:rPr>
      </w:pPr>
      <w:bookmarkStart w:id="37" w:name="_Toc259699108"/>
      <w:bookmarkStart w:id="38" w:name="_Toc258509609"/>
      <w:bookmarkStart w:id="39" w:name="_Toc258273623"/>
      <w:bookmarkStart w:id="40" w:name="_Toc255562640"/>
      <w:bookmarkStart w:id="41" w:name="_Toc391303815"/>
      <w:bookmarkStart w:id="42" w:name="_Toc255549190"/>
      <w:r>
        <w:rPr>
          <w:rFonts w:hint="eastAsia" w:ascii="仿宋_GB2312" w:eastAsia="仿宋_GB2312"/>
          <w:sz w:val="32"/>
          <w:szCs w:val="22"/>
          <w:lang w:bidi="ar"/>
        </w:rPr>
        <w:t>3.充电站类型</w:t>
      </w:r>
      <w:bookmarkEnd w:id="37"/>
      <w:bookmarkEnd w:id="38"/>
      <w:bookmarkEnd w:id="39"/>
      <w:bookmarkEnd w:id="40"/>
      <w:bookmarkEnd w:id="41"/>
      <w:bookmarkEnd w:id="42"/>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w:t>
      </w:r>
      <w:r>
        <w:rPr>
          <w:rFonts w:ascii="仿宋_GB2312" w:eastAsia="仿宋_GB2312"/>
          <w:sz w:val="32"/>
          <w:szCs w:val="22"/>
          <w:lang w:bidi="ar"/>
        </w:rPr>
        <w:t>自用充电站（桩）：为个人自有电动汽车服务的充电站（桩）</w:t>
      </w:r>
      <w:r>
        <w:rPr>
          <w:rFonts w:hint="eastAsia" w:ascii="仿宋_GB2312" w:eastAsia="仿宋_GB2312"/>
          <w:sz w:val="32"/>
          <w:szCs w:val="22"/>
          <w:lang w:bidi="ar"/>
        </w:rPr>
        <w:t>。</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（2）公</w:t>
      </w:r>
      <w:r>
        <w:rPr>
          <w:rFonts w:ascii="仿宋_GB2312" w:eastAsia="仿宋_GB2312"/>
          <w:sz w:val="32"/>
          <w:szCs w:val="22"/>
          <w:lang w:bidi="ar"/>
        </w:rPr>
        <w:t>用</w:t>
      </w:r>
      <w:r>
        <w:rPr>
          <w:rFonts w:hint="eastAsia" w:ascii="仿宋_GB2312" w:eastAsia="仿宋_GB2312"/>
          <w:sz w:val="32"/>
          <w:szCs w:val="22"/>
          <w:lang w:bidi="ar"/>
        </w:rPr>
        <w:t xml:space="preserve">充电站：为社会电动汽车服务的充电站。 </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（3）专用充电站：为特定范围的专用电动汽车设置的充电站。</w:t>
      </w:r>
    </w:p>
    <w:p>
      <w:pPr>
        <w:spacing w:line="590" w:lineRule="exact"/>
        <w:ind w:firstLine="640" w:firstLineChars="200"/>
        <w:jc w:val="left"/>
        <w:outlineLvl w:val="2"/>
        <w:rPr>
          <w:rFonts w:ascii="仿宋_GB2312" w:eastAsia="仿宋_GB2312"/>
          <w:sz w:val="32"/>
          <w:szCs w:val="22"/>
          <w:lang w:bidi="ar"/>
        </w:rPr>
      </w:pPr>
      <w:bookmarkStart w:id="43" w:name="_Toc258273624"/>
      <w:bookmarkStart w:id="44" w:name="_Toc255562641"/>
      <w:bookmarkStart w:id="45" w:name="_Toc258509610"/>
      <w:bookmarkStart w:id="46" w:name="_Toc259699109"/>
      <w:bookmarkStart w:id="47" w:name="_Toc391303816"/>
      <w:bookmarkStart w:id="48" w:name="_Toc255549191"/>
      <w:r>
        <w:rPr>
          <w:rFonts w:hint="eastAsia" w:ascii="仿宋_GB2312" w:eastAsia="仿宋_GB2312"/>
          <w:sz w:val="32"/>
          <w:szCs w:val="22"/>
          <w:lang w:bidi="ar"/>
        </w:rPr>
        <w:t>4.充电站选址</w:t>
      </w:r>
      <w:bookmarkEnd w:id="43"/>
      <w:bookmarkEnd w:id="44"/>
      <w:bookmarkEnd w:id="45"/>
      <w:bookmarkEnd w:id="46"/>
      <w:bookmarkEnd w:id="47"/>
      <w:bookmarkEnd w:id="48"/>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（1）充电站选址应符合雄安新区政府关于雄安新区电动汽车发展总体规划的要求。</w:t>
      </w:r>
    </w:p>
    <w:p>
      <w:pPr>
        <w:spacing w:line="590" w:lineRule="exact"/>
        <w:ind w:firstLine="640" w:firstLineChars="200"/>
        <w:jc w:val="left"/>
        <w:rPr>
          <w:rFonts w:eastAsia="仿宋_GB2312"/>
          <w:sz w:val="32"/>
          <w:szCs w:val="22"/>
          <w:lang w:bidi="ar"/>
        </w:rPr>
      </w:pPr>
      <w:r>
        <w:rPr>
          <w:rFonts w:hint="eastAsia" w:ascii="仿宋_GB2312" w:eastAsia="仿宋_GB2312"/>
          <w:sz w:val="32"/>
          <w:szCs w:val="22"/>
          <w:lang w:bidi="ar"/>
        </w:rPr>
        <w:t>（2）</w:t>
      </w:r>
      <w:r>
        <w:rPr>
          <w:rFonts w:hint="eastAsia" w:eastAsia="仿宋_GB2312"/>
          <w:sz w:val="32"/>
          <w:szCs w:val="22"/>
          <w:lang w:bidi="ar"/>
        </w:rPr>
        <w:t>充电站是中低压配电网的重要组成部分，其站址选择应兼顾电网规划的要求，并与电网规划、建设与改造密切结合，以满足电力系统对电力平衡、供电可靠性、电能质量、自动化等方面的要求，并结合变电站的建设、改造进行科学、合理的选址。</w:t>
      </w:r>
    </w:p>
    <w:p>
      <w:pPr>
        <w:spacing w:line="590" w:lineRule="exact"/>
        <w:ind w:firstLine="640" w:firstLineChars="200"/>
        <w:jc w:val="left"/>
        <w:rPr>
          <w:rFonts w:eastAsia="仿宋_GB2312"/>
          <w:sz w:val="32"/>
          <w:szCs w:val="22"/>
          <w:lang w:bidi="ar"/>
        </w:rPr>
      </w:pPr>
      <w:r>
        <w:rPr>
          <w:rFonts w:hint="eastAsia" w:ascii="仿宋_GB2312" w:eastAsia="仿宋_GB2312"/>
          <w:sz w:val="32"/>
          <w:szCs w:val="22"/>
          <w:lang w:bidi="ar"/>
        </w:rPr>
        <w:t>（3）</w:t>
      </w:r>
      <w:r>
        <w:rPr>
          <w:rFonts w:hint="eastAsia" w:eastAsia="仿宋_GB2312"/>
          <w:sz w:val="32"/>
          <w:szCs w:val="22"/>
          <w:lang w:bidi="ar"/>
        </w:rPr>
        <w:t>充电站选址应便于供电电源的取得，宜接近供电电源端，并便于供电电源线路的进出。</w:t>
      </w:r>
    </w:p>
    <w:p>
      <w:pPr>
        <w:spacing w:line="590" w:lineRule="exact"/>
        <w:ind w:firstLine="640" w:firstLineChars="200"/>
        <w:jc w:val="left"/>
        <w:rPr>
          <w:rFonts w:eastAsia="仿宋_GB2312"/>
          <w:sz w:val="32"/>
          <w:szCs w:val="22"/>
          <w:lang w:bidi="ar"/>
        </w:rPr>
      </w:pPr>
      <w:r>
        <w:rPr>
          <w:rFonts w:hint="eastAsia" w:ascii="仿宋_GB2312" w:eastAsia="仿宋_GB2312"/>
          <w:sz w:val="32"/>
          <w:szCs w:val="22"/>
          <w:lang w:bidi="ar"/>
        </w:rPr>
        <w:t>（4）</w:t>
      </w:r>
      <w:r>
        <w:rPr>
          <w:rFonts w:hint="eastAsia" w:eastAsia="仿宋_GB2312"/>
          <w:sz w:val="32"/>
          <w:szCs w:val="22"/>
          <w:lang w:bidi="ar"/>
        </w:rPr>
        <w:t>公共充电站入口和出口应分别设置车道与站外道路连接，充电站与站外市政道路之间宜设置缓冲距离或缓冲地带，便于电动汽车进出和充电等候。</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（5）电动公共汽车使用的专用充电站宜设置在公交汽车首末站、枢纽站、公交专用停车场</w:t>
      </w:r>
      <w:r>
        <w:rPr>
          <w:rFonts w:ascii="仿宋_GB2312" w:eastAsia="仿宋_GB2312"/>
          <w:sz w:val="32"/>
          <w:szCs w:val="22"/>
          <w:lang w:bidi="ar"/>
        </w:rPr>
        <w:t>、公交临时落客点</w:t>
      </w:r>
      <w:r>
        <w:rPr>
          <w:rFonts w:hint="eastAsia" w:ascii="仿宋_GB2312" w:eastAsia="仿宋_GB2312"/>
          <w:sz w:val="32"/>
          <w:szCs w:val="22"/>
          <w:lang w:bidi="ar"/>
        </w:rPr>
        <w:t>。</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（6）充电站应充分利用临近的道路、交通、给排水、消防等公用市政设施。</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（7）当充电设施设置在地下或半地下时，宜布置在地下车库的首层，不应布置在地下建筑第四层及以下，并设置独立的防火单元，每个防火单元的最大允许建筑面积应符合表1的规定。</w:t>
      </w:r>
    </w:p>
    <w:p>
      <w:pPr>
        <w:spacing w:line="590" w:lineRule="exact"/>
        <w:jc w:val="center"/>
        <w:rPr>
          <w:rFonts w:ascii="仿宋_GB2312" w:eastAsia="仿宋_GB2312"/>
          <w:sz w:val="32"/>
          <w:szCs w:val="22"/>
        </w:rPr>
      </w:pPr>
      <w:r>
        <w:rPr>
          <w:rFonts w:hint="eastAsia" w:ascii="仿宋_GB2312" w:eastAsia="仿宋_GB2312"/>
          <w:sz w:val="32"/>
          <w:szCs w:val="22"/>
        </w:rPr>
        <w:t>表1 防火单元的最大允许建筑面积</w:t>
      </w:r>
    </w:p>
    <w:tbl>
      <w:tblPr>
        <w:tblStyle w:val="51"/>
        <w:tblW w:w="9138" w:type="dxa"/>
        <w:tblInd w:w="0" w:type="dxa"/>
        <w:tblLayout w:type="fixed"/>
        <w:tblCellMar>
          <w:top w:w="0" w:type="dxa"/>
          <w:left w:w="108" w:type="dxa"/>
          <w:bottom w:w="0" w:type="dxa"/>
          <w:right w:w="108" w:type="dxa"/>
        </w:tblCellMar>
      </w:tblPr>
      <w:tblGrid>
        <w:gridCol w:w="1553"/>
        <w:gridCol w:w="2087"/>
        <w:gridCol w:w="2168"/>
        <w:gridCol w:w="3330"/>
      </w:tblGrid>
      <w:tr>
        <w:tblPrEx>
          <w:tblCellMar>
            <w:top w:w="0" w:type="dxa"/>
            <w:left w:w="108" w:type="dxa"/>
            <w:bottom w:w="0" w:type="dxa"/>
            <w:right w:w="108" w:type="dxa"/>
          </w:tblCellMar>
        </w:tblPrEx>
        <w:trPr>
          <w:trHeight w:val="851" w:hRule="exact"/>
        </w:trPr>
        <w:tc>
          <w:tcPr>
            <w:tcW w:w="15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000000"/>
                <w:szCs w:val="21"/>
              </w:rPr>
            </w:pPr>
            <w:r>
              <w:rPr>
                <w:rFonts w:eastAsia="黑体"/>
                <w:color w:val="000000"/>
                <w:szCs w:val="21"/>
              </w:rPr>
              <w:t>耐火等级</w:t>
            </w:r>
          </w:p>
        </w:tc>
        <w:tc>
          <w:tcPr>
            <w:tcW w:w="2087" w:type="dxa"/>
            <w:tcBorders>
              <w:top w:val="single" w:color="auto" w:sz="4" w:space="0"/>
              <w:left w:val="nil"/>
              <w:bottom w:val="single" w:color="auto" w:sz="4" w:space="0"/>
              <w:right w:val="single" w:color="auto" w:sz="4" w:space="0"/>
            </w:tcBorders>
            <w:vAlign w:val="center"/>
          </w:tcPr>
          <w:p>
            <w:pPr>
              <w:spacing w:line="300" w:lineRule="exact"/>
              <w:jc w:val="center"/>
              <w:rPr>
                <w:rFonts w:eastAsia="黑体"/>
                <w:color w:val="000000"/>
                <w:szCs w:val="21"/>
              </w:rPr>
            </w:pPr>
            <w:r>
              <w:rPr>
                <w:rFonts w:eastAsia="黑体"/>
                <w:color w:val="000000"/>
                <w:szCs w:val="21"/>
              </w:rPr>
              <w:t>单层汽车库</w:t>
            </w:r>
          </w:p>
        </w:tc>
        <w:tc>
          <w:tcPr>
            <w:tcW w:w="2168" w:type="dxa"/>
            <w:tcBorders>
              <w:top w:val="single" w:color="auto" w:sz="4" w:space="0"/>
              <w:left w:val="nil"/>
              <w:bottom w:val="single" w:color="auto" w:sz="4" w:space="0"/>
              <w:right w:val="single" w:color="auto" w:sz="4" w:space="0"/>
            </w:tcBorders>
            <w:vAlign w:val="center"/>
          </w:tcPr>
          <w:p>
            <w:pPr>
              <w:spacing w:line="300" w:lineRule="exact"/>
              <w:jc w:val="center"/>
              <w:rPr>
                <w:rFonts w:eastAsia="黑体"/>
                <w:color w:val="000000"/>
                <w:szCs w:val="21"/>
              </w:rPr>
            </w:pPr>
            <w:r>
              <w:rPr>
                <w:rFonts w:eastAsia="黑体"/>
                <w:color w:val="000000"/>
                <w:szCs w:val="21"/>
              </w:rPr>
              <w:t>多层汽车库</w:t>
            </w:r>
          </w:p>
        </w:tc>
        <w:tc>
          <w:tcPr>
            <w:tcW w:w="3330" w:type="dxa"/>
            <w:tcBorders>
              <w:top w:val="single" w:color="auto" w:sz="4" w:space="0"/>
              <w:left w:val="nil"/>
              <w:bottom w:val="single" w:color="auto" w:sz="4" w:space="0"/>
              <w:right w:val="single" w:color="auto" w:sz="4" w:space="0"/>
            </w:tcBorders>
            <w:vAlign w:val="center"/>
          </w:tcPr>
          <w:p>
            <w:pPr>
              <w:spacing w:line="300" w:lineRule="exact"/>
              <w:jc w:val="center"/>
              <w:rPr>
                <w:rFonts w:eastAsia="黑体"/>
                <w:color w:val="000000"/>
                <w:szCs w:val="21"/>
              </w:rPr>
            </w:pPr>
            <w:r>
              <w:rPr>
                <w:rFonts w:eastAsia="黑体"/>
                <w:color w:val="000000"/>
                <w:szCs w:val="21"/>
              </w:rPr>
              <w:t>地下汽车库或高层汽车库</w:t>
            </w:r>
          </w:p>
        </w:tc>
      </w:tr>
      <w:tr>
        <w:tblPrEx>
          <w:tblCellMar>
            <w:top w:w="0" w:type="dxa"/>
            <w:left w:w="108" w:type="dxa"/>
            <w:bottom w:w="0" w:type="dxa"/>
            <w:right w:w="108" w:type="dxa"/>
          </w:tblCellMar>
        </w:tblPrEx>
        <w:trPr>
          <w:trHeight w:val="851" w:hRule="exact"/>
        </w:trPr>
        <w:tc>
          <w:tcPr>
            <w:tcW w:w="1553" w:type="dxa"/>
            <w:tcBorders>
              <w:top w:val="nil"/>
              <w:left w:val="single" w:color="auto" w:sz="4" w:space="0"/>
              <w:bottom w:val="single" w:color="auto" w:sz="4" w:space="0"/>
              <w:right w:val="single" w:color="auto" w:sz="4" w:space="0"/>
            </w:tcBorders>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一、二级</w:t>
            </w:r>
          </w:p>
        </w:tc>
        <w:tc>
          <w:tcPr>
            <w:tcW w:w="2087" w:type="dxa"/>
            <w:tcBorders>
              <w:top w:val="nil"/>
              <w:left w:val="nil"/>
              <w:bottom w:val="single" w:color="auto" w:sz="4" w:space="0"/>
              <w:right w:val="single" w:color="auto" w:sz="4" w:space="0"/>
            </w:tcBorders>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1500</w:t>
            </w:r>
          </w:p>
        </w:tc>
        <w:tc>
          <w:tcPr>
            <w:tcW w:w="2168" w:type="dxa"/>
            <w:tcBorders>
              <w:top w:val="nil"/>
              <w:left w:val="nil"/>
              <w:bottom w:val="single" w:color="auto" w:sz="4" w:space="0"/>
              <w:right w:val="single" w:color="auto" w:sz="4" w:space="0"/>
            </w:tcBorders>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1250</w:t>
            </w:r>
          </w:p>
        </w:tc>
        <w:tc>
          <w:tcPr>
            <w:tcW w:w="3330" w:type="dxa"/>
            <w:tcBorders>
              <w:top w:val="nil"/>
              <w:left w:val="nil"/>
              <w:bottom w:val="single" w:color="auto" w:sz="4" w:space="0"/>
              <w:right w:val="single" w:color="auto" w:sz="4" w:space="0"/>
            </w:tcBorders>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1000</w:t>
            </w:r>
          </w:p>
        </w:tc>
      </w:tr>
    </w:tbl>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（8）充电站不应设在有剧烈振动或高温高湿的场所。</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（9）不宜设在多尘、水雾或有腐蚀性气体的场所，当无法远离时，不应设在上述场所风向的下风侧。</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（10）充电站不应设在室外地势低洼易产生积水的场所和易发生次生灾害的地点。</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（11）充电站应预留一定的备用场地。</w:t>
      </w:r>
      <w:bookmarkStart w:id="49" w:name="_Toc255549193"/>
      <w:bookmarkStart w:id="50" w:name="_Toc391303817"/>
      <w:bookmarkStart w:id="51" w:name="_Toc255562643"/>
      <w:bookmarkStart w:id="52" w:name="_Toc259699110"/>
      <w:bookmarkStart w:id="53" w:name="_Toc258273625"/>
      <w:bookmarkStart w:id="54" w:name="_Toc258509611"/>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5.充电站布置</w:t>
      </w:r>
      <w:bookmarkEnd w:id="49"/>
      <w:bookmarkEnd w:id="50"/>
      <w:bookmarkEnd w:id="51"/>
      <w:bookmarkEnd w:id="52"/>
      <w:bookmarkEnd w:id="53"/>
      <w:bookmarkEnd w:id="54"/>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（1）充电站总体布置应满足便于电动汽车的出入和充电时停放，保障站内人员及设施的安全。</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（2）充电区的入口和出口应至少有两条车道与站外道路连接，充电站应设置缓冲距离或缓冲地带便于电动汽车的停发和进出。</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（3）</w:t>
      </w:r>
      <w:r>
        <w:rPr>
          <w:rFonts w:ascii="仿宋_GB2312" w:eastAsia="仿宋_GB2312"/>
          <w:sz w:val="32"/>
          <w:szCs w:val="22"/>
          <w:lang w:bidi="ar"/>
        </w:rPr>
        <w:t>充电站内双列布置的充电位</w:t>
      </w:r>
      <w:r>
        <w:rPr>
          <w:rFonts w:hint="eastAsia" w:ascii="仿宋_GB2312" w:eastAsia="仿宋_GB2312"/>
          <w:sz w:val="32"/>
          <w:szCs w:val="22"/>
          <w:lang w:eastAsia="zh-CN" w:bidi="ar"/>
        </w:rPr>
        <w:t>，</w:t>
      </w:r>
      <w:r>
        <w:rPr>
          <w:rFonts w:ascii="仿宋_GB2312" w:eastAsia="仿宋_GB2312"/>
          <w:sz w:val="32"/>
          <w:szCs w:val="22"/>
          <w:lang w:bidi="ar"/>
        </w:rPr>
        <w:t>中间行车道按行驶车型双车道考虑</w:t>
      </w:r>
      <w:r>
        <w:rPr>
          <w:rFonts w:hint="eastAsia" w:ascii="仿宋_GB2312" w:eastAsia="仿宋_GB2312"/>
          <w:sz w:val="32"/>
          <w:szCs w:val="22"/>
          <w:lang w:eastAsia="zh-CN" w:bidi="ar"/>
        </w:rPr>
        <w:t>；</w:t>
      </w:r>
      <w:r>
        <w:rPr>
          <w:rFonts w:ascii="仿宋_GB2312" w:eastAsia="仿宋_GB2312"/>
          <w:sz w:val="32"/>
          <w:szCs w:val="22"/>
          <w:lang w:bidi="ar"/>
        </w:rPr>
        <w:t>单列式布置的充电位</w:t>
      </w:r>
      <w:r>
        <w:rPr>
          <w:rFonts w:hint="eastAsia" w:ascii="仿宋_GB2312" w:eastAsia="仿宋_GB2312"/>
          <w:sz w:val="32"/>
          <w:szCs w:val="22"/>
          <w:lang w:eastAsia="zh-CN" w:bidi="ar"/>
        </w:rPr>
        <w:t>，</w:t>
      </w:r>
      <w:r>
        <w:rPr>
          <w:rFonts w:ascii="仿宋_GB2312" w:eastAsia="仿宋_GB2312"/>
          <w:sz w:val="32"/>
          <w:szCs w:val="22"/>
          <w:lang w:bidi="ar"/>
        </w:rPr>
        <w:t>行车道按行驶车型单</w:t>
      </w:r>
      <w:r>
        <w:rPr>
          <w:rFonts w:hint="eastAsia" w:ascii="仿宋_GB2312" w:eastAsia="仿宋_GB2312"/>
          <w:sz w:val="32"/>
          <w:szCs w:val="22"/>
          <w:lang w:eastAsia="zh-CN" w:bidi="ar"/>
        </w:rPr>
        <w:t>（</w:t>
      </w:r>
      <w:r>
        <w:rPr>
          <w:rFonts w:ascii="仿宋_GB2312" w:eastAsia="仿宋_GB2312"/>
          <w:sz w:val="32"/>
          <w:szCs w:val="22"/>
          <w:lang w:bidi="ar"/>
        </w:rPr>
        <w:t>双</w:t>
      </w:r>
      <w:r>
        <w:rPr>
          <w:rFonts w:hint="eastAsia" w:ascii="仿宋_GB2312" w:eastAsia="仿宋_GB2312"/>
          <w:sz w:val="32"/>
          <w:szCs w:val="22"/>
          <w:lang w:eastAsia="zh-CN" w:bidi="ar"/>
        </w:rPr>
        <w:t>）</w:t>
      </w:r>
      <w:r>
        <w:rPr>
          <w:rFonts w:ascii="仿宋_GB2312" w:eastAsia="仿宋_GB2312"/>
          <w:sz w:val="32"/>
          <w:szCs w:val="22"/>
          <w:lang w:bidi="ar"/>
        </w:rPr>
        <w:t>车道考虑。</w:t>
      </w:r>
      <w:r>
        <w:rPr>
          <w:rFonts w:hint="eastAsia" w:ascii="仿宋_GB2312" w:eastAsia="仿宋_GB2312"/>
          <w:sz w:val="32"/>
          <w:szCs w:val="22"/>
          <w:lang w:bidi="ar"/>
        </w:rPr>
        <w:t>充电区单车道宽度不应小于3.5m，双车道宽度不应小于6m。转弯半径按照电动汽车类型确定且不宜小于9m；道路坡度不应大于6%，且坡向站外。</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（4）充电设施应靠近充电区停车位设置，电动汽车在停车位充电时不应妨碍站内其他车辆的充电与通行。</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（5）充电区</w:t>
      </w:r>
      <w:r>
        <w:rPr>
          <w:rFonts w:ascii="仿宋_GB2312" w:eastAsia="仿宋_GB2312"/>
          <w:sz w:val="32"/>
          <w:szCs w:val="22"/>
          <w:lang w:bidi="ar"/>
        </w:rPr>
        <w:t>宜</w:t>
      </w:r>
      <w:r>
        <w:rPr>
          <w:rFonts w:hint="eastAsia" w:ascii="仿宋_GB2312" w:eastAsia="仿宋_GB2312"/>
          <w:sz w:val="32"/>
          <w:szCs w:val="22"/>
          <w:lang w:bidi="ar"/>
        </w:rPr>
        <w:t>考虑安装防雨设施，以保护站内充电设施</w:t>
      </w:r>
      <w:r>
        <w:rPr>
          <w:rFonts w:ascii="仿宋_GB2312" w:eastAsia="仿宋_GB2312"/>
          <w:sz w:val="32"/>
          <w:szCs w:val="22"/>
          <w:lang w:bidi="ar"/>
        </w:rPr>
        <w:t>，</w:t>
      </w:r>
      <w:r>
        <w:rPr>
          <w:rFonts w:hint="eastAsia" w:ascii="仿宋_GB2312" w:eastAsia="仿宋_GB2312"/>
          <w:sz w:val="32"/>
          <w:szCs w:val="22"/>
          <w:lang w:bidi="ar"/>
        </w:rPr>
        <w:t>方便进站充电的电动汽车驾乘人员。</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（6）电气设备的布置应遵循安全、可靠、适用的原则，并便于安装、操作、搬运、检修、试验。</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（7）变压器、高压开关柜、低压开关柜、充电机及监控装置宜安装在各自的功能房间，以利于电气设备的运行</w:t>
      </w:r>
      <w:r>
        <w:rPr>
          <w:rFonts w:ascii="仿宋_GB2312" w:eastAsia="仿宋_GB2312"/>
          <w:sz w:val="32"/>
          <w:szCs w:val="22"/>
          <w:lang w:bidi="ar"/>
        </w:rPr>
        <w:t>，</w:t>
      </w:r>
      <w:r>
        <w:rPr>
          <w:rFonts w:hint="eastAsia" w:ascii="仿宋_GB2312" w:eastAsia="仿宋_GB2312"/>
          <w:sz w:val="32"/>
          <w:szCs w:val="22"/>
          <w:lang w:bidi="ar"/>
        </w:rPr>
        <w:t>便于维护管理。</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（8）当受到条件限制时，变配电设施与充电机可设置在户外组合式成套配电站中，其基础应适当抬高，以利于通风和防水。</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（9）变压器室不宜与监控室贴邻布置或位于监控室正下方，不能满足时应采取防止电磁干扰措施，确保监控设备运行正常稳定。</w:t>
      </w:r>
      <w:bookmarkStart w:id="55" w:name="_Toc255549192"/>
      <w:bookmarkStart w:id="56" w:name="_Toc259699111"/>
      <w:bookmarkStart w:id="57" w:name="_Toc258273626"/>
      <w:bookmarkStart w:id="58" w:name="_Toc255562642"/>
      <w:bookmarkStart w:id="59" w:name="_Toc391303818"/>
      <w:bookmarkStart w:id="60" w:name="_Toc258509612"/>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6.充电装置设置</w:t>
      </w:r>
      <w:bookmarkEnd w:id="55"/>
      <w:bookmarkEnd w:id="56"/>
      <w:bookmarkEnd w:id="57"/>
      <w:bookmarkEnd w:id="58"/>
      <w:bookmarkEnd w:id="59"/>
      <w:bookmarkEnd w:id="60"/>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（1）新建建筑物、居住小区等场所的配建停车场，以及社会公共停车场，应设置电动汽车的</w:t>
      </w:r>
      <w:r>
        <w:rPr>
          <w:rFonts w:ascii="仿宋_GB2312" w:eastAsia="仿宋_GB2312"/>
          <w:sz w:val="32"/>
          <w:szCs w:val="22"/>
          <w:lang w:bidi="ar"/>
        </w:rPr>
        <w:t>专用充电</w:t>
      </w:r>
      <w:r>
        <w:rPr>
          <w:rFonts w:hint="eastAsia" w:ascii="仿宋_GB2312" w:eastAsia="仿宋_GB2312"/>
          <w:sz w:val="32"/>
          <w:szCs w:val="22"/>
          <w:lang w:bidi="ar"/>
        </w:rPr>
        <w:t>区；已建建筑物、居住小区等场所的配建停车场以及社会公共停车场，宜通过技术改造措施，设置电动汽车的</w:t>
      </w:r>
      <w:r>
        <w:rPr>
          <w:rFonts w:ascii="仿宋_GB2312" w:eastAsia="仿宋_GB2312"/>
          <w:sz w:val="32"/>
          <w:szCs w:val="22"/>
          <w:lang w:bidi="ar"/>
        </w:rPr>
        <w:t>专用充电</w:t>
      </w:r>
      <w:r>
        <w:rPr>
          <w:rFonts w:hint="eastAsia" w:ascii="仿宋_GB2312" w:eastAsia="仿宋_GB2312"/>
          <w:sz w:val="32"/>
          <w:szCs w:val="22"/>
          <w:lang w:bidi="ar"/>
        </w:rPr>
        <w:t>区。</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（2）充电桩宜实行“一位一桩”， 即一个电动汽车停车位设置一个充电桩，以便于使用和管理。</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（3）室外充电桩应安装在距地面至少200mm以上的基础上，其基础底座四周应采取封闭措施。</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7.在地下、半地下车库充电站内设置充电设施时，应符合下列要求：</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（1）地下部分的防水设计应根据工程实际，合理确定防水标高。</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（2）宜采用壁挂式</w:t>
      </w:r>
      <w:r>
        <w:rPr>
          <w:rFonts w:ascii="仿宋_GB2312" w:eastAsia="仿宋_GB2312"/>
          <w:sz w:val="32"/>
          <w:szCs w:val="22"/>
          <w:lang w:bidi="ar"/>
        </w:rPr>
        <w:t>或吊挂式</w:t>
      </w:r>
      <w:r>
        <w:rPr>
          <w:rFonts w:hint="eastAsia" w:ascii="仿宋_GB2312" w:eastAsia="仿宋_GB2312"/>
          <w:sz w:val="32"/>
          <w:szCs w:val="22"/>
          <w:lang w:bidi="ar"/>
        </w:rPr>
        <w:t>充电设施。</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（3）充电设施的充电枪位置不宜低于0.6m。</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（4）应在配电房低压侧添加绝缘监测设备或漏电保护装置，并且与充电换设施的绝缘监测设备或漏电保护装置在动作时间和额定容量上具备级差配合关系。</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（5）充电设施或备用电池存取间等，应采用耐火极限不低于2.00h的墙体和乙级防火门等防火分隔设施与停车库分隔。</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（6）在车库内设置充电设施或充电站时的配电、监控系统，应按照本规范有关电动汽车充电站的应用方案进行设计和建设。</w:t>
      </w:r>
    </w:p>
    <w:p>
      <w:pPr>
        <w:pStyle w:val="3"/>
        <w:spacing w:before="0" w:after="0" w:line="590" w:lineRule="exact"/>
        <w:ind w:firstLine="640" w:firstLineChars="200"/>
        <w:jc w:val="left"/>
        <w:rPr>
          <w:rFonts w:ascii="Times New Roman" w:hAnsi="Times New Roman" w:eastAsia="楷体_GB2312"/>
          <w:b w:val="0"/>
          <w:bCs w:val="0"/>
          <w:lang w:bidi="ar"/>
        </w:rPr>
      </w:pPr>
      <w:bookmarkStart w:id="61" w:name="_Toc78835295"/>
      <w:bookmarkStart w:id="62" w:name="_Toc22246"/>
      <w:bookmarkStart w:id="63" w:name="_Toc78835199"/>
      <w:r>
        <w:rPr>
          <w:rFonts w:hint="eastAsia" w:ascii="Times New Roman" w:hAnsi="Times New Roman" w:eastAsia="楷体_GB2312"/>
          <w:b w:val="0"/>
          <w:bCs w:val="0"/>
          <w:lang w:bidi="ar"/>
        </w:rPr>
        <w:t>（二）充电站和充电桩电气部分</w:t>
      </w:r>
      <w:bookmarkEnd w:id="61"/>
      <w:bookmarkEnd w:id="62"/>
      <w:bookmarkEnd w:id="63"/>
    </w:p>
    <w:p>
      <w:pPr>
        <w:spacing w:line="590" w:lineRule="exact"/>
        <w:ind w:firstLine="640" w:firstLineChars="200"/>
        <w:jc w:val="left"/>
        <w:outlineLvl w:val="2"/>
        <w:rPr>
          <w:rFonts w:ascii="仿宋_GB2312" w:eastAsia="仿宋_GB2312"/>
          <w:sz w:val="32"/>
          <w:szCs w:val="22"/>
          <w:lang w:bidi="ar"/>
        </w:rPr>
      </w:pPr>
      <w:bookmarkStart w:id="64" w:name="_Toc259699113"/>
      <w:bookmarkStart w:id="65" w:name="_Toc255562645"/>
      <w:bookmarkStart w:id="66" w:name="_Toc391303821"/>
      <w:bookmarkStart w:id="67" w:name="_Toc255549195"/>
      <w:bookmarkStart w:id="68" w:name="_Toc258273628"/>
      <w:bookmarkStart w:id="69" w:name="_Toc258509614"/>
      <w:r>
        <w:rPr>
          <w:rFonts w:hint="eastAsia" w:ascii="仿宋_GB2312" w:eastAsia="仿宋_GB2312"/>
          <w:sz w:val="32"/>
          <w:szCs w:val="22"/>
          <w:lang w:bidi="ar"/>
        </w:rPr>
        <w:t>1.负荷及负荷等级</w:t>
      </w:r>
      <w:bookmarkEnd w:id="64"/>
      <w:bookmarkEnd w:id="65"/>
      <w:bookmarkEnd w:id="66"/>
      <w:bookmarkEnd w:id="67"/>
      <w:bookmarkEnd w:id="68"/>
      <w:bookmarkEnd w:id="69"/>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（1）充电站主要用电负荷包括充电机、监控装置、通风装置、站内其他动力设备及照明等。</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w:t>
      </w:r>
      <w:r>
        <w:rPr>
          <w:rFonts w:ascii="仿宋_GB2312" w:eastAsia="仿宋_GB2312"/>
          <w:sz w:val="32"/>
          <w:szCs w:val="22"/>
          <w:lang w:bidi="ar"/>
        </w:rPr>
        <w:t>负荷等级</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根据国家标准《供配电系统设计规范》GB 50052-2009和《河北雄安新区重要电力用户管理办法（试行）》中对电力用户性质划分的有关规定，按照充电站在经济社会中占有的重要程度，划分为下列两类电力用户：</w:t>
      </w:r>
      <w:r>
        <w:rPr>
          <w:rFonts w:hint="eastAsia" w:ascii="仿宋_GB2312" w:eastAsia="仿宋_GB2312"/>
          <w:sz w:val="32"/>
          <w:szCs w:val="22"/>
          <w:lang w:bidi="ar"/>
        </w:rPr>
        <w:tab/>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a.造成较大政治影响的、造成较大经济损失的、造成一定范围社会公共秩序严重混乱的充电站属于二级重要电力用户。</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b.不属于二级重要电力用户的充电站为其他电力用户。</w:t>
      </w:r>
    </w:p>
    <w:p>
      <w:pPr>
        <w:spacing w:line="590" w:lineRule="exact"/>
        <w:ind w:firstLine="640" w:firstLineChars="200"/>
        <w:jc w:val="left"/>
        <w:outlineLvl w:val="2"/>
        <w:rPr>
          <w:rFonts w:ascii="仿宋_GB2312" w:eastAsia="仿宋_GB2312"/>
          <w:sz w:val="32"/>
          <w:szCs w:val="22"/>
          <w:lang w:bidi="ar"/>
        </w:rPr>
      </w:pPr>
      <w:bookmarkStart w:id="70" w:name="_Toc255549196"/>
      <w:bookmarkStart w:id="71" w:name="_Toc255562646"/>
      <w:bookmarkStart w:id="72" w:name="_Toc258273629"/>
      <w:bookmarkStart w:id="73" w:name="_Toc391303822"/>
      <w:bookmarkStart w:id="74" w:name="_Toc258509615"/>
      <w:bookmarkStart w:id="75" w:name="_Toc259699114"/>
      <w:r>
        <w:rPr>
          <w:rFonts w:hint="eastAsia" w:ascii="仿宋_GB2312" w:eastAsia="仿宋_GB2312"/>
          <w:sz w:val="32"/>
          <w:szCs w:val="22"/>
          <w:lang w:bidi="ar"/>
        </w:rPr>
        <w:t>2.供电电源要求</w:t>
      </w:r>
      <w:bookmarkEnd w:id="70"/>
      <w:bookmarkEnd w:id="71"/>
      <w:bookmarkEnd w:id="72"/>
      <w:bookmarkEnd w:id="73"/>
      <w:bookmarkEnd w:id="74"/>
      <w:bookmarkEnd w:id="75"/>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w:t>
      </w:r>
      <w:r>
        <w:rPr>
          <w:rFonts w:ascii="仿宋_GB2312" w:eastAsia="仿宋_GB2312"/>
          <w:sz w:val="32"/>
          <w:szCs w:val="22"/>
          <w:lang w:bidi="ar"/>
        </w:rPr>
        <w:t>属于二级</w:t>
      </w:r>
      <w:r>
        <w:rPr>
          <w:rFonts w:hint="eastAsia" w:ascii="仿宋_GB2312" w:eastAsia="仿宋_GB2312"/>
          <w:sz w:val="32"/>
          <w:szCs w:val="22"/>
          <w:lang w:bidi="ar"/>
        </w:rPr>
        <w:t>重要</w:t>
      </w:r>
      <w:r>
        <w:rPr>
          <w:rFonts w:ascii="仿宋_GB2312" w:eastAsia="仿宋_GB2312"/>
          <w:sz w:val="32"/>
          <w:szCs w:val="22"/>
          <w:lang w:bidi="ar"/>
        </w:rPr>
        <w:t>电力用户的充电站宜由两回路中压供电电源供电，两回路中压供电电源宜引自不同变电站，也可引自同一变电站的不同母线段。每回供电线路应能满足100%用电负荷的供电要求。</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w:t>
      </w:r>
      <w:r>
        <w:rPr>
          <w:rFonts w:ascii="仿宋_GB2312" w:eastAsia="仿宋_GB2312"/>
          <w:sz w:val="32"/>
          <w:szCs w:val="22"/>
          <w:lang w:bidi="ar"/>
        </w:rPr>
        <w:t>属于</w:t>
      </w:r>
      <w:r>
        <w:rPr>
          <w:rFonts w:hint="eastAsia" w:ascii="仿宋_GB2312" w:eastAsia="仿宋_GB2312"/>
          <w:sz w:val="32"/>
          <w:szCs w:val="22"/>
          <w:lang w:bidi="ar"/>
        </w:rPr>
        <w:t>其他</w:t>
      </w:r>
      <w:r>
        <w:rPr>
          <w:rFonts w:ascii="仿宋_GB2312" w:eastAsia="仿宋_GB2312"/>
          <w:sz w:val="32"/>
          <w:szCs w:val="22"/>
          <w:lang w:bidi="ar"/>
        </w:rPr>
        <w:t>电力用户的充电站由单回路中压供电电源供电。</w:t>
      </w:r>
    </w:p>
    <w:p>
      <w:pPr>
        <w:spacing w:line="590" w:lineRule="exact"/>
        <w:ind w:firstLine="640" w:firstLineChars="200"/>
        <w:jc w:val="left"/>
        <w:outlineLvl w:val="2"/>
        <w:rPr>
          <w:rFonts w:ascii="仿宋_GB2312" w:eastAsia="仿宋_GB2312"/>
          <w:sz w:val="32"/>
          <w:szCs w:val="22"/>
          <w:lang w:bidi="ar"/>
        </w:rPr>
      </w:pPr>
      <w:bookmarkStart w:id="76" w:name="_Toc255549198"/>
      <w:bookmarkStart w:id="77" w:name="_Toc255562648"/>
      <w:bookmarkStart w:id="78" w:name="_Toc259699116"/>
      <w:bookmarkStart w:id="79" w:name="_Toc391303824"/>
      <w:bookmarkStart w:id="80" w:name="_Toc258509617"/>
      <w:bookmarkStart w:id="81" w:name="_Toc258273631"/>
      <w:r>
        <w:rPr>
          <w:rFonts w:hint="eastAsia" w:ascii="仿宋_GB2312" w:eastAsia="仿宋_GB2312"/>
          <w:sz w:val="32"/>
          <w:szCs w:val="22"/>
          <w:lang w:bidi="ar"/>
        </w:rPr>
        <w:t>3.充电机和充电桩选择</w:t>
      </w:r>
      <w:bookmarkEnd w:id="76"/>
      <w:bookmarkEnd w:id="77"/>
      <w:bookmarkEnd w:id="78"/>
      <w:bookmarkEnd w:id="79"/>
      <w:bookmarkEnd w:id="80"/>
      <w:bookmarkEnd w:id="81"/>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（1）一般规定</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a.充电站内的充电机宜选用室内型，以改善充电机的工作条件，减小外部环境对充电机的影响，便于运行维护。</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b.充电设施宜采用电缆下进线方式。</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c.室外充电设施应采用电缆下进线方式。</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d.壁挂式充电设施可采用下进线方式，也可采用侧进线方式。</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（2）技术参数</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a.单台</w:t>
      </w:r>
      <w:r>
        <w:rPr>
          <w:rFonts w:ascii="仿宋_GB2312" w:eastAsia="仿宋_GB2312"/>
          <w:sz w:val="32"/>
          <w:szCs w:val="22"/>
          <w:lang w:bidi="ar"/>
        </w:rPr>
        <w:t>充电</w:t>
      </w:r>
      <w:r>
        <w:rPr>
          <w:rFonts w:hint="eastAsia" w:ascii="仿宋_GB2312" w:eastAsia="仿宋_GB2312"/>
          <w:sz w:val="32"/>
          <w:szCs w:val="22"/>
          <w:lang w:bidi="ar"/>
        </w:rPr>
        <w:t>机输出功率为：</w:t>
      </w:r>
    </w:p>
    <w:p>
      <w:pPr>
        <w:spacing w:line="590" w:lineRule="exact"/>
        <w:ind w:firstLine="640" w:firstLineChars="200"/>
        <w:jc w:val="left"/>
        <w:rPr>
          <w:rFonts w:ascii="仿宋_GB2312" w:eastAsia="仿宋_GB2312"/>
          <w:sz w:val="32"/>
          <w:szCs w:val="22"/>
          <w:lang w:bidi="ar"/>
        </w:rPr>
      </w:pPr>
      <w:r>
        <w:rPr>
          <w:rFonts w:ascii="仿宋_GB2312" w:eastAsia="仿宋_GB2312"/>
          <w:sz w:val="32"/>
          <w:szCs w:val="22"/>
          <w:lang w:bidi="ar"/>
        </w:rPr>
        <w:object>
          <v:shape id="_x0000_i1025" o:spt="75" type="#_x0000_t75" style="height:24pt;width:60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p>
    <w:p>
      <w:pPr>
        <w:spacing w:line="590" w:lineRule="exact"/>
        <w:ind w:firstLine="640" w:firstLineChars="200"/>
        <w:jc w:val="left"/>
        <w:rPr>
          <w:rFonts w:ascii="仿宋_GB2312" w:eastAsia="仿宋_GB2312"/>
          <w:sz w:val="32"/>
          <w:szCs w:val="22"/>
          <w:lang w:bidi="ar"/>
        </w:rPr>
      </w:pPr>
      <w:r>
        <w:rPr>
          <w:rFonts w:ascii="仿宋_GB2312" w:eastAsia="仿宋_GB2312"/>
          <w:sz w:val="32"/>
        </w:rPr>
        <w:pict>
          <v:shape id="_x0000_s1046" o:spid="_x0000_s1046" o:spt="75" type="#_x0000_t75" style="position:absolute;left:0pt;margin-left:33.35pt;margin-top:37.75pt;height:42.7pt;width:85.45pt;z-index:251659264;mso-width-relative:page;mso-height-relative:page;" o:ole="t" filled="f" o:preferrelative="t" stroked="f" coordsize="21600,21600">
            <v:path/>
            <v:fill on="f" focussize="0,0"/>
            <v:stroke on="f" joinstyle="miter"/>
            <v:imagedata r:id="rId9" o:title=""/>
            <o:lock v:ext="edit" aspectratio="t"/>
          </v:shape>
          <o:OLEObject Type="Embed" ProgID="Equation.3" ShapeID="_x0000_s1046" DrawAspect="Content" ObjectID="_1468075726" r:id="rId8">
            <o:LockedField>false</o:LockedField>
          </o:OLEObject>
        </w:pict>
      </w:r>
      <w:r>
        <w:rPr>
          <w:rFonts w:hint="eastAsia" w:ascii="仿宋_GB2312" w:eastAsia="仿宋_GB2312"/>
          <w:sz w:val="32"/>
          <w:szCs w:val="22"/>
          <w:lang w:bidi="ar"/>
        </w:rPr>
        <w:t>b.单台</w:t>
      </w:r>
      <w:r>
        <w:rPr>
          <w:rFonts w:ascii="仿宋_GB2312" w:eastAsia="仿宋_GB2312"/>
          <w:sz w:val="32"/>
          <w:szCs w:val="22"/>
          <w:lang w:bidi="ar"/>
        </w:rPr>
        <w:t>充电</w:t>
      </w:r>
      <w:r>
        <w:rPr>
          <w:rFonts w:hint="eastAsia" w:ascii="仿宋_GB2312" w:eastAsia="仿宋_GB2312"/>
          <w:sz w:val="32"/>
          <w:szCs w:val="22"/>
          <w:lang w:bidi="ar"/>
        </w:rPr>
        <w:t>机输入功率为：</w:t>
      </w:r>
      <w:r>
        <w:rPr>
          <w:rFonts w:ascii="仿宋_GB2312" w:eastAsia="仿宋_GB2312"/>
          <w:sz w:val="32"/>
          <w:szCs w:val="22"/>
          <w:lang w:bidi="ar"/>
        </w:rPr>
        <w:br w:type="textWrapping"/>
      </w:r>
    </w:p>
    <w:p>
      <w:pPr>
        <w:spacing w:line="590" w:lineRule="exact"/>
        <w:ind w:firstLine="640" w:firstLineChars="200"/>
        <w:jc w:val="left"/>
        <w:rPr>
          <w:rFonts w:ascii="仿宋_GB2312" w:eastAsia="仿宋_GB2312"/>
          <w:sz w:val="32"/>
          <w:szCs w:val="22"/>
          <w:lang w:bidi="ar"/>
        </w:rPr>
      </w:pP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式中：</w:t>
      </w:r>
      <w:r>
        <w:rPr>
          <w:rFonts w:ascii="仿宋_GB2312" w:eastAsia="仿宋_GB2312"/>
          <w:sz w:val="32"/>
          <w:szCs w:val="22"/>
          <w:lang w:bidi="ar"/>
        </w:rPr>
        <w:object>
          <v:shape id="_x0000_i1026" o:spt="75" type="#_x0000_t75" style="height:18pt;width:18pt;" o:ole="t" filled="f" o:preferrelative="t" stroked="f" coordsize="21600,21600">
            <v:path/>
            <v:fill on="f" focussize="0,0"/>
            <v:stroke on="f" joinstyle="miter"/>
            <v:imagedata r:id="rId11" o:title=""/>
            <o:lock v:ext="edit" aspectratio="t"/>
            <w10:wrap type="none"/>
            <w10:anchorlock/>
          </v:shape>
          <o:OLEObject Type="Embed" ProgID="Equation.3" ShapeID="_x0000_i1026" DrawAspect="Content" ObjectID="_1468075727" r:id="rId10">
            <o:LockedField>false</o:LockedField>
          </o:OLEObject>
        </w:object>
      </w:r>
      <w:r>
        <w:rPr>
          <w:rFonts w:hint="eastAsia" w:ascii="仿宋_GB2312" w:eastAsia="仿宋_GB2312"/>
          <w:sz w:val="32"/>
          <w:szCs w:val="22"/>
          <w:lang w:bidi="ar"/>
        </w:rPr>
        <w:t>——单台充电机的输出功率；</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 xml:space="preserve">      </w:t>
      </w:r>
      <w:r>
        <w:rPr>
          <w:rFonts w:ascii="仿宋_GB2312" w:eastAsia="仿宋_GB2312"/>
          <w:sz w:val="32"/>
          <w:szCs w:val="22"/>
          <w:lang w:bidi="ar"/>
        </w:rPr>
        <w:object>
          <v:shape id="_x0000_i1027" o:spt="75" type="#_x0000_t75" style="height:12pt;width:12pt;" o:ole="t" filled="f" o:preferrelative="t" stroked="f" coordsize="21600,21600">
            <v:path/>
            <v:fill on="f" focussize="0,0"/>
            <v:stroke on="f" joinstyle="miter"/>
            <v:imagedata r:id="rId13" o:title=""/>
            <o:lock v:ext="edit" aspectratio="t"/>
            <w10:wrap type="none"/>
            <w10:anchorlock/>
          </v:shape>
          <o:OLEObject Type="Embed" ProgID="Equation.3" ShapeID="_x0000_i1027" DrawAspect="Content" ObjectID="_1468075728" r:id="rId12">
            <o:LockedField>false</o:LockedField>
          </o:OLEObject>
        </w:object>
      </w:r>
      <w:r>
        <w:rPr>
          <w:rFonts w:hint="eastAsia" w:ascii="仿宋_GB2312" w:eastAsia="仿宋_GB2312"/>
          <w:sz w:val="32"/>
          <w:szCs w:val="22"/>
          <w:lang w:bidi="ar"/>
        </w:rPr>
        <w:t>——单台充电机的输入功率；</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 xml:space="preserve">      </w:t>
      </w:r>
      <w:r>
        <w:rPr>
          <w:rFonts w:ascii="仿宋_GB2312" w:eastAsia="仿宋_GB2312"/>
          <w:sz w:val="32"/>
          <w:szCs w:val="22"/>
          <w:lang w:bidi="ar"/>
        </w:rPr>
        <w:object>
          <v:shape id="_x0000_i1028" o:spt="75" type="#_x0000_t75" style="height:18pt;width:36pt;" o:ole="t" filled="f" o:preferrelative="t" stroked="f" coordsize="21600,21600">
            <v:path/>
            <v:fill on="f" focussize="0,0"/>
            <v:stroke on="f" joinstyle="miter"/>
            <v:imagedata r:id="rId15" o:title=""/>
            <o:lock v:ext="edit" aspectratio="t"/>
            <w10:wrap type="none"/>
            <w10:anchorlock/>
          </v:shape>
          <o:OLEObject Type="Embed" ProgID="Equation.3" ShapeID="_x0000_i1028" DrawAspect="Content" ObjectID="_1468075729" r:id="rId14">
            <o:LockedField>false</o:LockedField>
          </o:OLEObject>
        </w:object>
      </w:r>
      <w:r>
        <w:rPr>
          <w:rFonts w:hint="eastAsia" w:ascii="仿宋_GB2312" w:eastAsia="仿宋_GB2312"/>
          <w:sz w:val="32"/>
          <w:szCs w:val="22"/>
          <w:lang w:bidi="ar"/>
        </w:rPr>
        <w:t>——充电机功率因数，取0.9；</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 xml:space="preserve">       </w:t>
      </w:r>
      <w:r>
        <w:rPr>
          <w:rFonts w:ascii="仿宋_GB2312" w:eastAsia="仿宋_GB2312"/>
          <w:sz w:val="32"/>
          <w:szCs w:val="22"/>
          <w:lang w:bidi="ar"/>
        </w:rPr>
        <w:fldChar w:fldCharType="begin"/>
      </w:r>
      <w:r>
        <w:rPr>
          <w:rFonts w:ascii="仿宋_GB2312" w:eastAsia="仿宋_GB2312"/>
          <w:sz w:val="32"/>
          <w:szCs w:val="22"/>
          <w:lang w:bidi="ar"/>
        </w:rPr>
        <w:instrText xml:space="preserve"> QUOTE </w:instrText>
      </w:r>
      <w:r>
        <w:rPr>
          <w:rFonts w:ascii="仿宋_GB2312" w:eastAsia="仿宋_GB2312"/>
          <w:sz w:val="32"/>
          <w:szCs w:val="22"/>
          <w:lang w:bidi="ar"/>
        </w:rPr>
        <w:pict>
          <v:shape id="_x0000_i1029" o:spt="75" type="#_x0000_t75" style="height:18pt;width:6pt;" filled="f" o:preferrelative="t" stroked="f" coordsize="21600,21600"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2F5D80&quot;/&gt;&lt;wsp:rsid wsp:val=&quot;002F4A62&quot;/&gt;&lt;wsp:rsid wsp:val=&quot;002F5D80&quot;/&gt;&lt;wsp:rsid wsp:val=&quot;00314F4D&quot;/&gt;&lt;wsp:rsid wsp:val=&quot;0033024B&quot;/&gt;&lt;wsp:rsid wsp:val=&quot;003A5C7D&quot;/&gt;&lt;wsp:rsid wsp:val=&quot;00597FAF&quot;/&gt;&lt;wsp:rsid wsp:val=&quot;0079456F&quot;/&gt;&lt;wsp:rsid wsp:val=&quot;007D404B&quot;/&gt;&lt;wsp:rsid wsp:val=&quot;00A8215C&quot;/&gt;&lt;wsp:rsid wsp:val=&quot;00B61C74&quot;/&gt;&lt;/wsp:rsids&gt;&lt;/w:docPr&gt;&lt;w:body&gt;&lt;w:p wsp:rsidR=&quot;00000000&quot; wsp:rsidRDefault=&quot;007D404B&quot;&gt;&lt;m:oMathPara&gt;&lt;m:oMath&gt;&lt;m:r&gt;&lt;m:rPr&gt;&lt;m:sty m:val=&quot;p&quot;/&gt;&lt;/m:rPr&gt;&lt;w:rPr&gt;&lt;w:rFonts w:ascii=&quot;Cambria Math&quot; w:h-ansi=&quot;Cambria Math&quot; w:cs=&quot;宋体&quot;/&gt;&lt;wx:font wx:val=&quot;Cambria Math&quot;/&gt;&lt;w:kern w:val=&quot;0&quot;/&gt;&lt;w:sz w:val=&quot;18&quot;/&gt;&lt;w:sz-cs w:val=&quot;18&quot;/&gt;&lt;w:lang w:val=&quot;ZH-CN&quot;/&gt;&lt;/w:rPr&gt;&lt;m:t&gt;η&lt;ParParParParParParParParParParParParParParParParParParParParParParParParParParParParPar/mra&gt;a&gt;&lt;ma&gt;&lt;ma&gt;&lt;ma&gt;&lt;ma&gt;&lt;ma&gt;&lt;ma&gt;&lt;ma&gt;&lt;ma&gt;&lt;ma&gt;&lt;ma&gt;&lt;ma&gt;&lt;ma&gt;&lt;ma&gt;&lt;ma&gt;&lt;ma&gt;&lt;ma&gt;&lt;ma&gt;&lt;ma&gt;&lt;ma&gt;&lt;ma&gt;&lt;ma&gt;&lt;ma&gt;&lt;ma&gt;&lt;ma&gt;&lt;ma&gt;&lt;ma&gt;&lt;ma&gt;&lt;ma&gt;&lt;ma&gt;&lt;ma&gt;&lt;ma&gt;&lt;ma&gt;&lt;ma&gt;&lt;ma&gt;&lt;ma&gt;&lt;ma&gt;&lt;ma&gt;&lt;ma&gt;&lt;ma&gt;&lt;ma&gt;&lt;ma&gt;&lt;ma&gt;&lt;ma&gt;&lt;ma&gt;&lt;ma&gt;&lt;ma&gt;&lt;ma&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joinstyle="miter"/>
            <v:imagedata r:id="rId16" chromakey="#FFFFFF" o:title=""/>
            <o:lock v:ext="edit" aspectratio="t"/>
            <w10:wrap type="none"/>
            <w10:anchorlock/>
          </v:shape>
        </w:pict>
      </w:r>
      <w:r>
        <w:rPr>
          <w:rFonts w:ascii="仿宋_GB2312" w:eastAsia="仿宋_GB2312"/>
          <w:sz w:val="32"/>
          <w:szCs w:val="22"/>
          <w:lang w:bidi="ar"/>
        </w:rPr>
        <w:instrText xml:space="preserve"> </w:instrText>
      </w:r>
      <w:r>
        <w:rPr>
          <w:rFonts w:ascii="仿宋_GB2312" w:eastAsia="仿宋_GB2312"/>
          <w:sz w:val="32"/>
          <w:szCs w:val="22"/>
          <w:lang w:bidi="ar"/>
        </w:rPr>
        <w:fldChar w:fldCharType="separate"/>
      </w:r>
      <w:r>
        <w:rPr>
          <w:rFonts w:ascii="仿宋_GB2312" w:eastAsia="仿宋_GB2312"/>
          <w:sz w:val="32"/>
          <w:szCs w:val="22"/>
          <w:lang w:bidi="ar"/>
        </w:rPr>
        <w:pict>
          <v:shape id="_x0000_i1030" o:spt="75" type="#_x0000_t75" style="height:24pt;width:6pt;" filled="f" o:preferrelative="t" stroked="f" coordsize="21600,21600"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2F5D80&quot;/&gt;&lt;wsp:rsid wsp:val=&quot;002F4A62&quot;/&gt;&lt;wsp:rsid wsp:val=&quot;002F5D80&quot;/&gt;&lt;wsp:rsid wsp:val=&quot;00314F4D&quot;/&gt;&lt;wsp:rsid wsp:val=&quot;0033024B&quot;/&gt;&lt;wsp:rsid wsp:val=&quot;003A5C7D&quot;/&gt;&lt;wsp:rsid wsp:val=&quot;00597FAF&quot;/&gt;&lt;wsp:rsid wsp:val=&quot;0079456F&quot;/&gt;&lt;wsp:rsid wsp:val=&quot;007D404B&quot;/&gt;&lt;wsp:rsid wsp:val=&quot;00A8215C&quot;/&gt;&lt;wsp:rsid wsp:val=&quot;00B61C74&quot;/&gt;&lt;/wsp:rsids&gt;&lt;/w:docPr&gt;&lt;w:body&gt;&lt;w:p wsp:rsidR=&quot;00000000&quot; wsp:rsidRDefault=&quot;007D404B&quot;&gt;&lt;m:oMathPara&gt;&lt;m:oMath&gt;&lt;m:r&gt;&lt;m:rPr&gt;&lt;m:sty m:val=&quot;p&quot;/&gt;&lt;/m:rPr&gt;&lt;w:rPr&gt;&lt;w:rFonts w:ascii=&quot;Cambria Math&quot; w:h-ansi=&quot;Cambria Math&quot; w:cs=&quot;宋体&quot;/&gt;&lt;wx:font wx:val=&quot;Cambria Math&quot;/&gt;&lt;w:kern w:val=&quot;0&quot;/&gt;&lt;w:sz w:val=&quot;18&quot;/&gt;&lt;w:sz-cs w:val=&quot;18&quot;/&gt;&lt;w:lang w:val=&quot;ZH-CN&quot;/&gt;&lt;/w:rPr&gt;&lt;m:t&gt;η&lt;ParParParParParParParParParParParParParParParParParParParParParParParParParParParParPar/mra&gt;a&gt;&lt;ma&gt;&lt;ma&gt;&lt;ma&gt;&lt;ma&gt;&lt;ma&gt;&lt;ma&gt;&lt;ma&gt;&lt;ma&gt;&lt;ma&gt;&lt;ma&gt;&lt;ma&gt;&lt;ma&gt;&lt;ma&gt;&lt;ma&gt;&lt;ma&gt;&lt;ma&gt;&lt;ma&gt;&lt;ma&gt;&lt;ma&gt;&lt;ma&gt;&lt;ma&gt;&lt;ma&gt;&lt;ma&gt;&lt;ma&gt;&lt;ma&gt;&lt;ma&gt;&lt;ma&gt;&lt;ma&gt;&lt;ma&gt;&lt;ma&gt;&lt;ma&gt;&lt;ma&gt;&lt;ma&gt;&lt;ma&gt;&lt;ma&gt;&lt;ma&gt;&lt;ma&gt;&lt;ma&gt;&lt;ma&gt;&lt;ma&gt;&lt;ma&gt;&lt;ma&gt;&lt;ma&gt;&lt;ma&gt;&lt;ma&gt;&lt;ma&gt;&lt;ma&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joinstyle="miter"/>
            <v:imagedata r:id="rId16" chromakey="#FFFFFF" o:title=""/>
            <o:lock v:ext="edit" aspectratio="t"/>
            <w10:wrap type="none"/>
            <w10:anchorlock/>
          </v:shape>
        </w:pict>
      </w:r>
      <w:r>
        <w:rPr>
          <w:rFonts w:ascii="仿宋_GB2312" w:eastAsia="仿宋_GB2312"/>
          <w:sz w:val="32"/>
          <w:szCs w:val="22"/>
          <w:lang w:bidi="ar"/>
        </w:rPr>
        <w:fldChar w:fldCharType="end"/>
      </w:r>
      <w:r>
        <w:rPr>
          <w:rFonts w:hint="eastAsia" w:ascii="仿宋_GB2312" w:eastAsia="仿宋_GB2312"/>
          <w:sz w:val="32"/>
          <w:szCs w:val="22"/>
          <w:lang w:bidi="ar"/>
        </w:rPr>
        <w:t>——充电机效率，取0.9。</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c.充电站内</w:t>
      </w:r>
      <w:r>
        <w:rPr>
          <w:rFonts w:ascii="仿宋_GB2312" w:eastAsia="仿宋_GB2312"/>
          <w:sz w:val="32"/>
          <w:szCs w:val="22"/>
          <w:lang w:bidi="ar"/>
        </w:rPr>
        <w:t>充电</w:t>
      </w:r>
      <w:r>
        <w:rPr>
          <w:rFonts w:hint="eastAsia" w:ascii="仿宋_GB2312" w:eastAsia="仿宋_GB2312"/>
          <w:sz w:val="32"/>
          <w:szCs w:val="22"/>
          <w:lang w:bidi="ar"/>
        </w:rPr>
        <w:t>机输入总功率为：</w:t>
      </w:r>
    </w:p>
    <w:p>
      <w:pPr>
        <w:spacing w:line="590" w:lineRule="exact"/>
        <w:ind w:firstLine="640" w:firstLineChars="200"/>
        <w:jc w:val="left"/>
        <w:rPr>
          <w:rFonts w:ascii="仿宋_GB2312" w:eastAsia="仿宋_GB2312"/>
          <w:sz w:val="32"/>
          <w:szCs w:val="22"/>
          <w:lang w:bidi="ar"/>
        </w:rPr>
      </w:pPr>
      <w:r>
        <w:rPr>
          <w:rFonts w:ascii="仿宋_GB2312" w:eastAsia="仿宋_GB2312"/>
          <w:sz w:val="32"/>
          <w:szCs w:val="22"/>
          <w:lang w:bidi="ar"/>
        </w:rPr>
        <w:object>
          <v:shape id="_x0000_i1031" o:spt="75" type="#_x0000_t75" style="height:18pt;width:126pt;" o:ole="t" filled="f" o:preferrelative="t" stroked="f" coordsize="21600,21600">
            <v:path/>
            <v:fill on="f" focussize="0,0"/>
            <v:stroke on="f" joinstyle="miter"/>
            <v:imagedata r:id="rId18" o:title=""/>
            <o:lock v:ext="edit" aspectratio="t"/>
            <w10:wrap type="none"/>
            <w10:anchorlock/>
          </v:shape>
          <o:OLEObject Type="Embed" ProgID="Equation.3" ShapeID="_x0000_i1031" DrawAspect="Content" ObjectID="_1468075730" r:id="rId17">
            <o:LockedField>false</o:LockedField>
          </o:OLEObject>
        </w:object>
      </w:r>
      <w:r>
        <w:rPr>
          <w:rFonts w:hint="eastAsia" w:ascii="仿宋_GB2312" w:eastAsia="仿宋_GB2312"/>
          <w:sz w:val="32"/>
          <w:szCs w:val="22"/>
          <w:lang w:bidi="ar"/>
        </w:rPr>
        <w:t xml:space="preserve"> </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 xml:space="preserve">   </w:t>
      </w:r>
      <w:r>
        <w:rPr>
          <w:rFonts w:ascii="仿宋_GB2312" w:eastAsia="仿宋_GB2312"/>
          <w:sz w:val="32"/>
          <w:szCs w:val="22"/>
          <w:lang w:bidi="ar"/>
        </w:rPr>
        <w:object>
          <v:shape id="_x0000_i1032" o:spt="75" type="#_x0000_t75" style="height:36pt;width:204pt;" o:ole="t" filled="f" o:preferrelative="t" stroked="f" coordsize="21600,21600">
            <v:path/>
            <v:fill on="f" focussize="0,0"/>
            <v:stroke on="f" joinstyle="miter"/>
            <v:imagedata r:id="rId20" o:title=""/>
            <o:lock v:ext="edit" aspectratio="t"/>
            <w10:wrap type="none"/>
            <w10:anchorlock/>
          </v:shape>
          <o:OLEObject Type="Embed" ProgID="Equation.3" ShapeID="_x0000_i1032" DrawAspect="Content" ObjectID="_1468075731" r:id="rId19">
            <o:LockedField>false</o:LockedField>
          </o:OLEObject>
        </w:objec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式中：</w:t>
      </w:r>
      <w:r>
        <w:rPr>
          <w:rFonts w:ascii="仿宋_GB2312" w:eastAsia="仿宋_GB2312"/>
          <w:sz w:val="32"/>
          <w:szCs w:val="22"/>
          <w:lang w:bidi="ar"/>
        </w:rPr>
        <w:object>
          <v:shape id="_x0000_i1033" o:spt="75" type="#_x0000_t75" style="height:18pt;width:12pt;" o:ole="t" filled="f" o:preferrelative="t" stroked="f" coordsize="21600,21600">
            <v:path/>
            <v:fill on="f" focussize="0,0"/>
            <v:stroke on="f" joinstyle="miter"/>
            <v:imagedata r:id="rId22" o:title=""/>
            <o:lock v:ext="edit" aspectratio="t"/>
            <w10:wrap type="none"/>
            <w10:anchorlock/>
          </v:shape>
          <o:OLEObject Type="Embed" ProgID="Equation.3" ShapeID="_x0000_i1033" DrawAspect="Content" ObjectID="_1468075732" r:id="rId21">
            <o:LockedField>false</o:LockedField>
          </o:OLEObject>
        </w:object>
      </w:r>
      <w:r>
        <w:rPr>
          <w:rFonts w:hint="eastAsia" w:ascii="仿宋_GB2312" w:eastAsia="仿宋_GB2312"/>
          <w:sz w:val="32"/>
          <w:szCs w:val="22"/>
          <w:lang w:bidi="ar"/>
        </w:rPr>
        <w:t>、</w:t>
      </w:r>
      <w:r>
        <w:rPr>
          <w:rFonts w:ascii="仿宋_GB2312" w:eastAsia="仿宋_GB2312"/>
          <w:sz w:val="32"/>
          <w:szCs w:val="22"/>
          <w:lang w:bidi="ar"/>
        </w:rPr>
        <w:object>
          <v:shape id="_x0000_i1034" o:spt="75" type="#_x0000_t75" style="height:18pt;width:12pt;" o:ole="t" filled="f" o:preferrelative="t" stroked="f" coordsize="21600,21600">
            <v:path/>
            <v:fill on="f" focussize="0,0"/>
            <v:stroke on="f" joinstyle="miter"/>
            <v:imagedata r:id="rId24" o:title=""/>
            <o:lock v:ext="edit" aspectratio="t"/>
            <w10:wrap type="none"/>
            <w10:anchorlock/>
          </v:shape>
          <o:OLEObject Type="Embed" ProgID="Equation.3" ShapeID="_x0000_i1034" DrawAspect="Content" ObjectID="_1468075733" r:id="rId23">
            <o:LockedField>false</o:LockedField>
          </o:OLEObject>
        </w:object>
      </w:r>
      <w:r>
        <w:rPr>
          <w:rFonts w:hint="eastAsia" w:ascii="仿宋_GB2312" w:eastAsia="仿宋_GB2312"/>
          <w:sz w:val="32"/>
          <w:szCs w:val="22"/>
          <w:lang w:bidi="ar"/>
        </w:rPr>
        <w:t>、…</w:t>
      </w:r>
      <w:r>
        <w:rPr>
          <w:rFonts w:ascii="仿宋_GB2312" w:eastAsia="仿宋_GB2312"/>
          <w:sz w:val="32"/>
          <w:szCs w:val="22"/>
          <w:lang w:bidi="ar"/>
        </w:rPr>
        <w:object>
          <v:shape id="_x0000_i1035" o:spt="75" type="#_x0000_t75" style="height:18pt;width:12pt;" o:ole="t" filled="f" o:preferrelative="t" stroked="f" coordsize="21600,21600">
            <v:path/>
            <v:fill on="f" focussize="0,0"/>
            <v:stroke on="f" joinstyle="miter"/>
            <v:imagedata r:id="rId26" o:title=""/>
            <o:lock v:ext="edit" aspectratio="t"/>
            <w10:wrap type="none"/>
            <w10:anchorlock/>
          </v:shape>
          <o:OLEObject Type="Embed" ProgID="Equation.3" ShapeID="_x0000_i1035" DrawAspect="Content" ObjectID="_1468075734" r:id="rId25">
            <o:LockedField>false</o:LockedField>
          </o:OLEObject>
        </w:object>
      </w:r>
      <w:r>
        <w:rPr>
          <w:rFonts w:hint="eastAsia" w:ascii="仿宋_GB2312" w:eastAsia="仿宋_GB2312"/>
          <w:sz w:val="32"/>
          <w:szCs w:val="22"/>
          <w:lang w:bidi="ar"/>
        </w:rPr>
        <w:t>——各台充电机的输出功率；</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 xml:space="preserve">      </w:t>
      </w:r>
      <w:r>
        <w:rPr>
          <w:rFonts w:ascii="仿宋_GB2312" w:eastAsia="仿宋_GB2312"/>
          <w:sz w:val="32"/>
          <w:szCs w:val="22"/>
          <w:lang w:bidi="ar"/>
        </w:rPr>
        <w:object>
          <v:shape id="_x0000_i1036" o:spt="75" type="#_x0000_t75" style="height:12pt;width:12pt;" o:ole="t" filled="f" o:preferrelative="t" stroked="f" coordsize="21600,21600">
            <v:path/>
            <v:fill on="f" focussize="0,0"/>
            <v:stroke on="f" joinstyle="miter"/>
            <v:imagedata r:id="rId28" o:title=""/>
            <o:lock v:ext="edit" aspectratio="t"/>
            <w10:wrap type="none"/>
            <w10:anchorlock/>
          </v:shape>
          <o:OLEObject Type="Embed" ProgID="Equation.3" ShapeID="_x0000_i1036" DrawAspect="Content" ObjectID="_1468075735" r:id="rId27">
            <o:LockedField>false</o:LockedField>
          </o:OLEObject>
        </w:object>
      </w:r>
      <w:r>
        <w:rPr>
          <w:rFonts w:hint="eastAsia" w:ascii="仿宋_GB2312" w:eastAsia="仿宋_GB2312"/>
          <w:sz w:val="32"/>
          <w:szCs w:val="22"/>
          <w:lang w:bidi="ar"/>
        </w:rPr>
        <w:t>——充电机的输入总功率；</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 xml:space="preserve">      </w:t>
      </w:r>
      <w:r>
        <w:rPr>
          <w:rFonts w:ascii="仿宋_GB2312" w:eastAsia="仿宋_GB2312"/>
          <w:sz w:val="32"/>
          <w:szCs w:val="22"/>
          <w:lang w:bidi="ar"/>
        </w:rPr>
        <w:object>
          <v:shape id="_x0000_i1037" o:spt="75" type="#_x0000_t75" style="height:12pt;width:36pt;" o:ole="t" filled="f" o:preferrelative="t" stroked="f" coordsize="21600,21600">
            <v:path/>
            <v:fill on="f" focussize="0,0"/>
            <v:stroke on="f" joinstyle="miter"/>
            <v:imagedata r:id="rId30" o:title=""/>
            <o:lock v:ext="edit" aspectratio="t"/>
            <w10:wrap type="none"/>
            <w10:anchorlock/>
          </v:shape>
          <o:OLEObject Type="Embed" ProgID="Equation.3" ShapeID="_x0000_i1037" DrawAspect="Content" ObjectID="_1468075736" r:id="rId29">
            <o:LockedField>false</o:LockedField>
          </o:OLEObject>
        </w:object>
      </w:r>
      <w:r>
        <w:rPr>
          <w:rFonts w:hint="eastAsia" w:ascii="仿宋_GB2312" w:eastAsia="仿宋_GB2312"/>
          <w:sz w:val="32"/>
          <w:szCs w:val="22"/>
          <w:lang w:bidi="ar"/>
        </w:rPr>
        <w:t>、</w:t>
      </w:r>
      <w:r>
        <w:rPr>
          <w:rFonts w:ascii="仿宋_GB2312" w:eastAsia="仿宋_GB2312"/>
          <w:sz w:val="32"/>
          <w:szCs w:val="22"/>
          <w:lang w:bidi="ar"/>
        </w:rPr>
        <w:object>
          <v:shape id="_x0000_i1038" o:spt="75" type="#_x0000_t75" style="height:12pt;width:36pt;" o:ole="t" filled="f" o:preferrelative="t" stroked="f" coordsize="21600,21600">
            <v:path/>
            <v:fill on="f" focussize="0,0"/>
            <v:stroke on="f" joinstyle="miter"/>
            <v:imagedata r:id="rId32" o:title=""/>
            <o:lock v:ext="edit" aspectratio="t"/>
            <w10:wrap type="none"/>
            <w10:anchorlock/>
          </v:shape>
          <o:OLEObject Type="Embed" ProgID="Equation.3" ShapeID="_x0000_i1038" DrawAspect="Content" ObjectID="_1468075737" r:id="rId31">
            <o:LockedField>false</o:LockedField>
          </o:OLEObject>
        </w:object>
      </w:r>
      <w:r>
        <w:rPr>
          <w:rFonts w:hint="eastAsia" w:ascii="仿宋_GB2312" w:eastAsia="仿宋_GB2312"/>
          <w:sz w:val="32"/>
          <w:szCs w:val="22"/>
          <w:lang w:bidi="ar"/>
        </w:rPr>
        <w:t>…</w:t>
      </w:r>
      <w:r>
        <w:rPr>
          <w:rFonts w:ascii="仿宋_GB2312" w:eastAsia="仿宋_GB2312"/>
          <w:sz w:val="32"/>
          <w:szCs w:val="22"/>
          <w:lang w:bidi="ar"/>
        </w:rPr>
        <w:object>
          <v:shape id="_x0000_i1039" o:spt="75" type="#_x0000_t75" style="height:12pt;width:36pt;" o:ole="t" filled="f" o:preferrelative="t" stroked="f" coordsize="21600,21600">
            <v:path/>
            <v:fill on="f" focussize="0,0"/>
            <v:stroke on="f" joinstyle="miter"/>
            <v:imagedata r:id="rId34" o:title=""/>
            <o:lock v:ext="edit" aspectratio="t"/>
            <w10:wrap type="none"/>
            <w10:anchorlock/>
          </v:shape>
          <o:OLEObject Type="Embed" ProgID="Equation.3" ShapeID="_x0000_i1039" DrawAspect="Content" ObjectID="_1468075738" r:id="rId33">
            <o:LockedField>false</o:LockedField>
          </o:OLEObject>
        </w:object>
      </w:r>
      <w:r>
        <w:rPr>
          <w:rFonts w:hint="eastAsia" w:ascii="仿宋_GB2312" w:eastAsia="仿宋_GB2312"/>
          <w:sz w:val="32"/>
          <w:szCs w:val="22"/>
          <w:lang w:bidi="ar"/>
        </w:rPr>
        <w:t>——各台充电机的功率因数，取0.9；</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 xml:space="preserve">      </w:t>
      </w:r>
      <w:r>
        <w:rPr>
          <w:rFonts w:ascii="仿宋_GB2312" w:eastAsia="仿宋_GB2312"/>
          <w:sz w:val="32"/>
          <w:szCs w:val="22"/>
          <w:lang w:bidi="ar"/>
        </w:rPr>
        <w:object>
          <v:shape id="_x0000_i1040" o:spt="75" type="#_x0000_t75" style="height:18pt;width:18pt;" o:ole="t" filled="f" o:preferrelative="t" stroked="f" coordsize="21600,21600">
            <v:path/>
            <v:fill on="f" focussize="0,0"/>
            <v:stroke on="f" joinstyle="miter"/>
            <v:imagedata r:id="rId36" o:title=""/>
            <o:lock v:ext="edit" aspectratio="t"/>
            <w10:wrap type="none"/>
            <w10:anchorlock/>
          </v:shape>
          <o:OLEObject Type="Embed" ProgID="Equation.3" ShapeID="_x0000_i1040" DrawAspect="Content" ObjectID="_1468075739" r:id="rId35">
            <o:LockedField>false</o:LockedField>
          </o:OLEObject>
        </w:object>
      </w:r>
      <w:r>
        <w:rPr>
          <w:rFonts w:hint="eastAsia" w:ascii="仿宋_GB2312" w:eastAsia="仿宋_GB2312"/>
          <w:sz w:val="32"/>
          <w:szCs w:val="22"/>
          <w:lang w:bidi="ar"/>
        </w:rPr>
        <w:t>、</w:t>
      </w:r>
      <w:r>
        <w:rPr>
          <w:rFonts w:ascii="仿宋_GB2312" w:eastAsia="仿宋_GB2312"/>
          <w:sz w:val="32"/>
          <w:szCs w:val="22"/>
          <w:lang w:bidi="ar"/>
        </w:rPr>
        <w:object>
          <v:shape id="_x0000_i1041" o:spt="75" type="#_x0000_t75" style="height:18pt;width:18pt;" o:ole="t" filled="f" o:preferrelative="t" stroked="f" coordsize="21600,21600">
            <v:path/>
            <v:fill on="f" focussize="0,0"/>
            <v:stroke on="f" joinstyle="miter"/>
            <v:imagedata r:id="rId38" o:title=""/>
            <o:lock v:ext="edit" aspectratio="t"/>
            <w10:wrap type="none"/>
            <w10:anchorlock/>
          </v:shape>
          <o:OLEObject Type="Embed" ProgID="Equation.3" ShapeID="_x0000_i1041" DrawAspect="Content" ObjectID="_1468075740" r:id="rId37">
            <o:LockedField>false</o:LockedField>
          </o:OLEObject>
        </w:object>
      </w:r>
      <w:r>
        <w:rPr>
          <w:rFonts w:hint="eastAsia" w:ascii="仿宋_GB2312" w:eastAsia="仿宋_GB2312"/>
          <w:sz w:val="32"/>
          <w:szCs w:val="22"/>
          <w:lang w:bidi="ar"/>
        </w:rPr>
        <w:t>…</w:t>
      </w:r>
      <w:r>
        <w:rPr>
          <w:rFonts w:ascii="仿宋_GB2312" w:eastAsia="仿宋_GB2312"/>
          <w:sz w:val="32"/>
          <w:szCs w:val="22"/>
          <w:lang w:bidi="ar"/>
        </w:rPr>
        <w:object>
          <v:shape id="_x0000_i1042" o:spt="75" type="#_x0000_t75" style="height:18pt;width:18pt;" o:ole="t" filled="f" o:preferrelative="t" stroked="f" coordsize="21600,21600">
            <v:path/>
            <v:fill on="f" focussize="0,0"/>
            <v:stroke on="f" joinstyle="miter"/>
            <v:imagedata r:id="rId40" o:title=""/>
            <o:lock v:ext="edit" aspectratio="t"/>
            <w10:wrap type="none"/>
            <w10:anchorlock/>
          </v:shape>
          <o:OLEObject Type="Embed" ProgID="Equation.3" ShapeID="_x0000_i1042" DrawAspect="Content" ObjectID="_1468075741" r:id="rId39">
            <o:LockedField>false</o:LockedField>
          </o:OLEObject>
        </w:object>
      </w:r>
      <w:r>
        <w:rPr>
          <w:rFonts w:hint="eastAsia" w:ascii="仿宋_GB2312" w:eastAsia="仿宋_GB2312"/>
          <w:sz w:val="32"/>
          <w:szCs w:val="22"/>
          <w:lang w:bidi="ar"/>
        </w:rPr>
        <w:t>——各台充电</w:t>
      </w:r>
      <w:r>
        <w:rPr>
          <w:rFonts w:ascii="仿宋_GB2312" w:eastAsia="仿宋_GB2312"/>
          <w:sz w:val="32"/>
          <w:szCs w:val="22"/>
          <w:lang w:bidi="ar"/>
        </w:rPr>
        <w:t>装置</w:t>
      </w:r>
      <w:r>
        <w:rPr>
          <w:rFonts w:hint="eastAsia" w:ascii="仿宋_GB2312" w:eastAsia="仿宋_GB2312"/>
          <w:sz w:val="32"/>
          <w:szCs w:val="22"/>
          <w:lang w:bidi="ar"/>
        </w:rPr>
        <w:t>的效率，取0.9；</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 xml:space="preserve">      </w:t>
      </w:r>
      <w:r>
        <w:rPr>
          <w:rFonts w:ascii="仿宋_GB2312" w:eastAsia="仿宋_GB2312"/>
          <w:sz w:val="32"/>
          <w:szCs w:val="22"/>
          <w:lang w:bidi="ar"/>
        </w:rPr>
        <w:object>
          <v:shape id="_x0000_i1043" o:spt="75" type="#_x0000_t75" style="height:18pt;width:18pt;" o:ole="t" filled="f" o:preferrelative="t" stroked="f" coordsize="21600,21600">
            <v:path/>
            <v:fill on="f" focussize="0,0"/>
            <v:stroke on="f" joinstyle="miter"/>
            <v:imagedata r:id="rId42" o:title=""/>
            <o:lock v:ext="edit" aspectratio="t"/>
            <w10:wrap type="none"/>
            <w10:anchorlock/>
          </v:shape>
          <o:OLEObject Type="Embed" ProgID="Equation.3" ShapeID="_x0000_i1043" DrawAspect="Content" ObjectID="_1468075742" r:id="rId41">
            <o:LockedField>false</o:LockedField>
          </o:OLEObject>
        </w:object>
      </w:r>
      <w:r>
        <w:rPr>
          <w:rFonts w:hint="eastAsia" w:ascii="仿宋_GB2312" w:eastAsia="仿宋_GB2312"/>
          <w:sz w:val="32"/>
          <w:szCs w:val="22"/>
          <w:lang w:bidi="ar"/>
        </w:rPr>
        <w:t>——同时工作系数，建议商场等公共充电站，K取0.6；对公交站、环卫站等专用充电站，K取1.0；对于居民小区K与充电机数量呈反向变化趋势，如表2所示。</w:t>
      </w:r>
    </w:p>
    <w:p>
      <w:pPr>
        <w:spacing w:line="590" w:lineRule="exact"/>
        <w:jc w:val="center"/>
        <w:rPr>
          <w:rFonts w:ascii="仿宋_GB2312" w:hAnsi="黑体" w:eastAsia="仿宋_GB2312"/>
          <w:sz w:val="32"/>
          <w:szCs w:val="22"/>
        </w:rPr>
      </w:pPr>
      <w:r>
        <w:rPr>
          <w:rFonts w:hint="eastAsia" w:ascii="仿宋_GB2312" w:hAnsi="黑体" w:eastAsia="仿宋_GB2312"/>
          <w:sz w:val="32"/>
          <w:szCs w:val="22"/>
        </w:rPr>
        <w:t>表2 充电机同时工作系数</w:t>
      </w:r>
    </w:p>
    <w:tbl>
      <w:tblPr>
        <w:tblStyle w:val="51"/>
        <w:tblW w:w="9372" w:type="dxa"/>
        <w:jc w:val="center"/>
        <w:tblLayout w:type="fixed"/>
        <w:tblCellMar>
          <w:top w:w="0" w:type="dxa"/>
          <w:left w:w="108" w:type="dxa"/>
          <w:bottom w:w="0" w:type="dxa"/>
          <w:right w:w="108" w:type="dxa"/>
        </w:tblCellMar>
      </w:tblPr>
      <w:tblGrid>
        <w:gridCol w:w="1737"/>
        <w:gridCol w:w="727"/>
        <w:gridCol w:w="748"/>
        <w:gridCol w:w="905"/>
        <w:gridCol w:w="826"/>
        <w:gridCol w:w="826"/>
        <w:gridCol w:w="826"/>
        <w:gridCol w:w="826"/>
        <w:gridCol w:w="827"/>
        <w:gridCol w:w="1124"/>
      </w:tblGrid>
      <w:tr>
        <w:tblPrEx>
          <w:tblCellMar>
            <w:top w:w="0" w:type="dxa"/>
            <w:left w:w="108" w:type="dxa"/>
            <w:bottom w:w="0" w:type="dxa"/>
            <w:right w:w="108" w:type="dxa"/>
          </w:tblCellMar>
        </w:tblPrEx>
        <w:trPr>
          <w:trHeight w:val="851" w:hRule="exact"/>
          <w:jc w:val="center"/>
        </w:trPr>
        <w:tc>
          <w:tcPr>
            <w:tcW w:w="17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olor w:val="000000"/>
                <w:szCs w:val="21"/>
              </w:rPr>
            </w:pPr>
            <w:r>
              <w:rPr>
                <w:rFonts w:ascii="黑体" w:hAnsi="黑体" w:eastAsia="黑体"/>
                <w:color w:val="000000"/>
                <w:szCs w:val="21"/>
              </w:rPr>
              <w:t>充电机数n</w:t>
            </w:r>
          </w:p>
        </w:tc>
        <w:tc>
          <w:tcPr>
            <w:tcW w:w="727" w:type="dxa"/>
            <w:tcBorders>
              <w:top w:val="single" w:color="auto" w:sz="4" w:space="0"/>
              <w:left w:val="nil"/>
              <w:bottom w:val="single" w:color="auto" w:sz="4" w:space="0"/>
              <w:right w:val="single" w:color="auto" w:sz="4" w:space="0"/>
            </w:tcBorders>
            <w:vAlign w:val="center"/>
          </w:tcPr>
          <w:p>
            <w:pPr>
              <w:spacing w:line="300" w:lineRule="exact"/>
              <w:jc w:val="center"/>
              <w:rPr>
                <w:rFonts w:ascii="黑体" w:hAnsi="黑体" w:eastAsia="黑体"/>
                <w:color w:val="000000"/>
                <w:szCs w:val="21"/>
              </w:rPr>
            </w:pPr>
            <w:r>
              <w:rPr>
                <w:rFonts w:ascii="黑体" w:hAnsi="黑体" w:eastAsia="黑体"/>
                <w:color w:val="000000"/>
                <w:szCs w:val="21"/>
              </w:rPr>
              <w:t>3</w:t>
            </w:r>
          </w:p>
        </w:tc>
        <w:tc>
          <w:tcPr>
            <w:tcW w:w="748" w:type="dxa"/>
            <w:tcBorders>
              <w:top w:val="single" w:color="auto" w:sz="4" w:space="0"/>
              <w:left w:val="nil"/>
              <w:bottom w:val="single" w:color="auto" w:sz="4" w:space="0"/>
              <w:right w:val="single" w:color="auto" w:sz="4" w:space="0"/>
            </w:tcBorders>
            <w:vAlign w:val="center"/>
          </w:tcPr>
          <w:p>
            <w:pPr>
              <w:spacing w:line="300" w:lineRule="exact"/>
              <w:jc w:val="center"/>
              <w:rPr>
                <w:rFonts w:ascii="黑体" w:hAnsi="黑体" w:eastAsia="黑体"/>
                <w:color w:val="000000"/>
                <w:szCs w:val="21"/>
              </w:rPr>
            </w:pPr>
            <w:r>
              <w:rPr>
                <w:rFonts w:ascii="黑体" w:hAnsi="黑体" w:eastAsia="黑体"/>
                <w:color w:val="000000"/>
                <w:szCs w:val="21"/>
              </w:rPr>
              <w:t>6</w:t>
            </w:r>
          </w:p>
        </w:tc>
        <w:tc>
          <w:tcPr>
            <w:tcW w:w="905" w:type="dxa"/>
            <w:tcBorders>
              <w:top w:val="single" w:color="auto" w:sz="4" w:space="0"/>
              <w:left w:val="nil"/>
              <w:bottom w:val="single" w:color="auto" w:sz="4" w:space="0"/>
              <w:right w:val="single" w:color="auto" w:sz="4" w:space="0"/>
            </w:tcBorders>
            <w:vAlign w:val="center"/>
          </w:tcPr>
          <w:p>
            <w:pPr>
              <w:spacing w:line="300" w:lineRule="exact"/>
              <w:jc w:val="center"/>
              <w:rPr>
                <w:rFonts w:ascii="黑体" w:hAnsi="黑体" w:eastAsia="黑体"/>
                <w:color w:val="000000"/>
                <w:szCs w:val="21"/>
              </w:rPr>
            </w:pPr>
            <w:r>
              <w:rPr>
                <w:rFonts w:ascii="黑体" w:hAnsi="黑体" w:eastAsia="黑体"/>
                <w:color w:val="000000"/>
                <w:szCs w:val="21"/>
              </w:rPr>
              <w:t>10</w:t>
            </w:r>
          </w:p>
        </w:tc>
        <w:tc>
          <w:tcPr>
            <w:tcW w:w="826" w:type="dxa"/>
            <w:tcBorders>
              <w:top w:val="single" w:color="auto" w:sz="4" w:space="0"/>
              <w:left w:val="nil"/>
              <w:bottom w:val="single" w:color="auto" w:sz="4" w:space="0"/>
              <w:right w:val="single" w:color="auto" w:sz="4" w:space="0"/>
            </w:tcBorders>
            <w:vAlign w:val="center"/>
          </w:tcPr>
          <w:p>
            <w:pPr>
              <w:spacing w:line="300" w:lineRule="exact"/>
              <w:jc w:val="center"/>
              <w:rPr>
                <w:rFonts w:ascii="黑体" w:hAnsi="黑体" w:eastAsia="黑体"/>
                <w:color w:val="000000"/>
                <w:szCs w:val="21"/>
              </w:rPr>
            </w:pPr>
            <w:r>
              <w:rPr>
                <w:rFonts w:ascii="黑体" w:hAnsi="黑体" w:eastAsia="黑体"/>
                <w:color w:val="000000"/>
                <w:szCs w:val="21"/>
              </w:rPr>
              <w:t>14</w:t>
            </w:r>
          </w:p>
        </w:tc>
        <w:tc>
          <w:tcPr>
            <w:tcW w:w="826" w:type="dxa"/>
            <w:tcBorders>
              <w:top w:val="single" w:color="auto" w:sz="4" w:space="0"/>
              <w:left w:val="nil"/>
              <w:bottom w:val="single" w:color="auto" w:sz="4" w:space="0"/>
              <w:right w:val="single" w:color="auto" w:sz="4" w:space="0"/>
            </w:tcBorders>
            <w:vAlign w:val="center"/>
          </w:tcPr>
          <w:p>
            <w:pPr>
              <w:spacing w:line="300" w:lineRule="exact"/>
              <w:jc w:val="center"/>
              <w:rPr>
                <w:rFonts w:ascii="黑体" w:hAnsi="黑体" w:eastAsia="黑体"/>
                <w:color w:val="000000"/>
                <w:szCs w:val="21"/>
              </w:rPr>
            </w:pPr>
            <w:r>
              <w:rPr>
                <w:rFonts w:ascii="黑体" w:hAnsi="黑体" w:eastAsia="黑体"/>
                <w:color w:val="000000"/>
                <w:szCs w:val="21"/>
              </w:rPr>
              <w:t>18</w:t>
            </w:r>
          </w:p>
        </w:tc>
        <w:tc>
          <w:tcPr>
            <w:tcW w:w="826" w:type="dxa"/>
            <w:tcBorders>
              <w:top w:val="single" w:color="auto" w:sz="4" w:space="0"/>
              <w:left w:val="nil"/>
              <w:bottom w:val="single" w:color="auto" w:sz="4" w:space="0"/>
              <w:right w:val="single" w:color="auto" w:sz="4" w:space="0"/>
            </w:tcBorders>
            <w:vAlign w:val="center"/>
          </w:tcPr>
          <w:p>
            <w:pPr>
              <w:spacing w:line="300" w:lineRule="exact"/>
              <w:jc w:val="center"/>
              <w:rPr>
                <w:rFonts w:ascii="黑体" w:hAnsi="黑体" w:eastAsia="黑体"/>
                <w:color w:val="000000"/>
                <w:szCs w:val="21"/>
              </w:rPr>
            </w:pPr>
            <w:r>
              <w:rPr>
                <w:rFonts w:ascii="黑体" w:hAnsi="黑体" w:eastAsia="黑体"/>
                <w:color w:val="000000"/>
                <w:szCs w:val="21"/>
              </w:rPr>
              <w:t>22</w:t>
            </w:r>
          </w:p>
        </w:tc>
        <w:tc>
          <w:tcPr>
            <w:tcW w:w="826" w:type="dxa"/>
            <w:tcBorders>
              <w:top w:val="single" w:color="auto" w:sz="4" w:space="0"/>
              <w:left w:val="nil"/>
              <w:bottom w:val="single" w:color="auto" w:sz="4" w:space="0"/>
              <w:right w:val="single" w:color="auto" w:sz="4" w:space="0"/>
            </w:tcBorders>
            <w:vAlign w:val="center"/>
          </w:tcPr>
          <w:p>
            <w:pPr>
              <w:spacing w:line="300" w:lineRule="exact"/>
              <w:jc w:val="center"/>
              <w:rPr>
                <w:rFonts w:ascii="黑体" w:hAnsi="黑体" w:eastAsia="黑体"/>
                <w:color w:val="000000"/>
                <w:szCs w:val="21"/>
              </w:rPr>
            </w:pPr>
            <w:r>
              <w:rPr>
                <w:rFonts w:ascii="黑体" w:hAnsi="黑体" w:eastAsia="黑体"/>
                <w:color w:val="000000"/>
                <w:szCs w:val="21"/>
              </w:rPr>
              <w:t>25</w:t>
            </w:r>
          </w:p>
        </w:tc>
        <w:tc>
          <w:tcPr>
            <w:tcW w:w="827" w:type="dxa"/>
            <w:tcBorders>
              <w:top w:val="single" w:color="auto" w:sz="4" w:space="0"/>
              <w:left w:val="nil"/>
              <w:bottom w:val="single" w:color="auto" w:sz="4" w:space="0"/>
              <w:right w:val="single" w:color="auto" w:sz="4" w:space="0"/>
            </w:tcBorders>
            <w:vAlign w:val="center"/>
          </w:tcPr>
          <w:p>
            <w:pPr>
              <w:spacing w:line="300" w:lineRule="exact"/>
              <w:jc w:val="center"/>
              <w:rPr>
                <w:rFonts w:ascii="黑体" w:hAnsi="黑体" w:eastAsia="黑体"/>
                <w:color w:val="000000"/>
                <w:szCs w:val="21"/>
              </w:rPr>
            </w:pPr>
            <w:r>
              <w:rPr>
                <w:rFonts w:ascii="黑体" w:hAnsi="黑体" w:eastAsia="黑体"/>
                <w:color w:val="000000"/>
                <w:szCs w:val="21"/>
              </w:rPr>
              <w:t>100</w:t>
            </w:r>
          </w:p>
        </w:tc>
        <w:tc>
          <w:tcPr>
            <w:tcW w:w="1124" w:type="dxa"/>
            <w:tcBorders>
              <w:top w:val="single" w:color="auto" w:sz="4" w:space="0"/>
              <w:left w:val="nil"/>
              <w:bottom w:val="single" w:color="auto" w:sz="4" w:space="0"/>
              <w:right w:val="single" w:color="auto" w:sz="4" w:space="0"/>
            </w:tcBorders>
            <w:vAlign w:val="center"/>
          </w:tcPr>
          <w:p>
            <w:pPr>
              <w:spacing w:line="300" w:lineRule="exact"/>
              <w:jc w:val="center"/>
              <w:rPr>
                <w:rFonts w:ascii="黑体" w:hAnsi="黑体" w:eastAsia="黑体"/>
                <w:color w:val="000000"/>
                <w:szCs w:val="21"/>
              </w:rPr>
            </w:pPr>
            <w:r>
              <w:rPr>
                <w:rFonts w:ascii="黑体" w:hAnsi="黑体" w:eastAsia="黑体"/>
                <w:color w:val="000000"/>
                <w:szCs w:val="21"/>
              </w:rPr>
              <w:t>200以上</w:t>
            </w:r>
          </w:p>
        </w:tc>
      </w:tr>
      <w:tr>
        <w:tblPrEx>
          <w:tblCellMar>
            <w:top w:w="0" w:type="dxa"/>
            <w:left w:w="108" w:type="dxa"/>
            <w:bottom w:w="0" w:type="dxa"/>
            <w:right w:w="108" w:type="dxa"/>
          </w:tblCellMar>
        </w:tblPrEx>
        <w:trPr>
          <w:trHeight w:val="851" w:hRule="exact"/>
          <w:jc w:val="center"/>
        </w:trPr>
        <w:tc>
          <w:tcPr>
            <w:tcW w:w="1737" w:type="dxa"/>
            <w:tcBorders>
              <w:top w:val="nil"/>
              <w:left w:val="single" w:color="auto" w:sz="4" w:space="0"/>
              <w:bottom w:val="single" w:color="auto" w:sz="4" w:space="0"/>
              <w:right w:val="single" w:color="auto" w:sz="4" w:space="0"/>
            </w:tcBorders>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同时工作系数K</w:t>
            </w:r>
          </w:p>
        </w:tc>
        <w:tc>
          <w:tcPr>
            <w:tcW w:w="72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szCs w:val="20"/>
              </w:rPr>
            </w:pPr>
            <w:r>
              <w:rPr>
                <w:rFonts w:hint="eastAsia" w:ascii="仿宋_GB2312" w:hAnsi="宋体" w:eastAsia="仿宋_GB2312"/>
                <w:szCs w:val="20"/>
              </w:rPr>
              <w:t>1</w:t>
            </w:r>
          </w:p>
        </w:tc>
        <w:tc>
          <w:tcPr>
            <w:tcW w:w="74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szCs w:val="20"/>
              </w:rPr>
            </w:pPr>
            <w:r>
              <w:rPr>
                <w:rFonts w:hint="eastAsia" w:ascii="仿宋_GB2312" w:hAnsi="宋体" w:eastAsia="仿宋_GB2312"/>
                <w:szCs w:val="20"/>
              </w:rPr>
              <w:t>0.73</w:t>
            </w:r>
          </w:p>
        </w:tc>
        <w:tc>
          <w:tcPr>
            <w:tcW w:w="905"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szCs w:val="20"/>
              </w:rPr>
            </w:pPr>
            <w:r>
              <w:rPr>
                <w:rFonts w:hint="eastAsia" w:ascii="仿宋_GB2312" w:hAnsi="宋体" w:eastAsia="仿宋_GB2312"/>
                <w:szCs w:val="20"/>
              </w:rPr>
              <w:t>0.58</w:t>
            </w:r>
          </w:p>
        </w:tc>
        <w:tc>
          <w:tcPr>
            <w:tcW w:w="826"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szCs w:val="20"/>
              </w:rPr>
            </w:pPr>
            <w:r>
              <w:rPr>
                <w:rFonts w:hint="eastAsia" w:ascii="仿宋_GB2312" w:hAnsi="宋体" w:eastAsia="仿宋_GB2312"/>
                <w:szCs w:val="20"/>
              </w:rPr>
              <w:t>0.47</w:t>
            </w:r>
          </w:p>
        </w:tc>
        <w:tc>
          <w:tcPr>
            <w:tcW w:w="826"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szCs w:val="20"/>
              </w:rPr>
            </w:pPr>
            <w:r>
              <w:rPr>
                <w:rFonts w:hint="eastAsia" w:ascii="仿宋_GB2312" w:hAnsi="宋体" w:eastAsia="仿宋_GB2312"/>
                <w:szCs w:val="20"/>
              </w:rPr>
              <w:t>0.44</w:t>
            </w:r>
          </w:p>
        </w:tc>
        <w:tc>
          <w:tcPr>
            <w:tcW w:w="826"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szCs w:val="20"/>
              </w:rPr>
            </w:pPr>
            <w:r>
              <w:rPr>
                <w:rFonts w:hint="eastAsia" w:ascii="仿宋_GB2312" w:hAnsi="宋体" w:eastAsia="仿宋_GB2312"/>
                <w:szCs w:val="20"/>
              </w:rPr>
              <w:t>0.42</w:t>
            </w:r>
          </w:p>
        </w:tc>
        <w:tc>
          <w:tcPr>
            <w:tcW w:w="826"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szCs w:val="20"/>
              </w:rPr>
            </w:pPr>
            <w:r>
              <w:rPr>
                <w:rFonts w:hint="eastAsia" w:ascii="仿宋_GB2312" w:hAnsi="宋体" w:eastAsia="仿宋_GB2312"/>
                <w:szCs w:val="20"/>
              </w:rPr>
              <w:t>0.4</w:t>
            </w:r>
          </w:p>
        </w:tc>
        <w:tc>
          <w:tcPr>
            <w:tcW w:w="827"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szCs w:val="20"/>
              </w:rPr>
            </w:pPr>
            <w:r>
              <w:rPr>
                <w:rFonts w:hint="eastAsia" w:ascii="仿宋_GB2312" w:hAnsi="宋体" w:eastAsia="仿宋_GB2312"/>
                <w:szCs w:val="20"/>
              </w:rPr>
              <w:t>0.35</w:t>
            </w:r>
          </w:p>
        </w:tc>
        <w:tc>
          <w:tcPr>
            <w:tcW w:w="1124"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szCs w:val="20"/>
              </w:rPr>
            </w:pPr>
            <w:r>
              <w:rPr>
                <w:rFonts w:hint="eastAsia" w:ascii="仿宋_GB2312" w:hAnsi="宋体" w:eastAsia="仿宋_GB2312"/>
                <w:szCs w:val="20"/>
              </w:rPr>
              <w:t>0.3</w:t>
            </w:r>
          </w:p>
        </w:tc>
      </w:tr>
    </w:tbl>
    <w:p>
      <w:pPr>
        <w:spacing w:line="590" w:lineRule="exact"/>
        <w:ind w:firstLine="640" w:firstLineChars="200"/>
        <w:jc w:val="left"/>
        <w:outlineLvl w:val="2"/>
        <w:rPr>
          <w:rFonts w:ascii="仿宋_GB2312" w:eastAsia="仿宋_GB2312"/>
          <w:sz w:val="32"/>
          <w:szCs w:val="22"/>
          <w:lang w:bidi="ar"/>
        </w:rPr>
      </w:pPr>
      <w:bookmarkStart w:id="82" w:name="_Toc259699117"/>
      <w:bookmarkStart w:id="83" w:name="_Toc391303825"/>
      <w:bookmarkStart w:id="84" w:name="_Toc258509618"/>
      <w:r>
        <w:rPr>
          <w:rFonts w:hint="eastAsia" w:ascii="仿宋_GB2312" w:eastAsia="仿宋_GB2312"/>
          <w:sz w:val="32"/>
          <w:szCs w:val="22"/>
          <w:lang w:bidi="ar"/>
        </w:rPr>
        <w:t>4.充电站配电系统</w:t>
      </w:r>
      <w:bookmarkEnd w:id="82"/>
      <w:bookmarkEnd w:id="83"/>
      <w:bookmarkEnd w:id="84"/>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w:t>
      </w:r>
      <w:r>
        <w:rPr>
          <w:rFonts w:ascii="仿宋_GB2312" w:eastAsia="仿宋_GB2312"/>
          <w:sz w:val="32"/>
          <w:szCs w:val="22"/>
          <w:lang w:bidi="ar"/>
        </w:rPr>
        <w:t>10kV宜采用单母线接线或单母线分段接线；380V宜采用单母线或单母线分段接线。</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w:t>
      </w:r>
      <w:r>
        <w:rPr>
          <w:rFonts w:ascii="仿宋_GB2312" w:eastAsia="仿宋_GB2312"/>
          <w:sz w:val="32"/>
          <w:szCs w:val="22"/>
          <w:lang w:bidi="ar"/>
        </w:rPr>
        <w:t>接于变压器星形绕组的低压配电系统采用TN-S接地系统。</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（3）</w:t>
      </w:r>
      <w:r>
        <w:rPr>
          <w:rFonts w:ascii="仿宋_GB2312" w:eastAsia="仿宋_GB2312"/>
          <w:sz w:val="32"/>
          <w:szCs w:val="22"/>
          <w:lang w:bidi="ar"/>
        </w:rPr>
        <w:t>两台及以上变压器低压进线和联络断路器之间应设置机械闭锁和电气联锁装置。</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（4）</w:t>
      </w:r>
      <w:r>
        <w:rPr>
          <w:rFonts w:ascii="仿宋_GB2312" w:eastAsia="仿宋_GB2312"/>
          <w:sz w:val="32"/>
          <w:szCs w:val="22"/>
          <w:lang w:bidi="ar"/>
        </w:rPr>
        <w:t>低压进线断路器宜具有短路瞬时、短路短延时、长延时三段保护功能，并具有接地保护功能。低压进线断路器宜设置分励脱扣装置，不宜设置失（低）压脱扣装置。</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（5）</w:t>
      </w:r>
      <w:r>
        <w:rPr>
          <w:rFonts w:ascii="仿宋_GB2312" w:eastAsia="仿宋_GB2312"/>
          <w:sz w:val="32"/>
          <w:szCs w:val="22"/>
          <w:lang w:bidi="ar"/>
        </w:rPr>
        <w:t>充电站内容量较大或重要的用电设备，宜采用放射式供电。</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（6）</w:t>
      </w:r>
      <w:r>
        <w:rPr>
          <w:rFonts w:ascii="仿宋_GB2312" w:eastAsia="仿宋_GB2312"/>
          <w:sz w:val="32"/>
          <w:szCs w:val="22"/>
          <w:lang w:bidi="ar"/>
        </w:rPr>
        <w:t>低压配电设备及线路的保护应满足</w:t>
      </w:r>
      <w:r>
        <w:rPr>
          <w:rFonts w:hint="eastAsia" w:ascii="仿宋_GB2312" w:eastAsia="仿宋_GB2312"/>
          <w:sz w:val="32"/>
          <w:szCs w:val="22"/>
          <w:lang w:bidi="ar"/>
        </w:rPr>
        <w:t>现行国家标准《低压配电设计规范》</w:t>
      </w:r>
      <w:r>
        <w:rPr>
          <w:rFonts w:ascii="仿宋_GB2312" w:eastAsia="仿宋_GB2312"/>
          <w:sz w:val="32"/>
          <w:szCs w:val="22"/>
          <w:lang w:bidi="ar"/>
        </w:rPr>
        <w:t>GB 50054-2011的规定。</w:t>
      </w:r>
    </w:p>
    <w:p>
      <w:pPr>
        <w:spacing w:line="590" w:lineRule="exact"/>
        <w:ind w:firstLine="640" w:firstLineChars="200"/>
        <w:jc w:val="left"/>
        <w:outlineLvl w:val="2"/>
        <w:rPr>
          <w:rFonts w:ascii="仿宋_GB2312" w:eastAsia="仿宋_GB2312"/>
          <w:sz w:val="32"/>
          <w:szCs w:val="22"/>
          <w:lang w:bidi="ar"/>
        </w:rPr>
      </w:pPr>
      <w:bookmarkStart w:id="85" w:name="_Toc255549200"/>
      <w:bookmarkStart w:id="86" w:name="_Toc255562650"/>
      <w:bookmarkStart w:id="87" w:name="_Toc391303826"/>
      <w:bookmarkStart w:id="88" w:name="_Toc258273633"/>
      <w:bookmarkStart w:id="89" w:name="_Toc258509619"/>
      <w:bookmarkStart w:id="90" w:name="_Toc259699118"/>
      <w:r>
        <w:rPr>
          <w:rFonts w:hint="eastAsia" w:ascii="仿宋_GB2312" w:eastAsia="仿宋_GB2312"/>
          <w:sz w:val="32"/>
          <w:szCs w:val="22"/>
          <w:lang w:bidi="ar"/>
        </w:rPr>
        <w:t>5.充电桩配电系统</w:t>
      </w:r>
      <w:bookmarkEnd w:id="85"/>
      <w:bookmarkEnd w:id="86"/>
      <w:bookmarkEnd w:id="87"/>
      <w:bookmarkEnd w:id="88"/>
      <w:bookmarkEnd w:id="89"/>
      <w:bookmarkEnd w:id="90"/>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w:t>
      </w:r>
      <w:r>
        <w:rPr>
          <w:rFonts w:ascii="仿宋_GB2312" w:eastAsia="仿宋_GB2312"/>
          <w:sz w:val="32"/>
          <w:szCs w:val="22"/>
          <w:lang w:bidi="ar"/>
        </w:rPr>
        <w:t>充电桩接地系统宜采用TN-S。</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w:t>
      </w:r>
      <w:r>
        <w:rPr>
          <w:rFonts w:ascii="仿宋_GB2312" w:eastAsia="仿宋_GB2312"/>
          <w:sz w:val="32"/>
          <w:szCs w:val="22"/>
          <w:lang w:bidi="ar"/>
        </w:rPr>
        <w:t>向充电桩供电的电源侧低压断路器宜具有短路保护和剩余电流保护功能，其剩余电流保护额定动作电流为</w:t>
      </w:r>
      <w:r>
        <w:rPr>
          <w:rFonts w:hint="eastAsia" w:ascii="仿宋_GB2312" w:eastAsia="仿宋_GB2312"/>
          <w:sz w:val="32"/>
          <w:szCs w:val="22"/>
          <w:lang w:bidi="ar"/>
        </w:rPr>
        <w:t>30</w:t>
      </w:r>
      <w:r>
        <w:rPr>
          <w:rFonts w:ascii="仿宋_GB2312" w:eastAsia="仿宋_GB2312"/>
          <w:sz w:val="32"/>
          <w:szCs w:val="22"/>
          <w:lang w:bidi="ar"/>
        </w:rPr>
        <w:t>mA，动作时间不大于0.1s。</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（3）</w:t>
      </w:r>
      <w:r>
        <w:rPr>
          <w:rFonts w:ascii="仿宋_GB2312" w:eastAsia="仿宋_GB2312"/>
          <w:sz w:val="32"/>
          <w:szCs w:val="22"/>
          <w:lang w:bidi="ar"/>
        </w:rPr>
        <w:t>交流充电桩的配电系统宜做到三相负荷平衡、各相负荷矩相等。</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（4）</w:t>
      </w:r>
      <w:r>
        <w:rPr>
          <w:rFonts w:ascii="仿宋_GB2312" w:eastAsia="仿宋_GB2312"/>
          <w:sz w:val="32"/>
          <w:szCs w:val="22"/>
          <w:lang w:bidi="ar"/>
        </w:rPr>
        <w:t>在已建成的建筑物、居住小区等场所停车场设置充电桩时，应对现有配电站配电设施进行校验。当不能满足要求时，应采取相应的技术改造措施。</w:t>
      </w:r>
    </w:p>
    <w:p>
      <w:pPr>
        <w:spacing w:line="590" w:lineRule="exact"/>
        <w:ind w:firstLine="640" w:firstLineChars="200"/>
        <w:jc w:val="left"/>
        <w:outlineLvl w:val="2"/>
        <w:rPr>
          <w:rFonts w:ascii="仿宋_GB2312" w:eastAsia="仿宋_GB2312"/>
          <w:sz w:val="32"/>
          <w:szCs w:val="22"/>
          <w:lang w:bidi="ar"/>
        </w:rPr>
      </w:pPr>
      <w:bookmarkStart w:id="91" w:name="_Toc255562651"/>
      <w:bookmarkStart w:id="92" w:name="_Toc258273634"/>
      <w:bookmarkStart w:id="93" w:name="_Toc259699119"/>
      <w:bookmarkStart w:id="94" w:name="_Toc258509620"/>
      <w:bookmarkStart w:id="95" w:name="_Toc391303827"/>
      <w:bookmarkStart w:id="96" w:name="_Toc255549201"/>
      <w:r>
        <w:rPr>
          <w:rFonts w:hint="eastAsia" w:ascii="仿宋_GB2312" w:eastAsia="仿宋_GB2312"/>
          <w:sz w:val="32"/>
          <w:szCs w:val="22"/>
          <w:lang w:bidi="ar"/>
        </w:rPr>
        <w:t>6.配电线路</w:t>
      </w:r>
      <w:bookmarkEnd w:id="91"/>
      <w:bookmarkEnd w:id="92"/>
      <w:bookmarkEnd w:id="93"/>
      <w:bookmarkEnd w:id="94"/>
      <w:bookmarkEnd w:id="95"/>
      <w:bookmarkEnd w:id="96"/>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w:t>
      </w:r>
      <w:r>
        <w:rPr>
          <w:rFonts w:ascii="仿宋_GB2312" w:eastAsia="仿宋_GB2312"/>
          <w:sz w:val="32"/>
          <w:szCs w:val="22"/>
          <w:lang w:bidi="ar"/>
        </w:rPr>
        <w:t>中低压配电线路和控制线路宜采用铜芯导体。</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w:t>
      </w:r>
      <w:r>
        <w:rPr>
          <w:rFonts w:ascii="仿宋_GB2312" w:eastAsia="仿宋_GB2312"/>
          <w:sz w:val="32"/>
          <w:szCs w:val="22"/>
          <w:lang w:bidi="ar"/>
        </w:rPr>
        <w:t>中压电缆线路宜选用交联聚乙烯绝缘类型，充电站内的低压电缆线路宜选用交联聚乙烯绝缘或聚氯乙烯绝缘类型，照明及插座线路宜选用聚氯乙烯绝缘护套电线。</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（3）</w:t>
      </w:r>
      <w:r>
        <w:rPr>
          <w:rFonts w:ascii="仿宋_GB2312" w:eastAsia="仿宋_GB2312"/>
          <w:sz w:val="32"/>
          <w:szCs w:val="22"/>
          <w:lang w:bidi="ar"/>
        </w:rPr>
        <w:t>移动式电气设备等经常弯移或有较高柔软性要求的回路，应使用橡皮绝缘等电缆。</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（4）</w:t>
      </w:r>
      <w:r>
        <w:rPr>
          <w:rFonts w:ascii="仿宋_GB2312" w:eastAsia="仿宋_GB2312"/>
          <w:sz w:val="32"/>
          <w:szCs w:val="22"/>
          <w:lang w:bidi="ar"/>
        </w:rPr>
        <w:t>用于三相负荷的电力电缆，其外护套宜采用钢带铠装类。用于单相负荷及直流负荷的电缆，其外护套不应采用导磁性材料作为铠装。</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（5）</w:t>
      </w:r>
      <w:r>
        <w:rPr>
          <w:rFonts w:ascii="仿宋_GB2312" w:eastAsia="仿宋_GB2312"/>
          <w:sz w:val="32"/>
          <w:szCs w:val="22"/>
          <w:lang w:bidi="ar"/>
        </w:rPr>
        <w:t>低压电缆截面应满足最大电流工作时，导体能够满足载流量的要求，并应校验线路允许电压降，以满足电气装置的正常工作状态。</w:t>
      </w:r>
    </w:p>
    <w:p>
      <w:pPr>
        <w:spacing w:line="590" w:lineRule="exact"/>
        <w:ind w:firstLine="640" w:firstLineChars="200"/>
        <w:jc w:val="left"/>
        <w:outlineLvl w:val="2"/>
        <w:rPr>
          <w:rFonts w:ascii="仿宋_GB2312" w:eastAsia="仿宋_GB2312"/>
          <w:sz w:val="32"/>
          <w:szCs w:val="22"/>
          <w:lang w:bidi="ar"/>
        </w:rPr>
      </w:pPr>
      <w:bookmarkStart w:id="97" w:name="_Toc255562652"/>
      <w:bookmarkStart w:id="98" w:name="_Toc259699120"/>
      <w:bookmarkStart w:id="99" w:name="_Toc391303828"/>
      <w:bookmarkStart w:id="100" w:name="_Toc255549202"/>
      <w:bookmarkStart w:id="101" w:name="_Toc258273635"/>
      <w:bookmarkStart w:id="102" w:name="_Toc258509621"/>
      <w:r>
        <w:rPr>
          <w:rFonts w:hint="eastAsia" w:ascii="仿宋_GB2312" w:eastAsia="仿宋_GB2312"/>
          <w:sz w:val="32"/>
          <w:szCs w:val="22"/>
          <w:lang w:bidi="ar"/>
        </w:rPr>
        <w:t>7.线路敷设</w:t>
      </w:r>
      <w:bookmarkEnd w:id="97"/>
      <w:bookmarkEnd w:id="98"/>
      <w:bookmarkEnd w:id="99"/>
      <w:bookmarkEnd w:id="100"/>
      <w:bookmarkEnd w:id="101"/>
      <w:bookmarkEnd w:id="102"/>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w:t>
      </w:r>
      <w:r>
        <w:rPr>
          <w:rFonts w:ascii="仿宋_GB2312" w:eastAsia="仿宋_GB2312"/>
          <w:sz w:val="32"/>
          <w:szCs w:val="22"/>
          <w:lang w:bidi="ar"/>
        </w:rPr>
        <w:t>充电站站内的中压供电线路应采用电缆进线方式，中压电缆在站内的敷设路径尽量避免通过充电区等有振动和压力的场所。如无法避开时，应采取穿保护管等措施。</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w:t>
      </w:r>
      <w:r>
        <w:rPr>
          <w:rFonts w:ascii="仿宋_GB2312" w:eastAsia="仿宋_GB2312"/>
          <w:sz w:val="32"/>
          <w:szCs w:val="22"/>
          <w:lang w:bidi="ar"/>
        </w:rPr>
        <w:t>变压器二次侧至低压开关柜之间宜采用密集型母线槽连接。</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（3）</w:t>
      </w:r>
      <w:r>
        <w:rPr>
          <w:rFonts w:ascii="仿宋_GB2312" w:eastAsia="仿宋_GB2312"/>
          <w:sz w:val="32"/>
          <w:szCs w:val="22"/>
          <w:lang w:bidi="ar"/>
        </w:rPr>
        <w:t>低压开关柜至室内充电机之间的电缆线路宜采用沿室内电缆沟敷设。</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（4）</w:t>
      </w:r>
      <w:r>
        <w:rPr>
          <w:rFonts w:ascii="仿宋_GB2312" w:eastAsia="仿宋_GB2312"/>
          <w:sz w:val="32"/>
          <w:szCs w:val="22"/>
          <w:lang w:bidi="ar"/>
        </w:rPr>
        <w:t>室外敷设的电缆线路宜采用穿保护管埋地敷设，保护管应满足抗压要求和耐环境腐蚀要求。</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（5）</w:t>
      </w:r>
      <w:r>
        <w:rPr>
          <w:rFonts w:ascii="仿宋_GB2312" w:eastAsia="仿宋_GB2312"/>
          <w:sz w:val="32"/>
          <w:szCs w:val="22"/>
          <w:lang w:bidi="ar"/>
        </w:rPr>
        <w:t>直流单芯电缆不宜单根穿钢管，当需要单根穿管时，应采用非导磁管材，也可采用经过磁路分隔处理的钢管。</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（6）</w:t>
      </w:r>
      <w:r>
        <w:rPr>
          <w:rFonts w:ascii="仿宋_GB2312" w:eastAsia="仿宋_GB2312"/>
          <w:sz w:val="32"/>
          <w:szCs w:val="22"/>
          <w:lang w:bidi="ar"/>
        </w:rPr>
        <w:t>在配电室内电气设备、母线槽的正上方，不宜布置灯具和明敷线路。</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（7）埋地敷设的地下电力管线严禁平行敷设于现有地下管道的正上方或正下方。各电力管线、电力管线与其他市政管线之间的平行或交叉距离，应满足现行国家标准《城市工程管线综合规划规范》GB 50289</w:t>
      </w:r>
      <w:r>
        <w:rPr>
          <w:rFonts w:ascii="仿宋_GB2312" w:eastAsia="仿宋_GB2312"/>
          <w:sz w:val="32"/>
          <w:szCs w:val="22"/>
          <w:lang w:bidi="ar"/>
        </w:rPr>
        <w:t>-2016</w:t>
      </w:r>
      <w:r>
        <w:rPr>
          <w:rFonts w:hint="eastAsia" w:ascii="仿宋_GB2312" w:eastAsia="仿宋_GB2312"/>
          <w:sz w:val="32"/>
          <w:szCs w:val="22"/>
          <w:lang w:bidi="ar"/>
        </w:rPr>
        <w:t>的要求。</w:t>
      </w:r>
    </w:p>
    <w:p>
      <w:pPr>
        <w:pStyle w:val="3"/>
        <w:spacing w:before="0" w:after="0" w:line="590" w:lineRule="exact"/>
        <w:ind w:firstLine="640" w:firstLineChars="200"/>
        <w:jc w:val="left"/>
        <w:rPr>
          <w:rFonts w:ascii="Times New Roman" w:hAnsi="Times New Roman" w:eastAsia="楷体_GB2312"/>
          <w:b w:val="0"/>
          <w:bCs w:val="0"/>
          <w:lang w:bidi="ar"/>
        </w:rPr>
      </w:pPr>
      <w:bookmarkStart w:id="103" w:name="_Toc78835200"/>
      <w:bookmarkStart w:id="104" w:name="_Toc78835296"/>
      <w:bookmarkStart w:id="105" w:name="_Toc2684"/>
      <w:r>
        <w:rPr>
          <w:rFonts w:hint="eastAsia" w:ascii="Times New Roman" w:hAnsi="Times New Roman" w:eastAsia="楷体_GB2312"/>
          <w:b w:val="0"/>
          <w:bCs w:val="0"/>
          <w:lang w:bidi="ar"/>
        </w:rPr>
        <w:t>（三）建设要求</w:t>
      </w:r>
      <w:bookmarkEnd w:id="103"/>
      <w:bookmarkEnd w:id="104"/>
      <w:bookmarkEnd w:id="105"/>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1.设计</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w:t>
      </w:r>
      <w:r>
        <w:fldChar w:fldCharType="begin"/>
      </w:r>
      <w:r>
        <w:instrText xml:space="preserve"> HYPERLINK "http://www.loveguifan.cn/gfzhang.php?gf=5bGF5L2P5Yy655S15Yqo5rG96L2m5YWF55S16K6+5pa95oqA5pyv6KeE56iLX1RDRUNTNTA4XzIwMTjmp5DmoJE0" </w:instrText>
      </w:r>
      <w:r>
        <w:fldChar w:fldCharType="separate"/>
      </w:r>
      <w:r>
        <w:fldChar w:fldCharType="end"/>
      </w:r>
      <w:r>
        <w:rPr>
          <w:rFonts w:hint="eastAsia" w:ascii="仿宋_GB2312" w:eastAsia="仿宋_GB2312"/>
          <w:sz w:val="32"/>
          <w:szCs w:val="22"/>
          <w:lang w:bidi="ar"/>
        </w:rPr>
        <w:t>电动汽车充电设施设计应从选址、电网接入、工程建设验收与运行维护、拆除回收等全过程统筹规划、系统设计。</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w:t>
      </w:r>
      <w:r>
        <w:fldChar w:fldCharType="begin"/>
      </w:r>
      <w:r>
        <w:instrText xml:space="preserve"> HYPERLINK "http://www.loveguifan.cn/gfzhang.php?gf=5bGF5L2P5Yy655S15Yqo5rG96L2m5YWF55S16K6+5pa95oqA5pyv6KeE56iLX1RDRUNTNTA4XzIwMTjmp5DmoJE0" </w:instrText>
      </w:r>
      <w:r>
        <w:fldChar w:fldCharType="separate"/>
      </w:r>
      <w:r>
        <w:fldChar w:fldCharType="end"/>
      </w:r>
      <w:r>
        <w:rPr>
          <w:rFonts w:hint="eastAsia" w:ascii="仿宋_GB2312" w:eastAsia="仿宋_GB2312"/>
          <w:sz w:val="32"/>
          <w:szCs w:val="22"/>
          <w:lang w:bidi="ar"/>
        </w:rPr>
        <w:t>充电设施设计应采用节能、环保、免维护或少维护的新技术、新设备和新材料，禁止采用国家明令淘汰的设备和材料。</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（3）</w:t>
      </w:r>
      <w:r>
        <w:fldChar w:fldCharType="begin"/>
      </w:r>
      <w:r>
        <w:instrText xml:space="preserve"> HYPERLINK "http://www.loveguifan.cn/gfzhang.php?gf=5bGF5L2P5Yy655S15Yqo5rG96L2m5YWF55S16K6+5pa95oqA5pyv6KeE56iLX1RDRUNTNTA4XzIwMTjmp5DmoJE0" </w:instrText>
      </w:r>
      <w:r>
        <w:fldChar w:fldCharType="separate"/>
      </w:r>
      <w:r>
        <w:fldChar w:fldCharType="end"/>
      </w:r>
      <w:r>
        <w:rPr>
          <w:rFonts w:hint="eastAsia" w:ascii="仿宋_GB2312" w:eastAsia="仿宋_GB2312"/>
          <w:sz w:val="32"/>
          <w:szCs w:val="22"/>
          <w:lang w:bidi="ar"/>
        </w:rPr>
        <w:t>充电设施的选址宜具备相应的通风条件，户外充电设施宜考虑安装防雨雪的设施。</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（4）</w:t>
      </w:r>
      <w:r>
        <w:fldChar w:fldCharType="begin"/>
      </w:r>
      <w:r>
        <w:instrText xml:space="preserve"> HYPERLINK "http://www.loveguifan.cn/gfzhang.php?gf=5bGF5L2P5Yy655S15Yqo5rG96L2m5YWF55S16K6+5pa95oqA5pyv6KeE56iLX1RDRUNTNTA4XzIwMTjmp5DmoJE0" </w:instrText>
      </w:r>
      <w:r>
        <w:fldChar w:fldCharType="separate"/>
      </w:r>
      <w:r>
        <w:fldChar w:fldCharType="end"/>
      </w:r>
      <w:r>
        <w:rPr>
          <w:rFonts w:hint="eastAsia" w:ascii="仿宋_GB2312" w:eastAsia="仿宋_GB2312"/>
          <w:sz w:val="32"/>
          <w:szCs w:val="22"/>
          <w:lang w:bidi="ar"/>
        </w:rPr>
        <w:t>充电设施设计应满足防火安全、用电安全、充电安全等方面的要求，合理确定设计方案。</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（5）</w:t>
      </w:r>
      <w:r>
        <w:fldChar w:fldCharType="begin"/>
      </w:r>
      <w:r>
        <w:instrText xml:space="preserve"> HYPERLINK "http://www.loveguifan.cn/gfzhang.php?gf=5bGF5L2P5Yy655S15Yqo5rG96L2m5YWF55S16K6+5pa95oqA5pyv6KeE56iLX1RDRUNTNTA4XzIwMTjmp5DmoJE0" </w:instrText>
      </w:r>
      <w:r>
        <w:fldChar w:fldCharType="separate"/>
      </w:r>
      <w:r>
        <w:fldChar w:fldCharType="end"/>
      </w:r>
      <w:r>
        <w:rPr>
          <w:rFonts w:hint="eastAsia" w:ascii="仿宋_GB2312" w:eastAsia="仿宋_GB2312"/>
          <w:sz w:val="32"/>
          <w:szCs w:val="22"/>
          <w:lang w:bidi="ar"/>
        </w:rPr>
        <w:t>充电设施的布置应遵循安全、可靠、适用的原则，并应便于安装、操作、搬运、检修、试验。</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（6）</w:t>
      </w:r>
      <w:r>
        <w:fldChar w:fldCharType="begin"/>
      </w:r>
      <w:r>
        <w:instrText xml:space="preserve"> HYPERLINK "http://www.loveguifan.cn/gfzhang.php?gf=5bGF5L2P5Yy655S15Yqo5rG96L2m5YWF55S16K6+5pa95oqA5pyv6KeE56iLX1RDRUNTNTA4XzIwMTjmp5DmoJE0" </w:instrText>
      </w:r>
      <w:r>
        <w:fldChar w:fldCharType="separate"/>
      </w:r>
      <w:r>
        <w:fldChar w:fldCharType="end"/>
      </w:r>
      <w:r>
        <w:rPr>
          <w:rFonts w:hint="eastAsia" w:ascii="仿宋_GB2312" w:eastAsia="仿宋_GB2312"/>
          <w:sz w:val="32"/>
          <w:szCs w:val="22"/>
          <w:lang w:bidi="ar"/>
        </w:rPr>
        <w:t>充电设施的噪声限值应符合现行国家标准《声环境质量标准》GB 3096-</w:t>
      </w:r>
      <w:r>
        <w:rPr>
          <w:rFonts w:ascii="仿宋_GB2312" w:eastAsia="仿宋_GB2312"/>
          <w:sz w:val="32"/>
          <w:szCs w:val="22"/>
          <w:lang w:bidi="ar"/>
        </w:rPr>
        <w:t>2008</w:t>
      </w:r>
      <w:r>
        <w:rPr>
          <w:rFonts w:hint="eastAsia" w:ascii="仿宋_GB2312" w:eastAsia="仿宋_GB2312"/>
          <w:sz w:val="32"/>
          <w:szCs w:val="22"/>
          <w:lang w:bidi="ar"/>
        </w:rPr>
        <w:t>中的相关规定。</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（7）</w:t>
      </w:r>
      <w:r>
        <w:fldChar w:fldCharType="begin"/>
      </w:r>
      <w:r>
        <w:instrText xml:space="preserve"> HYPERLINK "http://www.loveguifan.cn/gfzhang.php?gf=5bGF5L2P5Yy655S15Yqo5rG96L2m5YWF55S16K6+5pa95oqA5pyv6KeE56iLX1RDRUNTNTA4XzIwMTjmp5DmoJE0" </w:instrText>
      </w:r>
      <w:r>
        <w:fldChar w:fldCharType="separate"/>
      </w:r>
      <w:r>
        <w:fldChar w:fldCharType="end"/>
      </w:r>
      <w:r>
        <w:rPr>
          <w:rFonts w:hint="eastAsia" w:ascii="仿宋_GB2312" w:eastAsia="仿宋_GB2312"/>
          <w:sz w:val="32"/>
          <w:szCs w:val="22"/>
          <w:lang w:bidi="ar"/>
        </w:rPr>
        <w:t>充电设备的安装不应妨碍车辆的行驶和停放，并应采取保护充电设备及操作人员安全的措施。</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（8）</w:t>
      </w:r>
      <w:r>
        <w:fldChar w:fldCharType="begin"/>
      </w:r>
      <w:r>
        <w:instrText xml:space="preserve"> HYPERLINK "http://www.loveguifan.cn/gfzhang.php?gf=5bGF5L2P5Yy655S15Yqo5rG96L2m5YWF55S16K6+5pa95oqA5pyv6KeE56iLX1RDRUNTNTA4XzIwMTjmp5DmoJE0" </w:instrText>
      </w:r>
      <w:r>
        <w:fldChar w:fldCharType="separate"/>
      </w:r>
      <w:r>
        <w:fldChar w:fldCharType="end"/>
      </w:r>
      <w:r>
        <w:rPr>
          <w:rFonts w:hint="eastAsia" w:ascii="仿宋_GB2312" w:eastAsia="仿宋_GB2312"/>
          <w:sz w:val="32"/>
          <w:szCs w:val="22"/>
          <w:lang w:bidi="ar"/>
        </w:rPr>
        <w:t>充电设施设计防火安全应符合现行国家标准《火力发电厂与变电站设计防火规范》GB 50229-</w:t>
      </w:r>
      <w:r>
        <w:rPr>
          <w:rFonts w:ascii="仿宋_GB2312" w:eastAsia="仿宋_GB2312"/>
          <w:sz w:val="32"/>
          <w:szCs w:val="22"/>
          <w:lang w:bidi="ar"/>
        </w:rPr>
        <w:t>2006</w:t>
      </w:r>
      <w:r>
        <w:rPr>
          <w:rFonts w:hint="eastAsia" w:ascii="仿宋_GB2312" w:eastAsia="仿宋_GB2312"/>
          <w:sz w:val="32"/>
          <w:szCs w:val="22"/>
          <w:lang w:bidi="ar"/>
        </w:rPr>
        <w:t>和《建筑设计防火规范》GB 50016-</w:t>
      </w:r>
      <w:r>
        <w:rPr>
          <w:rFonts w:ascii="仿宋_GB2312" w:eastAsia="仿宋_GB2312"/>
          <w:sz w:val="32"/>
          <w:szCs w:val="22"/>
          <w:lang w:bidi="ar"/>
        </w:rPr>
        <w:t>2014</w:t>
      </w:r>
      <w:r>
        <w:rPr>
          <w:rFonts w:hint="eastAsia" w:ascii="仿宋_GB2312" w:eastAsia="仿宋_GB2312"/>
          <w:sz w:val="32"/>
          <w:szCs w:val="22"/>
          <w:lang w:bidi="ar"/>
        </w:rPr>
        <w:t>的有关规定。</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（9）</w:t>
      </w:r>
      <w:r>
        <w:fldChar w:fldCharType="begin"/>
      </w:r>
      <w:r>
        <w:instrText xml:space="preserve"> HYPERLINK "http://www.loveguifan.cn/gfzhang.php?gf=5bGF5L2P5Yy655S15Yqo5rG96L2m5YWF55S16K6+5pa95oqA5pyv6KeE56iLX1RDRUNTNTA4XzIwMTjmp5DmoJE0" </w:instrText>
      </w:r>
      <w:r>
        <w:fldChar w:fldCharType="separate"/>
      </w:r>
      <w:r>
        <w:fldChar w:fldCharType="end"/>
      </w:r>
      <w:r>
        <w:rPr>
          <w:rFonts w:hint="eastAsia" w:ascii="仿宋_GB2312" w:eastAsia="仿宋_GB2312"/>
          <w:sz w:val="32"/>
          <w:szCs w:val="22"/>
          <w:lang w:bidi="ar"/>
        </w:rPr>
        <w:t>充电设施应具有醒目的导向标志、充电位置引导标志与安全警告标识。</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（10）</w:t>
      </w:r>
      <w:r>
        <w:fldChar w:fldCharType="begin"/>
      </w:r>
      <w:r>
        <w:instrText xml:space="preserve"> HYPERLINK "http://www.loveguifan.cn/gfzhang.php?gf=5bGF5L2P5Yy655S15Yqo5rG96L2m5YWF55S16K6+5pa95oqA5pyv6KeE56iLX1RDRUNTNTA4XzIwMTjmp5DmoJE0" </w:instrText>
      </w:r>
      <w:r>
        <w:fldChar w:fldCharType="separate"/>
      </w:r>
      <w:r>
        <w:fldChar w:fldCharType="end"/>
      </w:r>
      <w:r>
        <w:rPr>
          <w:rFonts w:hint="eastAsia" w:ascii="仿宋_GB2312" w:eastAsia="仿宋_GB2312"/>
          <w:sz w:val="32"/>
          <w:szCs w:val="22"/>
          <w:lang w:bidi="ar"/>
        </w:rPr>
        <w:t>新建居住区的充电设施应与其他设备统筹安排</w:t>
      </w:r>
      <w:r>
        <w:rPr>
          <w:rFonts w:ascii="仿宋_GB2312" w:eastAsia="仿宋_GB2312"/>
          <w:sz w:val="32"/>
          <w:szCs w:val="22"/>
          <w:lang w:bidi="ar"/>
        </w:rPr>
        <w:t>，</w:t>
      </w:r>
      <w:r>
        <w:rPr>
          <w:rFonts w:hint="eastAsia" w:ascii="仿宋_GB2312" w:eastAsia="仿宋_GB2312"/>
          <w:sz w:val="32"/>
          <w:szCs w:val="22"/>
          <w:lang w:bidi="ar"/>
        </w:rPr>
        <w:t>同步设计、同步施工、同步验收。</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（11）</w:t>
      </w:r>
      <w:r>
        <w:fldChar w:fldCharType="begin"/>
      </w:r>
      <w:r>
        <w:instrText xml:space="preserve"> HYPERLINK "http://www.loveguifan.cn/gfzhang.php?gf=5bGF5L2P5Yy655S15Yqo5rG96L2m5YWF55S16K6+5pa95oqA5pyv6KeE56iLX1RDRUNTNTA4XzIwMTjmp5DmoJE0" </w:instrText>
      </w:r>
      <w:r>
        <w:fldChar w:fldCharType="separate"/>
      </w:r>
      <w:r>
        <w:fldChar w:fldCharType="end"/>
      </w:r>
      <w:r>
        <w:rPr>
          <w:rFonts w:hint="eastAsia" w:ascii="仿宋_GB2312" w:eastAsia="仿宋_GB2312"/>
          <w:sz w:val="32"/>
          <w:szCs w:val="22"/>
          <w:lang w:bidi="ar"/>
        </w:rPr>
        <w:t>充电设施可采用整体建成交付或预留建设安装条件，预留条件应包括需要的土建设施、供电容量、变配电设备位置，充电设备位置，线路通道等。</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（12）在人口密集的居民区和商业区宜新建或改造立体停车库，并配备相应的充电设备实现电动汽车充电功能。</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2.施工</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w:t>
      </w:r>
      <w:r>
        <w:fldChar w:fldCharType="begin"/>
      </w:r>
      <w:r>
        <w:instrText xml:space="preserve"> HYPERLINK "http://www.loveguifan.cn/gfzhang.php?gf=5bGF5L2P5Yy655S15Yqo5rG96L2m5YWF55S16K6+5pa95oqA5pyv6KeE56iLX1RDRUNTNTA4XzIwMTjmp5DmoJE2" </w:instrText>
      </w:r>
      <w:r>
        <w:fldChar w:fldCharType="separate"/>
      </w:r>
      <w:r>
        <w:fldChar w:fldCharType="end"/>
      </w:r>
      <w:r>
        <w:rPr>
          <w:rFonts w:hint="eastAsia" w:ascii="仿宋_GB2312" w:eastAsia="仿宋_GB2312"/>
          <w:sz w:val="32"/>
          <w:szCs w:val="22"/>
          <w:lang w:bidi="ar"/>
        </w:rPr>
        <w:t>施工单位应具备充电设施安装的相关资质。</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w:t>
      </w:r>
      <w:r>
        <w:fldChar w:fldCharType="begin"/>
      </w:r>
      <w:r>
        <w:instrText xml:space="preserve"> HYPERLINK "http://www.loveguifan.cn/gfzhang.php?gf=5bGF5L2P5Yy655S15Yqo5rG96L2m5YWF55S16K6+5pa95oqA5pyv6KeE56iLX1RDRUNTNTA4XzIwMTjmp5DmoJE2" </w:instrText>
      </w:r>
      <w:r>
        <w:fldChar w:fldCharType="separate"/>
      </w:r>
      <w:r>
        <w:fldChar w:fldCharType="end"/>
      </w:r>
      <w:r>
        <w:rPr>
          <w:rFonts w:hint="eastAsia" w:ascii="仿宋_GB2312" w:eastAsia="仿宋_GB2312"/>
          <w:sz w:val="32"/>
          <w:szCs w:val="22"/>
          <w:lang w:bidi="ar"/>
        </w:rPr>
        <w:t>施工人员应具备相应要求的作业操作证。</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（3）</w:t>
      </w:r>
      <w:r>
        <w:fldChar w:fldCharType="begin"/>
      </w:r>
      <w:r>
        <w:instrText xml:space="preserve"> HYPERLINK "http://www.loveguifan.cn/gfzhang.php?gf=5bGF5L2P5Yy655S15Yqo5rG96L2m5YWF55S16K6+5pa95oqA5pyv6KeE56iLX1RDRUNTNTA4XzIwMTjmp5DmoJE2" </w:instrText>
      </w:r>
      <w:r>
        <w:fldChar w:fldCharType="separate"/>
      </w:r>
      <w:r>
        <w:fldChar w:fldCharType="end"/>
      </w:r>
      <w:r>
        <w:fldChar w:fldCharType="begin"/>
      </w:r>
      <w:r>
        <w:instrText xml:space="preserve"> HYPERLINK "http://www.loveguifan.cn/gfzhang.php?gf=5bGF5L2P5Yy655S15Yqo5rG96L2m5YWF55S16K6+5pa95oqA5pyv6KeE56iLX1RDRUNTNTA4XzIwMTjmp5DmoJE2" </w:instrText>
      </w:r>
      <w:r>
        <w:fldChar w:fldCharType="separate"/>
      </w:r>
      <w:r>
        <w:fldChar w:fldCharType="end"/>
      </w:r>
      <w:r>
        <w:fldChar w:fldCharType="begin"/>
      </w:r>
      <w:r>
        <w:instrText xml:space="preserve"> HYPERLINK "http://www.loveguifan.cn/gfzhang.php?gf=5bGF5L2P5Yy655S15Yqo5rG96L2m5YWF55S16K6+5pa95oqA5pyv6KeE56iLX1RDRUNTNTA4XzIwMTjmp5DmoJE2" </w:instrText>
      </w:r>
      <w:r>
        <w:fldChar w:fldCharType="separate"/>
      </w:r>
      <w:r>
        <w:fldChar w:fldCharType="end"/>
      </w:r>
      <w:r>
        <w:rPr>
          <w:rFonts w:hint="eastAsia" w:ascii="仿宋_GB2312" w:eastAsia="仿宋_GB2312"/>
          <w:sz w:val="32"/>
          <w:szCs w:val="22"/>
          <w:lang w:bidi="ar"/>
        </w:rPr>
        <w:t>供电设备要求应符合下列规定：</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a.供电系统所使用的设备，其电力设计与安装应符合相关产品安全标准。</w:t>
      </w:r>
      <w:r>
        <w:rPr>
          <w:rFonts w:hint="eastAsia" w:ascii="仿宋_GB2312" w:eastAsia="仿宋_GB2312"/>
          <w:sz w:val="32"/>
          <w:szCs w:val="22"/>
          <w:lang w:bidi="ar"/>
        </w:rPr>
        <w:br w:type="textWrapping"/>
      </w:r>
      <w:r>
        <w:rPr>
          <w:rFonts w:hint="eastAsia" w:ascii="仿宋_GB2312" w:eastAsia="仿宋_GB2312"/>
          <w:sz w:val="32"/>
          <w:szCs w:val="22"/>
          <w:lang w:bidi="ar"/>
        </w:rPr>
        <w:t>  b.人员用电安全应符合现行国家标准《用电安全导则》GB/T 13869-</w:t>
      </w:r>
      <w:r>
        <w:rPr>
          <w:rFonts w:ascii="仿宋_GB2312" w:eastAsia="仿宋_GB2312"/>
          <w:sz w:val="32"/>
          <w:szCs w:val="22"/>
          <w:lang w:bidi="ar"/>
        </w:rPr>
        <w:t>2017</w:t>
      </w:r>
      <w:r>
        <w:rPr>
          <w:rFonts w:hint="eastAsia" w:ascii="仿宋_GB2312" w:eastAsia="仿宋_GB2312"/>
          <w:sz w:val="32"/>
          <w:szCs w:val="22"/>
          <w:lang w:bidi="ar"/>
        </w:rPr>
        <w:t>的有关规定。</w:t>
      </w:r>
      <w:r>
        <w:rPr>
          <w:rFonts w:hint="eastAsia" w:ascii="仿宋_GB2312" w:eastAsia="仿宋_GB2312"/>
          <w:sz w:val="32"/>
          <w:szCs w:val="22"/>
          <w:lang w:bidi="ar"/>
        </w:rPr>
        <w:br w:type="textWrapping"/>
      </w:r>
      <w:r>
        <w:rPr>
          <w:rFonts w:hint="eastAsia" w:ascii="仿宋_GB2312" w:eastAsia="仿宋_GB2312"/>
          <w:sz w:val="32"/>
          <w:szCs w:val="22"/>
          <w:lang w:bidi="ar"/>
        </w:rPr>
        <w:t>  c.供电应符合现行国家标准《电流动作保护装置安装和运行》GB 13955-</w:t>
      </w:r>
      <w:r>
        <w:rPr>
          <w:rFonts w:ascii="仿宋_GB2312" w:eastAsia="仿宋_GB2312"/>
          <w:sz w:val="32"/>
          <w:szCs w:val="22"/>
          <w:lang w:bidi="ar"/>
        </w:rPr>
        <w:t>2017</w:t>
      </w:r>
      <w:r>
        <w:rPr>
          <w:rFonts w:hint="eastAsia" w:ascii="仿宋_GB2312" w:eastAsia="仿宋_GB2312"/>
          <w:sz w:val="32"/>
          <w:szCs w:val="22"/>
          <w:lang w:bidi="ar"/>
        </w:rPr>
        <w:t>的有关规定。</w:t>
      </w:r>
      <w:r>
        <w:rPr>
          <w:rFonts w:hint="eastAsia" w:ascii="仿宋_GB2312" w:eastAsia="仿宋_GB2312"/>
          <w:sz w:val="32"/>
          <w:szCs w:val="22"/>
          <w:lang w:bidi="ar"/>
        </w:rPr>
        <w:br w:type="textWrapping"/>
      </w:r>
      <w:r>
        <w:rPr>
          <w:rFonts w:hint="eastAsia" w:ascii="仿宋_GB2312" w:eastAsia="仿宋_GB2312"/>
          <w:sz w:val="32"/>
          <w:szCs w:val="22"/>
          <w:lang w:bidi="ar"/>
        </w:rPr>
        <w:t>  d.充电设施及配电设备金属外壳及裸露的金属部分应可靠接地。</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3.调试</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（1）充电设施安装完毕投入使用前，应进行系统调试，并提供系统调试报告。</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w:t>
      </w:r>
      <w:r>
        <w:fldChar w:fldCharType="begin"/>
      </w:r>
      <w:r>
        <w:instrText xml:space="preserve"> HYPERLINK "http://www.loveguifan.cn/gfzhang.php?gf=5bGF5L2P5Yy655S15Yqo5rG96L2m5YWF55S16K6+5pa95oqA5pyv6KeE56iLX1RDRUNTNTA4XzIwMTjmp5DmoJE3" </w:instrText>
      </w:r>
      <w:r>
        <w:fldChar w:fldCharType="separate"/>
      </w:r>
      <w:r>
        <w:fldChar w:fldCharType="end"/>
      </w:r>
      <w:r>
        <w:rPr>
          <w:rFonts w:hint="eastAsia" w:ascii="仿宋_GB2312" w:eastAsia="仿宋_GB2312"/>
          <w:sz w:val="32"/>
          <w:szCs w:val="22"/>
          <w:lang w:bidi="ar"/>
        </w:rPr>
        <w:t>充电设施调试应包括充电桩调试、配电系统调试、监控管理平台调试以及整个系统的联动调试。</w:t>
      </w:r>
    </w:p>
    <w:p>
      <w:pPr>
        <w:spacing w:line="590" w:lineRule="exact"/>
        <w:ind w:firstLine="640" w:firstLineChars="200"/>
        <w:jc w:val="left"/>
        <w:rPr>
          <w:rFonts w:hint="eastAsia" w:ascii="仿宋_GB2312" w:eastAsia="仿宋_GB2312"/>
          <w:sz w:val="32"/>
          <w:szCs w:val="22"/>
          <w:lang w:eastAsia="zh-CN" w:bidi="ar"/>
        </w:rPr>
      </w:pPr>
      <w:r>
        <w:rPr>
          <w:rFonts w:hint="eastAsia" w:ascii="仿宋_GB2312" w:eastAsia="仿宋_GB2312"/>
          <w:sz w:val="32"/>
          <w:szCs w:val="22"/>
          <w:lang w:bidi="ar"/>
        </w:rPr>
        <w:t>（3）</w:t>
      </w:r>
      <w:r>
        <w:fldChar w:fldCharType="begin"/>
      </w:r>
      <w:r>
        <w:instrText xml:space="preserve"> HYPERLINK "http://www.loveguifan.cn/gfzhang.php?gf=5bGF5L2P5Yy655S15Yqo5rG96L2m5YWF55S16K6+5pa95oqA5pyv6KeE56iLX1RDRUNTNTA4XzIwMTjmp5DmoJE3" </w:instrText>
      </w:r>
      <w:r>
        <w:fldChar w:fldCharType="separate"/>
      </w:r>
      <w:r>
        <w:fldChar w:fldCharType="end"/>
      </w:r>
      <w:r>
        <w:rPr>
          <w:rFonts w:hint="eastAsia" w:ascii="仿宋_GB2312" w:eastAsia="仿宋_GB2312"/>
          <w:sz w:val="32"/>
          <w:szCs w:val="22"/>
          <w:lang w:bidi="ar"/>
        </w:rPr>
        <w:t>充电桩调试应包括下列内容</w:t>
      </w:r>
      <w:r>
        <w:rPr>
          <w:rFonts w:hint="eastAsia" w:ascii="仿宋_GB2312" w:eastAsia="仿宋_GB2312"/>
          <w:sz w:val="32"/>
          <w:szCs w:val="22"/>
          <w:lang w:eastAsia="zh-CN" w:bidi="ar"/>
        </w:rPr>
        <w:t>：</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a.充电桩的充电功能应实现。</w:t>
      </w:r>
    </w:p>
    <w:p>
      <w:pPr>
        <w:spacing w:line="590" w:lineRule="exact"/>
        <w:ind w:firstLine="640" w:firstLineChars="200"/>
        <w:jc w:val="left"/>
        <w:rPr>
          <w:rFonts w:ascii="仿宋_GB2312" w:eastAsia="仿宋_GB2312"/>
          <w:sz w:val="32"/>
          <w:szCs w:val="32"/>
        </w:rPr>
      </w:pPr>
      <w:r>
        <w:rPr>
          <w:rFonts w:hint="eastAsia" w:ascii="仿宋_GB2312" w:eastAsia="仿宋_GB2312"/>
          <w:sz w:val="32"/>
          <w:szCs w:val="32"/>
        </w:rPr>
        <w:t>b.充电桩的急停功能应正常。</w:t>
      </w:r>
    </w:p>
    <w:p>
      <w:pPr>
        <w:spacing w:line="590" w:lineRule="exact"/>
        <w:ind w:firstLine="640" w:firstLineChars="200"/>
        <w:jc w:val="left"/>
        <w:rPr>
          <w:rFonts w:ascii="仿宋_GB2312" w:eastAsia="仿宋_GB2312"/>
          <w:sz w:val="32"/>
          <w:szCs w:val="32"/>
        </w:rPr>
      </w:pPr>
      <w:r>
        <w:rPr>
          <w:rFonts w:hint="eastAsia" w:ascii="仿宋_GB2312" w:eastAsia="仿宋_GB2312"/>
          <w:sz w:val="32"/>
          <w:szCs w:val="32"/>
        </w:rPr>
        <w:t>c.漏电保护功能应可靠。</w:t>
      </w:r>
    </w:p>
    <w:p>
      <w:pPr>
        <w:spacing w:line="590" w:lineRule="exact"/>
        <w:ind w:firstLine="640" w:firstLineChars="200"/>
        <w:jc w:val="left"/>
        <w:rPr>
          <w:rFonts w:ascii="仿宋_GB2312" w:eastAsia="仿宋_GB2312"/>
          <w:sz w:val="32"/>
          <w:szCs w:val="32"/>
        </w:rPr>
      </w:pPr>
      <w:r>
        <w:rPr>
          <w:rFonts w:hint="eastAsia" w:ascii="仿宋_GB2312" w:eastAsia="仿宋_GB2312"/>
          <w:sz w:val="32"/>
          <w:szCs w:val="32"/>
        </w:rPr>
        <w:t>d.各项保护功能应正常。</w:t>
      </w:r>
    </w:p>
    <w:p>
      <w:pPr>
        <w:spacing w:line="590" w:lineRule="exact"/>
        <w:ind w:firstLine="640" w:firstLineChars="200"/>
        <w:jc w:val="left"/>
        <w:rPr>
          <w:rFonts w:ascii="仿宋_GB2312" w:eastAsia="仿宋_GB2312"/>
          <w:sz w:val="32"/>
          <w:szCs w:val="32"/>
        </w:rPr>
      </w:pPr>
      <w:r>
        <w:rPr>
          <w:rFonts w:hint="eastAsia" w:ascii="仿宋_GB2312" w:eastAsia="仿宋_GB2312"/>
          <w:sz w:val="32"/>
          <w:szCs w:val="32"/>
        </w:rPr>
        <w:t>e.技术合同规定的其他要求应满足。</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（4）</w:t>
      </w:r>
      <w:r>
        <w:fldChar w:fldCharType="begin"/>
      </w:r>
      <w:r>
        <w:instrText xml:space="preserve"> HYPERLINK "http://www.loveguifan.cn/gfzhang.php?gf=5bGF5L2P5Yy655S15Yqo5rG96L2m5YWF55S16K6+5pa95oqA5pyv6KeE56iLX1RDRUNTNTA4XzIwMTjmp5DmoJE3" </w:instrText>
      </w:r>
      <w:r>
        <w:fldChar w:fldCharType="separate"/>
      </w:r>
      <w:r>
        <w:fldChar w:fldCharType="end"/>
      </w:r>
      <w:r>
        <w:rPr>
          <w:rFonts w:hint="eastAsia" w:ascii="仿宋_GB2312" w:eastAsia="仿宋_GB2312"/>
          <w:sz w:val="32"/>
          <w:szCs w:val="22"/>
          <w:lang w:bidi="ar"/>
        </w:rPr>
        <w:t>配电系统调试应包括下列内容：</w:t>
      </w:r>
      <w:r>
        <w:rPr>
          <w:rFonts w:hint="eastAsia" w:ascii="仿宋_GB2312" w:eastAsia="仿宋_GB2312"/>
          <w:sz w:val="32"/>
          <w:szCs w:val="22"/>
          <w:lang w:bidi="ar"/>
        </w:rPr>
        <w:br w:type="textWrapping"/>
      </w:r>
      <w:r>
        <w:rPr>
          <w:rFonts w:hint="eastAsia" w:ascii="仿宋_GB2312" w:eastAsia="仿宋_GB2312"/>
          <w:sz w:val="32"/>
          <w:szCs w:val="22"/>
          <w:lang w:bidi="ar"/>
        </w:rPr>
        <w:t>  </w:t>
      </w:r>
      <w:r>
        <w:rPr>
          <w:rFonts w:ascii="仿宋_GB2312" w:eastAsia="仿宋_GB2312"/>
          <w:sz w:val="32"/>
          <w:szCs w:val="22"/>
          <w:lang w:bidi="ar"/>
        </w:rPr>
        <w:t>a</w:t>
      </w:r>
      <w:r>
        <w:rPr>
          <w:rFonts w:hint="eastAsia" w:ascii="仿宋_GB2312" w:eastAsia="仿宋_GB2312"/>
          <w:sz w:val="32"/>
          <w:szCs w:val="22"/>
          <w:lang w:bidi="ar"/>
        </w:rPr>
        <w:t>.防电击保护的测试。</w:t>
      </w:r>
      <w:r>
        <w:rPr>
          <w:rFonts w:hint="eastAsia" w:ascii="仿宋_GB2312" w:eastAsia="仿宋_GB2312"/>
          <w:sz w:val="32"/>
          <w:szCs w:val="22"/>
          <w:lang w:bidi="ar"/>
        </w:rPr>
        <w:br w:type="textWrapping"/>
      </w:r>
      <w:r>
        <w:rPr>
          <w:rFonts w:hint="eastAsia" w:ascii="仿宋_GB2312" w:eastAsia="仿宋_GB2312"/>
          <w:sz w:val="32"/>
          <w:szCs w:val="22"/>
          <w:lang w:bidi="ar"/>
        </w:rPr>
        <w:t>  </w:t>
      </w:r>
      <w:r>
        <w:rPr>
          <w:rFonts w:ascii="仿宋_GB2312" w:eastAsia="仿宋_GB2312"/>
          <w:sz w:val="32"/>
          <w:szCs w:val="22"/>
          <w:lang w:bidi="ar"/>
        </w:rPr>
        <w:t>b</w:t>
      </w:r>
      <w:r>
        <w:rPr>
          <w:rFonts w:hint="eastAsia" w:ascii="仿宋_GB2312" w:eastAsia="仿宋_GB2312"/>
          <w:sz w:val="32"/>
          <w:szCs w:val="22"/>
          <w:lang w:bidi="ar"/>
        </w:rPr>
        <w:t>.接地连续性测试。</w:t>
      </w:r>
      <w:r>
        <w:rPr>
          <w:rFonts w:hint="eastAsia" w:ascii="仿宋_GB2312" w:eastAsia="仿宋_GB2312"/>
          <w:sz w:val="32"/>
          <w:szCs w:val="22"/>
          <w:lang w:bidi="ar"/>
        </w:rPr>
        <w:br w:type="textWrapping"/>
      </w:r>
      <w:r>
        <w:rPr>
          <w:rFonts w:hint="eastAsia" w:ascii="仿宋_GB2312" w:eastAsia="仿宋_GB2312"/>
          <w:sz w:val="32"/>
          <w:szCs w:val="22"/>
          <w:lang w:bidi="ar"/>
        </w:rPr>
        <w:t>  </w:t>
      </w:r>
      <w:r>
        <w:rPr>
          <w:rFonts w:ascii="仿宋_GB2312" w:eastAsia="仿宋_GB2312"/>
          <w:sz w:val="32"/>
          <w:szCs w:val="22"/>
          <w:lang w:bidi="ar"/>
        </w:rPr>
        <w:t>c</w:t>
      </w:r>
      <w:r>
        <w:rPr>
          <w:rFonts w:hint="eastAsia" w:ascii="仿宋_GB2312" w:eastAsia="仿宋_GB2312"/>
          <w:sz w:val="32"/>
          <w:szCs w:val="22"/>
          <w:lang w:bidi="ar"/>
        </w:rPr>
        <w:t>.绝缘电阻的测试。</w:t>
      </w:r>
      <w:r>
        <w:rPr>
          <w:rFonts w:hint="eastAsia" w:ascii="仿宋_GB2312" w:eastAsia="仿宋_GB2312"/>
          <w:sz w:val="32"/>
          <w:szCs w:val="22"/>
          <w:lang w:bidi="ar"/>
        </w:rPr>
        <w:br w:type="textWrapping"/>
      </w:r>
      <w:r>
        <w:rPr>
          <w:rFonts w:hint="eastAsia" w:ascii="仿宋_GB2312" w:eastAsia="仿宋_GB2312"/>
          <w:sz w:val="32"/>
          <w:szCs w:val="22"/>
          <w:lang w:bidi="ar"/>
        </w:rPr>
        <w:t>  </w:t>
      </w:r>
      <w:r>
        <w:rPr>
          <w:rFonts w:ascii="仿宋_GB2312" w:eastAsia="仿宋_GB2312"/>
          <w:sz w:val="32"/>
          <w:szCs w:val="22"/>
          <w:lang w:bidi="ar"/>
        </w:rPr>
        <w:t>d</w:t>
      </w:r>
      <w:r>
        <w:rPr>
          <w:rFonts w:hint="eastAsia" w:ascii="仿宋_GB2312" w:eastAsia="仿宋_GB2312"/>
          <w:sz w:val="32"/>
          <w:szCs w:val="22"/>
          <w:lang w:bidi="ar"/>
        </w:rPr>
        <w:t>.回路阻抗的测试。</w:t>
      </w:r>
      <w:r>
        <w:rPr>
          <w:rFonts w:hint="eastAsia" w:ascii="仿宋_GB2312" w:eastAsia="仿宋_GB2312"/>
          <w:sz w:val="32"/>
          <w:szCs w:val="22"/>
          <w:lang w:bidi="ar"/>
        </w:rPr>
        <w:br w:type="textWrapping"/>
      </w:r>
      <w:r>
        <w:rPr>
          <w:rFonts w:hint="eastAsia" w:ascii="仿宋_GB2312" w:eastAsia="仿宋_GB2312"/>
          <w:sz w:val="32"/>
          <w:szCs w:val="22"/>
          <w:lang w:bidi="ar"/>
        </w:rPr>
        <w:t>  </w:t>
      </w:r>
      <w:r>
        <w:rPr>
          <w:rFonts w:ascii="仿宋_GB2312" w:eastAsia="仿宋_GB2312"/>
          <w:sz w:val="32"/>
          <w:szCs w:val="22"/>
          <w:lang w:bidi="ar"/>
        </w:rPr>
        <w:t>e</w:t>
      </w:r>
      <w:r>
        <w:rPr>
          <w:rFonts w:hint="eastAsia" w:ascii="仿宋_GB2312" w:eastAsia="仿宋_GB2312"/>
          <w:sz w:val="32"/>
          <w:szCs w:val="22"/>
          <w:lang w:bidi="ar"/>
        </w:rPr>
        <w:t>.接地可靠性测试。</w:t>
      </w:r>
      <w:r>
        <w:rPr>
          <w:rFonts w:hint="eastAsia" w:ascii="仿宋_GB2312" w:eastAsia="仿宋_GB2312"/>
          <w:sz w:val="32"/>
          <w:szCs w:val="22"/>
          <w:lang w:bidi="ar"/>
        </w:rPr>
        <w:br w:type="textWrapping"/>
      </w:r>
      <w:r>
        <w:rPr>
          <w:rFonts w:hint="eastAsia" w:ascii="仿宋_GB2312" w:eastAsia="仿宋_GB2312"/>
          <w:sz w:val="32"/>
          <w:szCs w:val="22"/>
          <w:lang w:bidi="ar"/>
        </w:rPr>
        <w:t>  </w:t>
      </w:r>
      <w:r>
        <w:rPr>
          <w:rFonts w:ascii="仿宋_GB2312" w:eastAsia="仿宋_GB2312"/>
          <w:sz w:val="32"/>
          <w:szCs w:val="22"/>
          <w:lang w:bidi="ar"/>
        </w:rPr>
        <w:t>f</w:t>
      </w:r>
      <w:r>
        <w:rPr>
          <w:rFonts w:hint="eastAsia" w:ascii="仿宋_GB2312" w:eastAsia="仿宋_GB2312"/>
          <w:sz w:val="32"/>
          <w:szCs w:val="22"/>
          <w:lang w:bidi="ar"/>
        </w:rPr>
        <w:t>.耐压测试。</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（5）</w:t>
      </w:r>
      <w:r>
        <w:fldChar w:fldCharType="begin"/>
      </w:r>
      <w:r>
        <w:instrText xml:space="preserve"> HYPERLINK "http://www.loveguifan.cn/gfzhang.php?gf=5bGF5L2P5Yy655S15Yqo5rG96L2m5YWF55S16K6+5pa95oqA5pyv6KeE56iLX1RDRUNTNTA4XzIwMTjmp5DmoJE3" </w:instrText>
      </w:r>
      <w:r>
        <w:fldChar w:fldCharType="separate"/>
      </w:r>
      <w:r>
        <w:fldChar w:fldCharType="end"/>
      </w:r>
      <w:r>
        <w:fldChar w:fldCharType="begin"/>
      </w:r>
      <w:r>
        <w:instrText xml:space="preserve"> HYPERLINK "http://www.loveguifan.cn/gfzhang.php?gf=5bGF5L2P5Yy655S15Yqo5rG96L2m5YWF55S16K6+5pa95oqA5pyv6KeE56iLX1RDRUNTNTA4XzIwMTjmp5DmoJE3" </w:instrText>
      </w:r>
      <w:r>
        <w:fldChar w:fldCharType="separate"/>
      </w:r>
      <w:r>
        <w:fldChar w:fldCharType="end"/>
      </w:r>
      <w:r>
        <w:rPr>
          <w:rFonts w:hint="eastAsia" w:ascii="仿宋_GB2312" w:eastAsia="仿宋_GB2312"/>
          <w:sz w:val="32"/>
          <w:szCs w:val="22"/>
          <w:lang w:bidi="ar"/>
        </w:rPr>
        <w:t>监控管理平台的调试应包括下列内容：</w:t>
      </w:r>
      <w:r>
        <w:rPr>
          <w:rFonts w:hint="eastAsia" w:ascii="仿宋_GB2312" w:eastAsia="仿宋_GB2312"/>
          <w:sz w:val="32"/>
          <w:szCs w:val="22"/>
          <w:lang w:bidi="ar"/>
        </w:rPr>
        <w:br w:type="textWrapping"/>
      </w:r>
      <w:r>
        <w:rPr>
          <w:rFonts w:hint="eastAsia" w:ascii="仿宋_GB2312" w:eastAsia="仿宋_GB2312"/>
          <w:sz w:val="32"/>
          <w:szCs w:val="22"/>
          <w:lang w:bidi="ar"/>
        </w:rPr>
        <w:t>  </w:t>
      </w:r>
      <w:r>
        <w:rPr>
          <w:rFonts w:ascii="仿宋_GB2312" w:eastAsia="仿宋_GB2312"/>
          <w:sz w:val="32"/>
          <w:szCs w:val="22"/>
          <w:lang w:bidi="ar"/>
        </w:rPr>
        <w:t>a</w:t>
      </w:r>
      <w:r>
        <w:rPr>
          <w:rFonts w:hint="eastAsia" w:ascii="仿宋_GB2312" w:eastAsia="仿宋_GB2312"/>
          <w:sz w:val="32"/>
          <w:szCs w:val="22"/>
          <w:lang w:bidi="ar"/>
        </w:rPr>
        <w:t>.所有充电桩在线状态应能稳定监控。</w:t>
      </w:r>
      <w:r>
        <w:rPr>
          <w:rFonts w:hint="eastAsia" w:ascii="仿宋_GB2312" w:eastAsia="仿宋_GB2312"/>
          <w:sz w:val="32"/>
          <w:szCs w:val="22"/>
          <w:lang w:bidi="ar"/>
        </w:rPr>
        <w:br w:type="textWrapping"/>
      </w:r>
      <w:r>
        <w:rPr>
          <w:rFonts w:hint="eastAsia" w:ascii="仿宋_GB2312" w:eastAsia="仿宋_GB2312"/>
          <w:sz w:val="32"/>
          <w:szCs w:val="22"/>
          <w:lang w:bidi="ar"/>
        </w:rPr>
        <w:t>  </w:t>
      </w:r>
      <w:r>
        <w:rPr>
          <w:rFonts w:ascii="仿宋_GB2312" w:eastAsia="仿宋_GB2312"/>
          <w:sz w:val="32"/>
          <w:szCs w:val="22"/>
          <w:lang w:bidi="ar"/>
        </w:rPr>
        <w:t>b</w:t>
      </w:r>
      <w:r>
        <w:rPr>
          <w:rFonts w:hint="eastAsia" w:ascii="仿宋_GB2312" w:eastAsia="仿宋_GB2312"/>
          <w:sz w:val="32"/>
          <w:szCs w:val="22"/>
          <w:lang w:bidi="ar"/>
        </w:rPr>
        <w:t>.充电过程的状态应能实时监控。</w:t>
      </w:r>
      <w:r>
        <w:rPr>
          <w:rFonts w:hint="eastAsia" w:ascii="仿宋_GB2312" w:eastAsia="仿宋_GB2312"/>
          <w:sz w:val="32"/>
          <w:szCs w:val="22"/>
          <w:lang w:bidi="ar"/>
        </w:rPr>
        <w:br w:type="textWrapping"/>
      </w:r>
      <w:r>
        <w:rPr>
          <w:rFonts w:hint="eastAsia" w:ascii="仿宋_GB2312" w:eastAsia="仿宋_GB2312"/>
          <w:sz w:val="32"/>
          <w:szCs w:val="22"/>
          <w:lang w:bidi="ar"/>
        </w:rPr>
        <w:t>  </w:t>
      </w:r>
      <w:r>
        <w:rPr>
          <w:rFonts w:ascii="仿宋_GB2312" w:eastAsia="仿宋_GB2312"/>
          <w:sz w:val="32"/>
          <w:szCs w:val="22"/>
          <w:lang w:bidi="ar"/>
        </w:rPr>
        <w:t>c</w:t>
      </w:r>
      <w:r>
        <w:rPr>
          <w:rFonts w:hint="eastAsia" w:ascii="仿宋_GB2312" w:eastAsia="仿宋_GB2312"/>
          <w:sz w:val="32"/>
          <w:szCs w:val="22"/>
          <w:lang w:bidi="ar"/>
        </w:rPr>
        <w:t>.充电桩故障状态应能实时监控。</w:t>
      </w:r>
      <w:r>
        <w:rPr>
          <w:rFonts w:hint="eastAsia" w:ascii="仿宋_GB2312" w:eastAsia="仿宋_GB2312"/>
          <w:sz w:val="32"/>
          <w:szCs w:val="22"/>
          <w:lang w:bidi="ar"/>
        </w:rPr>
        <w:br w:type="textWrapping"/>
      </w:r>
      <w:r>
        <w:rPr>
          <w:rFonts w:hint="eastAsia" w:ascii="仿宋_GB2312" w:eastAsia="仿宋_GB2312"/>
          <w:sz w:val="32"/>
          <w:szCs w:val="22"/>
          <w:lang w:bidi="ar"/>
        </w:rPr>
        <w:t>  </w:t>
      </w:r>
      <w:r>
        <w:rPr>
          <w:rFonts w:ascii="仿宋_GB2312" w:eastAsia="仿宋_GB2312"/>
          <w:sz w:val="32"/>
          <w:szCs w:val="22"/>
          <w:lang w:bidi="ar"/>
        </w:rPr>
        <w:t>d</w:t>
      </w:r>
      <w:r>
        <w:rPr>
          <w:rFonts w:hint="eastAsia" w:ascii="仿宋_GB2312" w:eastAsia="仿宋_GB2312"/>
          <w:sz w:val="32"/>
          <w:szCs w:val="22"/>
          <w:lang w:bidi="ar"/>
        </w:rPr>
        <w:t>.监控相关数据应准确。</w:t>
      </w:r>
      <w:r>
        <w:rPr>
          <w:rFonts w:hint="eastAsia" w:ascii="仿宋_GB2312" w:eastAsia="仿宋_GB2312"/>
          <w:sz w:val="32"/>
          <w:szCs w:val="22"/>
          <w:lang w:bidi="ar"/>
        </w:rPr>
        <w:br w:type="textWrapping"/>
      </w:r>
      <w:r>
        <w:rPr>
          <w:rFonts w:hint="eastAsia" w:ascii="仿宋_GB2312" w:eastAsia="仿宋_GB2312"/>
          <w:sz w:val="32"/>
          <w:szCs w:val="22"/>
          <w:lang w:bidi="ar"/>
        </w:rPr>
        <w:t>  </w:t>
      </w:r>
      <w:r>
        <w:rPr>
          <w:rFonts w:ascii="仿宋_GB2312" w:eastAsia="仿宋_GB2312"/>
          <w:sz w:val="32"/>
          <w:szCs w:val="22"/>
          <w:lang w:bidi="ar"/>
        </w:rPr>
        <w:t>e</w:t>
      </w:r>
      <w:r>
        <w:rPr>
          <w:rFonts w:hint="eastAsia" w:ascii="仿宋_GB2312" w:eastAsia="仿宋_GB2312"/>
          <w:sz w:val="32"/>
          <w:szCs w:val="22"/>
          <w:lang w:bidi="ar"/>
        </w:rPr>
        <w:t>.监控相关数据应完整并可靠保存。</w:t>
      </w:r>
      <w:r>
        <w:rPr>
          <w:rFonts w:hint="eastAsia" w:ascii="仿宋_GB2312" w:eastAsia="仿宋_GB2312"/>
          <w:sz w:val="32"/>
          <w:szCs w:val="22"/>
          <w:lang w:bidi="ar"/>
        </w:rPr>
        <w:br w:type="textWrapping"/>
      </w:r>
      <w:r>
        <w:rPr>
          <w:rFonts w:hint="eastAsia" w:ascii="仿宋_GB2312" w:eastAsia="仿宋_GB2312"/>
          <w:sz w:val="32"/>
          <w:szCs w:val="22"/>
          <w:lang w:bidi="ar"/>
        </w:rPr>
        <w:t>  </w:t>
      </w:r>
      <w:r>
        <w:rPr>
          <w:rFonts w:ascii="仿宋_GB2312" w:eastAsia="仿宋_GB2312"/>
          <w:sz w:val="32"/>
          <w:szCs w:val="22"/>
          <w:lang w:bidi="ar"/>
        </w:rPr>
        <w:t>f</w:t>
      </w:r>
      <w:r>
        <w:rPr>
          <w:rFonts w:hint="eastAsia" w:ascii="仿宋_GB2312" w:eastAsia="仿宋_GB2312"/>
          <w:sz w:val="32"/>
          <w:szCs w:val="22"/>
          <w:lang w:bidi="ar"/>
        </w:rPr>
        <w:t>.技术合同规定的其他要求应满足。</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（6）</w:t>
      </w:r>
      <w:r>
        <w:fldChar w:fldCharType="begin"/>
      </w:r>
      <w:r>
        <w:instrText xml:space="preserve"> HYPERLINK "http://www.loveguifan.cn/gfresults.php?gf=5bGF5L2P5Yy655S15Yqo5rG96L2m5YWF55S16K6+5pa95oqA5pyv6KeE56iLX1RDRUNTNTA4XzIwMTjmp5DmoJHlsYXkvY/ljLrnlLXliqjmsb3ovablhYXnlLXorr7mlr3mioDmnK/javascript:;" </w:instrText>
      </w:r>
      <w:r>
        <w:fldChar w:fldCharType="separate"/>
      </w:r>
      <w:r>
        <w:rPr>
          <w:rFonts w:hint="eastAsia" w:ascii="仿宋_GB2312" w:eastAsia="仿宋_GB2312"/>
          <w:sz w:val="32"/>
          <w:szCs w:val="22"/>
          <w:lang w:bidi="ar"/>
        </w:rPr>
        <w:t>系统联动调试完成后，系统应连续运行72h，充电设备、配电设备及监控平台的联动应协调，动作正确，无异常现象。</w:t>
      </w:r>
      <w:r>
        <w:rPr>
          <w:rFonts w:hint="eastAsia" w:ascii="仿宋_GB2312" w:eastAsia="仿宋_GB2312"/>
          <w:sz w:val="32"/>
          <w:szCs w:val="22"/>
          <w:lang w:bidi="ar"/>
        </w:rPr>
        <w:fldChar w:fldCharType="end"/>
      </w:r>
    </w:p>
    <w:p>
      <w:pPr>
        <w:pStyle w:val="3"/>
        <w:spacing w:before="0" w:after="0" w:line="590" w:lineRule="exact"/>
        <w:ind w:firstLine="640" w:firstLineChars="200"/>
        <w:jc w:val="left"/>
        <w:rPr>
          <w:rFonts w:ascii="Times New Roman" w:hAnsi="Times New Roman" w:eastAsia="楷体_GB2312"/>
          <w:b w:val="0"/>
          <w:bCs w:val="0"/>
          <w:lang w:bidi="ar"/>
        </w:rPr>
      </w:pPr>
      <w:bookmarkStart w:id="106" w:name="_Toc78835201"/>
      <w:bookmarkStart w:id="107" w:name="_Toc3830"/>
      <w:bookmarkStart w:id="108" w:name="_Toc78835297"/>
      <w:r>
        <w:rPr>
          <w:rFonts w:hint="eastAsia" w:ascii="Times New Roman" w:hAnsi="Times New Roman" w:eastAsia="楷体_GB2312"/>
          <w:b w:val="0"/>
          <w:bCs w:val="0"/>
          <w:lang w:bidi="ar"/>
        </w:rPr>
        <w:t>（四）验收要求</w:t>
      </w:r>
      <w:bookmarkEnd w:id="106"/>
      <w:bookmarkEnd w:id="107"/>
      <w:bookmarkEnd w:id="108"/>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1.充电设施工程验收应符合下列规定：</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（1）工程所包含的子项工程质量均应验收合格。</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（2）质量控制资料应完整。</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（3）工程所包含的子项工程有关安全和功能检验、检测资料应完整。</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2.充电系统工程验收应提交下列资料：</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（1）开工报告。</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（2）设计文件、设计变更和竣工图。</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（3）相关设备及主要材料的出厂合格证、检验报告及进场检查记录。</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（4）施工过程记录。</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（5）充电设施现场验收记录。</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（6）供电设备现场验收记录。</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（7）监控管理平台现场验收记录。</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（8）系统联动调试及试运行记录。</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（9）工程使用维护说明书。</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（10）施工单位资质证书。</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（11）消防验收资料应完整。</w:t>
      </w:r>
    </w:p>
    <w:p>
      <w:pPr>
        <w:pStyle w:val="3"/>
        <w:spacing w:before="0" w:after="0" w:line="590" w:lineRule="exact"/>
        <w:ind w:firstLine="640" w:firstLineChars="200"/>
        <w:jc w:val="left"/>
        <w:rPr>
          <w:rFonts w:ascii="Times New Roman" w:hAnsi="Times New Roman" w:eastAsia="楷体_GB2312"/>
          <w:b w:val="0"/>
          <w:bCs w:val="0"/>
          <w:lang w:bidi="ar"/>
        </w:rPr>
      </w:pPr>
      <w:bookmarkStart w:id="109" w:name="_Toc78835298"/>
      <w:bookmarkStart w:id="110" w:name="_Toc23110"/>
      <w:bookmarkStart w:id="111" w:name="_Toc78835202"/>
      <w:r>
        <w:rPr>
          <w:rFonts w:hint="eastAsia" w:ascii="Times New Roman" w:hAnsi="Times New Roman" w:eastAsia="楷体_GB2312"/>
          <w:b w:val="0"/>
          <w:bCs w:val="0"/>
          <w:lang w:bidi="ar"/>
        </w:rPr>
        <w:t>（五）安全要求</w:t>
      </w:r>
      <w:bookmarkEnd w:id="109"/>
      <w:bookmarkEnd w:id="110"/>
      <w:bookmarkEnd w:id="111"/>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1.一般规定</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w:t>
      </w:r>
      <w:r>
        <w:fldChar w:fldCharType="begin"/>
      </w:r>
      <w:r>
        <w:instrText xml:space="preserve"> HYPERLINK "http://www.loveguifan.cn/gfzhang.php?gf=5bGF5L2P5Yy655S15Yqo5rG96L2m5YWF55S16K6+5pa95oqA5pyv6KeE56iLX1RDRUNTNTA4XzIwMTjmp5DmoJE1" </w:instrText>
      </w:r>
      <w:r>
        <w:fldChar w:fldCharType="separate"/>
      </w:r>
      <w:r>
        <w:fldChar w:fldCharType="end"/>
      </w:r>
      <w:r>
        <w:rPr>
          <w:rFonts w:hint="eastAsia" w:ascii="仿宋_GB2312" w:eastAsia="仿宋_GB2312"/>
          <w:sz w:val="32"/>
          <w:szCs w:val="22"/>
          <w:lang w:bidi="ar"/>
        </w:rPr>
        <w:t>充电设施温度、湿度等使用条件应符合现行国家标准《电动汽车传导充电系统</w:t>
      </w:r>
      <w:r>
        <w:rPr>
          <w:rFonts w:ascii="仿宋_GB2312" w:eastAsia="仿宋_GB2312"/>
          <w:sz w:val="32"/>
          <w:szCs w:val="22"/>
          <w:lang w:bidi="ar"/>
        </w:rPr>
        <w:t xml:space="preserve"> </w:t>
      </w:r>
      <w:r>
        <w:rPr>
          <w:rFonts w:hint="eastAsia" w:ascii="仿宋_GB2312" w:eastAsia="仿宋_GB2312"/>
          <w:sz w:val="32"/>
          <w:szCs w:val="22"/>
          <w:lang w:bidi="ar"/>
        </w:rPr>
        <w:t>第</w:t>
      </w:r>
      <w:r>
        <w:rPr>
          <w:rFonts w:ascii="仿宋_GB2312" w:eastAsia="仿宋_GB2312"/>
          <w:sz w:val="32"/>
          <w:szCs w:val="22"/>
          <w:lang w:bidi="ar"/>
        </w:rPr>
        <w:t>1</w:t>
      </w:r>
      <w:r>
        <w:rPr>
          <w:rFonts w:hint="eastAsia" w:ascii="仿宋_GB2312" w:eastAsia="仿宋_GB2312"/>
          <w:sz w:val="32"/>
          <w:szCs w:val="22"/>
          <w:lang w:bidi="ar"/>
        </w:rPr>
        <w:t>部分：通用要求》</w:t>
      </w:r>
      <w:r>
        <w:rPr>
          <w:rFonts w:ascii="仿宋_GB2312" w:eastAsia="仿宋_GB2312"/>
          <w:sz w:val="32"/>
          <w:szCs w:val="22"/>
          <w:lang w:bidi="ar"/>
        </w:rPr>
        <w:t>GB/T 18487.1</w:t>
      </w:r>
      <w:r>
        <w:rPr>
          <w:rFonts w:hint="eastAsia" w:ascii="仿宋_GB2312" w:eastAsia="仿宋_GB2312"/>
          <w:sz w:val="32"/>
          <w:szCs w:val="22"/>
          <w:lang w:bidi="ar"/>
        </w:rPr>
        <w:t>-</w:t>
      </w:r>
      <w:r>
        <w:rPr>
          <w:rFonts w:ascii="仿宋_GB2312" w:eastAsia="仿宋_GB2312"/>
          <w:sz w:val="32"/>
          <w:szCs w:val="22"/>
          <w:lang w:bidi="ar"/>
        </w:rPr>
        <w:t>2015</w:t>
      </w:r>
      <w:r>
        <w:rPr>
          <w:rFonts w:hint="eastAsia" w:ascii="仿宋_GB2312" w:eastAsia="仿宋_GB2312"/>
          <w:sz w:val="32"/>
          <w:szCs w:val="22"/>
          <w:lang w:bidi="ar"/>
        </w:rPr>
        <w:t>中的相关规定。</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w:t>
      </w:r>
      <w:r>
        <w:fldChar w:fldCharType="begin"/>
      </w:r>
      <w:r>
        <w:instrText xml:space="preserve"> HYPERLINK "http://www.loveguifan.cn/gfzhang.php?gf=5bGF5L2P5Yy655S15Yqo5rG96L2m5YWF55S16K6+5pa95oqA5pyv6KeE56iLX1RDRUNTNTA4XzIwMTjmp5DmoJE1" </w:instrText>
      </w:r>
      <w:r>
        <w:fldChar w:fldCharType="separate"/>
      </w:r>
      <w:r>
        <w:fldChar w:fldCharType="end"/>
      </w:r>
      <w:r>
        <w:rPr>
          <w:rFonts w:hint="eastAsia" w:ascii="仿宋_GB2312" w:eastAsia="仿宋_GB2312"/>
          <w:sz w:val="32"/>
          <w:szCs w:val="22"/>
          <w:lang w:bidi="ar"/>
        </w:rPr>
        <w:t>充电设施设置的通风方式应确保充电装置相关电气设备在设计工况下安全运行。</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（3）</w:t>
      </w:r>
      <w:r>
        <w:fldChar w:fldCharType="begin"/>
      </w:r>
      <w:r>
        <w:instrText xml:space="preserve"> HYPERLINK "http://www.loveguifan.cn/gfzhang.php?gf=5bGF5L2P5Yy655S15Yqo5rG96L2m5YWF55S16K6+5pa95oqA5pyv6KeE56iLX1RDRUNTNTA4XzIwMTjmp5DmoJE1" </w:instrText>
      </w:r>
      <w:r>
        <w:fldChar w:fldCharType="separate"/>
      </w:r>
      <w:r>
        <w:fldChar w:fldCharType="end"/>
      </w:r>
      <w:r>
        <w:rPr>
          <w:rFonts w:hint="eastAsia" w:ascii="仿宋_GB2312" w:eastAsia="仿宋_GB2312"/>
          <w:sz w:val="32"/>
          <w:szCs w:val="22"/>
          <w:lang w:bidi="ar"/>
        </w:rPr>
        <w:t>充电设施场地应有良好的消防和排水系统，保证充电装置的电力安全。</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（4）</w:t>
      </w:r>
      <w:r>
        <w:fldChar w:fldCharType="begin"/>
      </w:r>
      <w:r>
        <w:instrText xml:space="preserve"> HYPERLINK "http://www.loveguifan.cn/gfzhang.php?gf=5bGF5L2P5Yy655S15Yqo5rG96L2m5YWF55S16K6+5pa95oqA5pyv6KeE56iLX1RDRUNTNTA4XzIwMTjmp5DmoJE1" </w:instrText>
      </w:r>
      <w:r>
        <w:fldChar w:fldCharType="separate"/>
      </w:r>
      <w:r>
        <w:fldChar w:fldCharType="end"/>
      </w:r>
      <w:r>
        <w:rPr>
          <w:rFonts w:hint="eastAsia" w:ascii="仿宋_GB2312" w:eastAsia="仿宋_GB2312"/>
          <w:sz w:val="32"/>
          <w:szCs w:val="22"/>
          <w:lang w:bidi="ar"/>
        </w:rPr>
        <w:t>充电设施场地应便于充电区人员的安全撤离。</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（5）</w:t>
      </w:r>
      <w:r>
        <w:fldChar w:fldCharType="begin"/>
      </w:r>
      <w:r>
        <w:instrText xml:space="preserve"> HYPERLINK "http://www.loveguifan.cn/gfzhang.php?gf=5bGF5L2P5Yy655S15Yqo5rG96L2m5YWF55S16K6+5pa95oqA5pyv6KeE56iLX1RDRUNTNTA4XzIwMTjmp5DmoJE1" </w:instrText>
      </w:r>
      <w:r>
        <w:fldChar w:fldCharType="separate"/>
      </w:r>
      <w:r>
        <w:fldChar w:fldCharType="end"/>
      </w:r>
      <w:r>
        <w:rPr>
          <w:rFonts w:hint="eastAsia" w:ascii="仿宋_GB2312" w:eastAsia="仿宋_GB2312"/>
          <w:sz w:val="32"/>
          <w:szCs w:val="22"/>
          <w:lang w:bidi="ar"/>
        </w:rPr>
        <w:t>充电设施以及充电操作过程中应提高被充电汽车、动力蓄电池和操作人员的安全性。</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（6）</w:t>
      </w:r>
      <w:r>
        <w:fldChar w:fldCharType="begin"/>
      </w:r>
      <w:r>
        <w:instrText xml:space="preserve"> HYPERLINK "http://www.loveguifan.cn/gfzhang.php?gf=5bGF5L2P5Yy655S15Yqo5rG96L2m5YWF55S16K6+5pa95oqA5pyv6KeE56iLX1RDRUNTNTA4XzIwMTjmp5DmoJE1" </w:instrText>
      </w:r>
      <w:r>
        <w:fldChar w:fldCharType="separate"/>
      </w:r>
      <w:r>
        <w:fldChar w:fldCharType="end"/>
      </w:r>
      <w:r>
        <w:rPr>
          <w:rFonts w:hint="eastAsia" w:ascii="仿宋_GB2312" w:eastAsia="仿宋_GB2312"/>
          <w:sz w:val="32"/>
          <w:szCs w:val="22"/>
          <w:lang w:bidi="ar"/>
        </w:rPr>
        <w:t>充电设施及场所应在醒目地方明确提供安全警告标识等。</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2.</w:t>
      </w:r>
      <w:r>
        <w:fldChar w:fldCharType="begin"/>
      </w:r>
      <w:r>
        <w:instrText xml:space="preserve"> HYPERLINK "http://www.loveguifan.cn/gfzhang.php?gf=5bGF5L2P5Yy655S15Yqo5rG96L2m5YWF55S16K6+5pa95oqA5pyv6KeE56iLX1RDRUNTNTA4XzIwMTjmp5DmoJE1" </w:instrText>
      </w:r>
      <w:r>
        <w:fldChar w:fldCharType="separate"/>
      </w:r>
      <w:r>
        <w:fldChar w:fldCharType="end"/>
      </w:r>
      <w:r>
        <w:fldChar w:fldCharType="begin"/>
      </w:r>
      <w:r>
        <w:instrText xml:space="preserve"> HYPERLINK "http://www.loveguifan.cn/gfzhang.php?gf=5bGF5L2P5Yy655S15Yqo5rG96L2m5YWF55S16K6+5pa95oqA5pyv6KeE56iLX1RDRUNTNTA4XzIwMTjmp5DmoJE1" </w:instrText>
      </w:r>
      <w:r>
        <w:fldChar w:fldCharType="separate"/>
      </w:r>
      <w:r>
        <w:fldChar w:fldCharType="end"/>
      </w:r>
      <w:r>
        <w:rPr>
          <w:rFonts w:hint="eastAsia" w:ascii="仿宋_GB2312" w:eastAsia="仿宋_GB2312"/>
          <w:sz w:val="32"/>
          <w:szCs w:val="22"/>
          <w:lang w:bidi="ar"/>
        </w:rPr>
        <w:t>设施防护</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w:t>
      </w:r>
      <w:r>
        <w:fldChar w:fldCharType="begin"/>
      </w:r>
      <w:r>
        <w:instrText xml:space="preserve"> HYPERLINK "http://www.loveguifan.cn/gfzhang.php?gf=5bGF5L2P5Yy655S15Yqo5rG96L2m5YWF55S16K6+5pa95oqA5pyv6KeE56iLX1RDRUNTNTA4XzIwMTjmp5DmoJE1" </w:instrText>
      </w:r>
      <w:r>
        <w:fldChar w:fldCharType="separate"/>
      </w:r>
      <w:r>
        <w:fldChar w:fldCharType="end"/>
      </w:r>
      <w:r>
        <w:rPr>
          <w:rFonts w:hint="eastAsia" w:ascii="仿宋_GB2312" w:eastAsia="仿宋_GB2312"/>
          <w:sz w:val="32"/>
          <w:szCs w:val="22"/>
          <w:lang w:bidi="ar"/>
        </w:rPr>
        <w:t>室内充电设施的防护等级不应低于</w:t>
      </w:r>
      <w:r>
        <w:rPr>
          <w:rFonts w:ascii="仿宋_GB2312" w:eastAsia="仿宋_GB2312"/>
          <w:sz w:val="32"/>
          <w:szCs w:val="22"/>
          <w:lang w:bidi="ar"/>
        </w:rPr>
        <w:t>IP32</w:t>
      </w:r>
      <w:r>
        <w:rPr>
          <w:rFonts w:hint="eastAsia" w:ascii="仿宋_GB2312" w:eastAsia="仿宋_GB2312"/>
          <w:sz w:val="32"/>
          <w:szCs w:val="22"/>
          <w:lang w:bidi="ar"/>
        </w:rPr>
        <w:t>。室外充电桩外壳防护等级不</w:t>
      </w:r>
      <w:r>
        <w:rPr>
          <w:rFonts w:ascii="仿宋_GB2312" w:eastAsia="仿宋_GB2312"/>
          <w:sz w:val="32"/>
          <w:szCs w:val="22"/>
          <w:lang w:bidi="ar"/>
        </w:rPr>
        <w:t>应</w:t>
      </w:r>
      <w:r>
        <w:rPr>
          <w:rFonts w:hint="eastAsia" w:ascii="仿宋_GB2312" w:eastAsia="仿宋_GB2312"/>
          <w:sz w:val="32"/>
          <w:szCs w:val="22"/>
          <w:lang w:bidi="ar"/>
        </w:rPr>
        <w:t>低于IP54。</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w:t>
      </w:r>
      <w:r>
        <w:fldChar w:fldCharType="begin"/>
      </w:r>
      <w:r>
        <w:instrText xml:space="preserve"> HYPERLINK "http://www.loveguifan.cn/gfzhang.php?gf=5bGF5L2P5Yy655S15Yqo5rG96L2m5YWF55S16K6+5pa95oqA5pyv6KeE56iLX1RDRUNTNTA4XzIwMTjmp5DmoJE1" </w:instrText>
      </w:r>
      <w:r>
        <w:fldChar w:fldCharType="separate"/>
      </w:r>
      <w:r>
        <w:fldChar w:fldCharType="end"/>
      </w:r>
      <w:r>
        <w:fldChar w:fldCharType="begin"/>
      </w:r>
      <w:r>
        <w:instrText xml:space="preserve"> HYPERLINK "http://www.loveguifan.cn/gfresults.php?gf=5bGF5L2P5Yy655S15Yqo5rG96L2m5YWF55S16K6+5pa95oqA5pyv6KeE56iLX1RDRUNTNTA4XzIwMTjmp5DmoJHlsYXkvY/ljLrnlLXliqjmsb3ovablhYXnlLXorr7mlr3mioDmnK/javascript:;" </w:instrText>
      </w:r>
      <w:r>
        <w:fldChar w:fldCharType="separate"/>
      </w:r>
      <w:r>
        <w:rPr>
          <w:rFonts w:hint="eastAsia" w:ascii="仿宋_GB2312" w:eastAsia="仿宋_GB2312"/>
          <w:sz w:val="32"/>
          <w:szCs w:val="22"/>
          <w:lang w:bidi="ar"/>
        </w:rPr>
        <w:t>充电设施场所宜建设视频监控系统，监控范围应完整覆盖充电设施、被充电车辆及人员。</w:t>
      </w:r>
      <w:r>
        <w:rPr>
          <w:rFonts w:hint="eastAsia" w:ascii="仿宋_GB2312" w:eastAsia="仿宋_GB2312"/>
          <w:sz w:val="32"/>
          <w:szCs w:val="22"/>
          <w:lang w:bidi="ar"/>
        </w:rPr>
        <w:fldChar w:fldCharType="end"/>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3.</w:t>
      </w:r>
      <w:r>
        <w:fldChar w:fldCharType="begin"/>
      </w:r>
      <w:r>
        <w:instrText xml:space="preserve"> HYPERLINK "http://www.loveguifan.cn/gfzhang.php?gf=5bGF5L2P5Yy655S15Yqo5rG96L2m5YWF55S16K6+5pa95oqA5pyv6KeE56iLX1RDRUNTNTA4XzIwMTjmp5DmoJE1" </w:instrText>
      </w:r>
      <w:r>
        <w:fldChar w:fldCharType="separate"/>
      </w:r>
      <w:r>
        <w:fldChar w:fldCharType="end"/>
      </w:r>
      <w:r>
        <w:rPr>
          <w:rFonts w:hint="eastAsia" w:ascii="仿宋_GB2312" w:eastAsia="仿宋_GB2312"/>
          <w:sz w:val="32"/>
          <w:szCs w:val="22"/>
          <w:lang w:bidi="ar"/>
        </w:rPr>
        <w:t>绝缘性能</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w:t>
      </w:r>
      <w:r>
        <w:fldChar w:fldCharType="begin"/>
      </w:r>
      <w:r>
        <w:instrText xml:space="preserve"> HYPERLINK "http://www.loveguifan.cn/gfzhang.php?gf=5bGF5L2P5Yy655S15Yqo5rG96L2m5YWF55S16K6+5pa95oqA5pyv6KeE56iLX1RDRUNTNTA4XzIwMTjmp5DmoJE1" </w:instrText>
      </w:r>
      <w:r>
        <w:fldChar w:fldCharType="separate"/>
      </w:r>
      <w:r>
        <w:fldChar w:fldCharType="end"/>
      </w:r>
      <w:r>
        <w:rPr>
          <w:rFonts w:hint="eastAsia" w:ascii="仿宋_GB2312" w:eastAsia="仿宋_GB2312"/>
          <w:sz w:val="32"/>
          <w:szCs w:val="22"/>
          <w:lang w:bidi="ar"/>
        </w:rPr>
        <w:t>充电设备输入、输出回路对地及输入、输出之间的绝缘电阻不</w:t>
      </w:r>
      <w:r>
        <w:rPr>
          <w:rFonts w:ascii="仿宋_GB2312" w:eastAsia="仿宋_GB2312"/>
          <w:sz w:val="32"/>
          <w:szCs w:val="22"/>
          <w:lang w:bidi="ar"/>
        </w:rPr>
        <w:t>应</w:t>
      </w:r>
      <w:r>
        <w:rPr>
          <w:rFonts w:hint="eastAsia" w:ascii="仿宋_GB2312" w:eastAsia="仿宋_GB2312"/>
          <w:sz w:val="32"/>
          <w:szCs w:val="22"/>
          <w:lang w:bidi="ar"/>
        </w:rPr>
        <w:t>小于</w:t>
      </w:r>
      <w:r>
        <w:rPr>
          <w:rFonts w:ascii="仿宋_GB2312" w:eastAsia="仿宋_GB2312"/>
          <w:sz w:val="32"/>
          <w:szCs w:val="22"/>
          <w:lang w:bidi="ar"/>
        </w:rPr>
        <w:t>10MΩ</w:t>
      </w:r>
      <w:r>
        <w:rPr>
          <w:rFonts w:hint="eastAsia" w:ascii="仿宋_GB2312" w:eastAsia="仿宋_GB2312"/>
          <w:sz w:val="32"/>
          <w:szCs w:val="22"/>
          <w:lang w:bidi="ar"/>
        </w:rPr>
        <w:t>。</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w:t>
      </w:r>
      <w:r>
        <w:fldChar w:fldCharType="begin"/>
      </w:r>
      <w:r>
        <w:instrText xml:space="preserve"> HYPERLINK "http://www.loveguifan.cn/gfzhang.php?gf=5bGF5L2P5Yy655S15Yqo5rG96L2m5YWF55S16K6+5pa95oqA5pyv6KeE56iLX1RDRUNTNTA4XzIwMTjmp5DmoJE1" </w:instrText>
      </w:r>
      <w:r>
        <w:fldChar w:fldCharType="separate"/>
      </w:r>
      <w:r>
        <w:fldChar w:fldCharType="end"/>
      </w:r>
      <w:r>
        <w:rPr>
          <w:rFonts w:hint="eastAsia" w:ascii="仿宋_GB2312" w:eastAsia="仿宋_GB2312"/>
          <w:sz w:val="32"/>
          <w:szCs w:val="22"/>
          <w:lang w:bidi="ar"/>
        </w:rPr>
        <w:t>充电装置的充电接口绝缘和介电强度应符合现行国家标准《电动汽车传导充电系统</w:t>
      </w:r>
      <w:r>
        <w:rPr>
          <w:rFonts w:ascii="仿宋_GB2312" w:eastAsia="仿宋_GB2312"/>
          <w:sz w:val="32"/>
          <w:szCs w:val="22"/>
          <w:lang w:bidi="ar"/>
        </w:rPr>
        <w:t xml:space="preserve"> </w:t>
      </w:r>
      <w:r>
        <w:rPr>
          <w:rFonts w:hint="eastAsia" w:ascii="仿宋_GB2312" w:eastAsia="仿宋_GB2312"/>
          <w:sz w:val="32"/>
          <w:szCs w:val="22"/>
          <w:lang w:bidi="ar"/>
        </w:rPr>
        <w:t>第</w:t>
      </w:r>
      <w:r>
        <w:rPr>
          <w:rFonts w:ascii="仿宋_GB2312" w:eastAsia="仿宋_GB2312"/>
          <w:sz w:val="32"/>
          <w:szCs w:val="22"/>
          <w:lang w:bidi="ar"/>
        </w:rPr>
        <w:t>1</w:t>
      </w:r>
      <w:r>
        <w:rPr>
          <w:rFonts w:hint="eastAsia" w:ascii="仿宋_GB2312" w:eastAsia="仿宋_GB2312"/>
          <w:sz w:val="32"/>
          <w:szCs w:val="22"/>
          <w:lang w:bidi="ar"/>
        </w:rPr>
        <w:t>部分：通用要求》</w:t>
      </w:r>
      <w:r>
        <w:rPr>
          <w:rFonts w:ascii="仿宋_GB2312" w:eastAsia="仿宋_GB2312"/>
          <w:sz w:val="32"/>
          <w:szCs w:val="22"/>
          <w:lang w:bidi="ar"/>
        </w:rPr>
        <w:t>GB/T 18487.1</w:t>
      </w:r>
      <w:r>
        <w:rPr>
          <w:rFonts w:hint="eastAsia" w:ascii="仿宋_GB2312" w:eastAsia="仿宋_GB2312"/>
          <w:sz w:val="32"/>
          <w:szCs w:val="22"/>
          <w:lang w:bidi="ar"/>
        </w:rPr>
        <w:t>-</w:t>
      </w:r>
      <w:r>
        <w:rPr>
          <w:rFonts w:ascii="仿宋_GB2312" w:eastAsia="仿宋_GB2312"/>
          <w:sz w:val="32"/>
          <w:szCs w:val="22"/>
          <w:lang w:bidi="ar"/>
        </w:rPr>
        <w:t>2015</w:t>
      </w:r>
      <w:r>
        <w:rPr>
          <w:rFonts w:hint="eastAsia" w:ascii="仿宋_GB2312" w:eastAsia="仿宋_GB2312"/>
          <w:sz w:val="32"/>
          <w:szCs w:val="22"/>
          <w:lang w:bidi="ar"/>
        </w:rPr>
        <w:t>的相关规定。</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4.</w:t>
      </w:r>
      <w:r>
        <w:fldChar w:fldCharType="begin"/>
      </w:r>
      <w:r>
        <w:instrText xml:space="preserve"> HYPERLINK "http://www.loveguifan.cn/gfzhang.php?gf=5bGF5L2P5Yy655S15Yqo5rG96L2m5YWF55S16K6+5pa95oqA5pyv6KeE56iLX1RDRUNTNTA4XzIwMTjmp5DmoJE1" </w:instrText>
      </w:r>
      <w:r>
        <w:fldChar w:fldCharType="separate"/>
      </w:r>
      <w:r>
        <w:fldChar w:fldCharType="end"/>
      </w:r>
      <w:r>
        <w:rPr>
          <w:rFonts w:hint="eastAsia" w:ascii="仿宋_GB2312" w:eastAsia="仿宋_GB2312"/>
          <w:sz w:val="32"/>
          <w:szCs w:val="22"/>
          <w:lang w:bidi="ar"/>
        </w:rPr>
        <w:t>接地要求</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w:t>
      </w:r>
      <w:r>
        <w:fldChar w:fldCharType="begin"/>
      </w:r>
      <w:r>
        <w:instrText xml:space="preserve"> HYPERLINK "http://www.loveguifan.cn/gfzhang.php?gf=5bGF5L2P5Yy655S15Yqo5rG96L2m5YWF55S16K6+5pa95oqA5pyv6KeE56iLX1RDRUNTNTA4XzIwMTjmp5DmoJE1" </w:instrText>
      </w:r>
      <w:r>
        <w:fldChar w:fldCharType="separate"/>
      </w:r>
      <w:r>
        <w:fldChar w:fldCharType="end"/>
      </w:r>
      <w:r>
        <w:rPr>
          <w:rFonts w:hint="eastAsia" w:ascii="仿宋_GB2312" w:eastAsia="仿宋_GB2312"/>
          <w:sz w:val="32"/>
          <w:szCs w:val="22"/>
          <w:lang w:bidi="ar"/>
        </w:rPr>
        <w:t>室内充电设施的工作接地、保护接地、防雷接地应共用一套接地装置，接地电阻不应大于</w:t>
      </w:r>
      <w:r>
        <w:rPr>
          <w:rFonts w:ascii="仿宋_GB2312" w:eastAsia="仿宋_GB2312"/>
          <w:sz w:val="32"/>
          <w:szCs w:val="22"/>
          <w:lang w:bidi="ar"/>
        </w:rPr>
        <w:t>4Ω</w:t>
      </w:r>
      <w:r>
        <w:rPr>
          <w:rFonts w:hint="eastAsia" w:ascii="仿宋_GB2312" w:eastAsia="仿宋_GB2312"/>
          <w:sz w:val="32"/>
          <w:szCs w:val="22"/>
          <w:lang w:bidi="ar"/>
        </w:rPr>
        <w:t>。</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w:t>
      </w:r>
      <w:r>
        <w:fldChar w:fldCharType="begin"/>
      </w:r>
      <w:r>
        <w:instrText xml:space="preserve"> HYPERLINK "http://www.loveguifan.cn/gfzhang.php?gf=5bGF5L2P5Yy655S15Yqo5rG96L2m5YWF55S16K6+5pa95oqA5pyv6KeE56iLX1RDRUNTNTA4XzIwMTjmp5DmoJE1" </w:instrText>
      </w:r>
      <w:r>
        <w:fldChar w:fldCharType="separate"/>
      </w:r>
      <w:r>
        <w:fldChar w:fldCharType="end"/>
      </w:r>
      <w:r>
        <w:rPr>
          <w:rFonts w:hint="eastAsia" w:ascii="仿宋_GB2312" w:eastAsia="仿宋_GB2312"/>
          <w:sz w:val="32"/>
          <w:szCs w:val="22"/>
          <w:lang w:bidi="ar"/>
        </w:rPr>
        <w:t>室外充电设施保护接地、防雷接地应共用一套接地装置，室外安装的充电设施宜与就近的建筑或配电设施公用接地装置，工作接地宜单独设置，接地电阻不应大于</w:t>
      </w:r>
      <w:r>
        <w:rPr>
          <w:rFonts w:ascii="仿宋_GB2312" w:eastAsia="仿宋_GB2312"/>
          <w:sz w:val="32"/>
          <w:szCs w:val="22"/>
          <w:lang w:bidi="ar"/>
        </w:rPr>
        <w:t>4Ω</w:t>
      </w:r>
      <w:r>
        <w:rPr>
          <w:rFonts w:hint="eastAsia" w:ascii="仿宋_GB2312" w:eastAsia="仿宋_GB2312"/>
          <w:sz w:val="32"/>
          <w:szCs w:val="22"/>
          <w:lang w:bidi="ar"/>
        </w:rPr>
        <w:t>。</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（3）</w:t>
      </w:r>
      <w:r>
        <w:fldChar w:fldCharType="begin"/>
      </w:r>
      <w:r>
        <w:instrText xml:space="preserve"> HYPERLINK "http://www.loveguifan.cn/gfzhang.php?gf=5bGF5L2P5Yy655S15Yqo5rG96L2m5YWF55S16K6+5pa95oqA5pyv6KeE56iLX1RDRUNTNTA4XzIwMTjmp5DmoJE1" </w:instrText>
      </w:r>
      <w:r>
        <w:fldChar w:fldCharType="separate"/>
      </w:r>
      <w:r>
        <w:fldChar w:fldCharType="end"/>
      </w:r>
      <w:r>
        <w:rPr>
          <w:rFonts w:hint="eastAsia" w:ascii="仿宋_GB2312" w:eastAsia="仿宋_GB2312"/>
          <w:sz w:val="32"/>
          <w:szCs w:val="22"/>
          <w:lang w:bidi="ar"/>
        </w:rPr>
        <w:t>电气装置外露导电部分均应进行可靠接地。</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（4）</w:t>
      </w:r>
      <w:r>
        <w:fldChar w:fldCharType="begin"/>
      </w:r>
      <w:r>
        <w:instrText xml:space="preserve"> HYPERLINK "http://www.loveguifan.cn/gfzhang.php?gf=5bGF5L2P5Yy655S15Yqo5rG96L2m5YWF55S16K6+5pa95oqA5pyv6KeE56iLX1RDRUNTNTA4XzIwMTjmp5DmoJE1" </w:instrText>
      </w:r>
      <w:r>
        <w:fldChar w:fldCharType="separate"/>
      </w:r>
      <w:r>
        <w:fldChar w:fldCharType="end"/>
      </w:r>
      <w:r>
        <w:rPr>
          <w:rFonts w:hint="eastAsia" w:ascii="仿宋_GB2312" w:eastAsia="仿宋_GB2312"/>
          <w:sz w:val="32"/>
          <w:szCs w:val="22"/>
          <w:lang w:bidi="ar"/>
        </w:rPr>
        <w:t>充电设施接地端子应符合现行国家标准《电动汽车传导充电系统</w:t>
      </w:r>
      <w:r>
        <w:rPr>
          <w:rFonts w:ascii="仿宋_GB2312" w:eastAsia="仿宋_GB2312"/>
          <w:sz w:val="32"/>
          <w:szCs w:val="22"/>
          <w:lang w:bidi="ar"/>
        </w:rPr>
        <w:t xml:space="preserve"> </w:t>
      </w:r>
      <w:r>
        <w:rPr>
          <w:rFonts w:hint="eastAsia" w:ascii="仿宋_GB2312" w:eastAsia="仿宋_GB2312"/>
          <w:sz w:val="32"/>
          <w:szCs w:val="22"/>
          <w:lang w:bidi="ar"/>
        </w:rPr>
        <w:t>第</w:t>
      </w:r>
      <w:r>
        <w:rPr>
          <w:rFonts w:ascii="仿宋_GB2312" w:eastAsia="仿宋_GB2312"/>
          <w:sz w:val="32"/>
          <w:szCs w:val="22"/>
          <w:lang w:bidi="ar"/>
        </w:rPr>
        <w:t>1</w:t>
      </w:r>
      <w:r>
        <w:rPr>
          <w:rFonts w:hint="eastAsia" w:ascii="仿宋_GB2312" w:eastAsia="仿宋_GB2312"/>
          <w:sz w:val="32"/>
          <w:szCs w:val="22"/>
          <w:lang w:bidi="ar"/>
        </w:rPr>
        <w:t>部分：通用要求》</w:t>
      </w:r>
      <w:r>
        <w:rPr>
          <w:rFonts w:ascii="仿宋_GB2312" w:eastAsia="仿宋_GB2312"/>
          <w:sz w:val="32"/>
          <w:szCs w:val="22"/>
          <w:lang w:bidi="ar"/>
        </w:rPr>
        <w:t>GB/T 18487.1</w:t>
      </w:r>
      <w:r>
        <w:rPr>
          <w:rFonts w:hint="eastAsia" w:ascii="仿宋_GB2312" w:eastAsia="仿宋_GB2312"/>
          <w:sz w:val="32"/>
          <w:szCs w:val="22"/>
          <w:lang w:bidi="ar"/>
        </w:rPr>
        <w:t>-</w:t>
      </w:r>
      <w:r>
        <w:rPr>
          <w:rFonts w:ascii="仿宋_GB2312" w:eastAsia="仿宋_GB2312"/>
          <w:sz w:val="32"/>
          <w:szCs w:val="22"/>
          <w:lang w:bidi="ar"/>
        </w:rPr>
        <w:t>2015</w:t>
      </w:r>
      <w:r>
        <w:rPr>
          <w:rFonts w:hint="eastAsia" w:ascii="仿宋_GB2312" w:eastAsia="仿宋_GB2312"/>
          <w:sz w:val="32"/>
          <w:szCs w:val="22"/>
          <w:lang w:bidi="ar"/>
        </w:rPr>
        <w:t>的规定。</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5.</w:t>
      </w:r>
      <w:r>
        <w:fldChar w:fldCharType="begin"/>
      </w:r>
      <w:r>
        <w:instrText xml:space="preserve"> HYPERLINK "http://www.loveguifan.cn/gfzhang.php?gf=5bGF5L2P5Yy655S15Yqo5rG96L2m5YWF55S16K6+5pa95oqA5pyv6KeE56iLX1RDRUNTNTA4XzIwMTjmp5DmoJE1" </w:instrText>
      </w:r>
      <w:r>
        <w:fldChar w:fldCharType="separate"/>
      </w:r>
      <w:r>
        <w:fldChar w:fldCharType="end"/>
      </w:r>
      <w:r>
        <w:rPr>
          <w:rFonts w:hint="eastAsia" w:ascii="仿宋_GB2312" w:eastAsia="仿宋_GB2312"/>
          <w:sz w:val="32"/>
          <w:szCs w:val="22"/>
          <w:lang w:bidi="ar"/>
        </w:rPr>
        <w:t>充电安全</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w:t>
      </w:r>
      <w:r>
        <w:fldChar w:fldCharType="begin"/>
      </w:r>
      <w:r>
        <w:instrText xml:space="preserve"> HYPERLINK "http://www.loveguifan.cn/gfzhang.php?gf=5bGF5L2P5Yy655S15Yqo5rG96L2m5YWF55S16K6+5pa95oqA5pyv6KeE56iLX1RDRUNTNTA4XzIwMTjmp5DmoJE1" </w:instrText>
      </w:r>
      <w:r>
        <w:fldChar w:fldCharType="separate"/>
      </w:r>
      <w:r>
        <w:fldChar w:fldCharType="end"/>
      </w:r>
      <w:r>
        <w:rPr>
          <w:rFonts w:hint="eastAsia" w:ascii="仿宋_GB2312" w:eastAsia="仿宋_GB2312"/>
          <w:sz w:val="32"/>
          <w:szCs w:val="22"/>
          <w:lang w:bidi="ar"/>
        </w:rPr>
        <w:t>充电设施场所应配置安全防护、电击防护的电气装置，应符合现行国家标准《建筑物电气装置</w:t>
      </w:r>
      <w:r>
        <w:rPr>
          <w:rFonts w:ascii="仿宋_GB2312" w:eastAsia="仿宋_GB2312"/>
          <w:sz w:val="32"/>
          <w:szCs w:val="22"/>
          <w:lang w:bidi="ar"/>
        </w:rPr>
        <w:t xml:space="preserve"> </w:t>
      </w:r>
      <w:r>
        <w:rPr>
          <w:rFonts w:hint="eastAsia" w:ascii="仿宋_GB2312" w:eastAsia="仿宋_GB2312"/>
          <w:sz w:val="32"/>
          <w:szCs w:val="22"/>
          <w:lang w:bidi="ar"/>
        </w:rPr>
        <w:t>第</w:t>
      </w:r>
      <w:r>
        <w:rPr>
          <w:rFonts w:ascii="仿宋_GB2312" w:eastAsia="仿宋_GB2312"/>
          <w:sz w:val="32"/>
          <w:szCs w:val="22"/>
          <w:lang w:bidi="ar"/>
        </w:rPr>
        <w:t>4-41</w:t>
      </w:r>
      <w:r>
        <w:rPr>
          <w:rFonts w:hint="eastAsia" w:ascii="仿宋_GB2312" w:eastAsia="仿宋_GB2312"/>
          <w:sz w:val="32"/>
          <w:szCs w:val="22"/>
          <w:lang w:bidi="ar"/>
        </w:rPr>
        <w:t>部分：安全防护</w:t>
      </w:r>
      <w:r>
        <w:rPr>
          <w:rFonts w:ascii="仿宋_GB2312" w:eastAsia="仿宋_GB2312"/>
          <w:sz w:val="32"/>
          <w:szCs w:val="22"/>
          <w:lang w:bidi="ar"/>
        </w:rPr>
        <w:t>-</w:t>
      </w:r>
      <w:r>
        <w:rPr>
          <w:rFonts w:hint="eastAsia" w:ascii="仿宋_GB2312" w:eastAsia="仿宋_GB2312"/>
          <w:sz w:val="32"/>
          <w:szCs w:val="22"/>
          <w:lang w:bidi="ar"/>
        </w:rPr>
        <w:t>电击防护》</w:t>
      </w:r>
      <w:r>
        <w:rPr>
          <w:rFonts w:ascii="仿宋_GB2312" w:eastAsia="仿宋_GB2312"/>
          <w:sz w:val="32"/>
          <w:szCs w:val="22"/>
          <w:lang w:bidi="ar"/>
        </w:rPr>
        <w:t>GB 16895.21</w:t>
      </w:r>
      <w:r>
        <w:rPr>
          <w:rFonts w:hint="eastAsia" w:ascii="仿宋_GB2312" w:eastAsia="仿宋_GB2312"/>
          <w:sz w:val="32"/>
          <w:szCs w:val="22"/>
          <w:lang w:bidi="ar"/>
        </w:rPr>
        <w:t>的有关规定。</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w:t>
      </w:r>
      <w:r>
        <w:fldChar w:fldCharType="begin"/>
      </w:r>
      <w:r>
        <w:instrText xml:space="preserve"> HYPERLINK "http://www.loveguifan.cn/gfzhang.php?gf=5bGF5L2P5Yy655S15Yqo5rG96L2m5YWF55S16K6+5pa95oqA5pyv6KeE56iLX1RDRUNTNTA4XzIwMTjmp5DmoJE1" </w:instrText>
      </w:r>
      <w:r>
        <w:fldChar w:fldCharType="separate"/>
      </w:r>
      <w:r>
        <w:fldChar w:fldCharType="end"/>
      </w:r>
      <w:r>
        <w:rPr>
          <w:rFonts w:hint="eastAsia" w:ascii="仿宋_GB2312" w:eastAsia="仿宋_GB2312"/>
          <w:sz w:val="32"/>
          <w:szCs w:val="22"/>
          <w:lang w:bidi="ar"/>
        </w:rPr>
        <w:t>充电连接装置防触电保护应符合现行国家标准《电动汽车传导充电用连接装置</w:t>
      </w:r>
      <w:r>
        <w:rPr>
          <w:rFonts w:ascii="仿宋_GB2312" w:eastAsia="仿宋_GB2312"/>
          <w:sz w:val="32"/>
          <w:szCs w:val="22"/>
          <w:lang w:bidi="ar"/>
        </w:rPr>
        <w:t xml:space="preserve"> </w:t>
      </w:r>
      <w:r>
        <w:rPr>
          <w:rFonts w:hint="eastAsia" w:ascii="仿宋_GB2312" w:eastAsia="仿宋_GB2312"/>
          <w:sz w:val="32"/>
          <w:szCs w:val="22"/>
          <w:lang w:bidi="ar"/>
        </w:rPr>
        <w:t>第</w:t>
      </w:r>
      <w:r>
        <w:rPr>
          <w:rFonts w:ascii="仿宋_GB2312" w:eastAsia="仿宋_GB2312"/>
          <w:sz w:val="32"/>
          <w:szCs w:val="22"/>
          <w:lang w:bidi="ar"/>
        </w:rPr>
        <w:t>1</w:t>
      </w:r>
      <w:r>
        <w:rPr>
          <w:rFonts w:hint="eastAsia" w:ascii="仿宋_GB2312" w:eastAsia="仿宋_GB2312"/>
          <w:sz w:val="32"/>
          <w:szCs w:val="22"/>
          <w:lang w:bidi="ar"/>
        </w:rPr>
        <w:t>部分：通用要求》</w:t>
      </w:r>
      <w:r>
        <w:rPr>
          <w:rFonts w:ascii="仿宋_GB2312" w:eastAsia="仿宋_GB2312"/>
          <w:sz w:val="32"/>
          <w:szCs w:val="22"/>
          <w:lang w:bidi="ar"/>
        </w:rPr>
        <w:t>GB/T 20234.1-2015</w:t>
      </w:r>
      <w:r>
        <w:rPr>
          <w:rFonts w:hint="eastAsia" w:ascii="仿宋_GB2312" w:eastAsia="仿宋_GB2312"/>
          <w:sz w:val="32"/>
          <w:szCs w:val="22"/>
          <w:lang w:bidi="ar"/>
        </w:rPr>
        <w:t>的规定。</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（3）</w:t>
      </w:r>
      <w:r>
        <w:fldChar w:fldCharType="begin"/>
      </w:r>
      <w:r>
        <w:instrText xml:space="preserve"> HYPERLINK "http://www.loveguifan.cn/gfzhang.php?gf=5bGF5L2P5Yy655S15Yqo5rG96L2m5YWF55S16K6+5pa95oqA5pyv6KeE56iLX1RDRUNTNTA4XzIwMTjmp5DmoJE1" </w:instrText>
      </w:r>
      <w:r>
        <w:fldChar w:fldCharType="separate"/>
      </w:r>
      <w:r>
        <w:fldChar w:fldCharType="end"/>
      </w:r>
      <w:r>
        <w:rPr>
          <w:rFonts w:hint="eastAsia" w:ascii="仿宋_GB2312" w:eastAsia="仿宋_GB2312"/>
          <w:sz w:val="32"/>
          <w:szCs w:val="22"/>
          <w:lang w:bidi="ar"/>
        </w:rPr>
        <w:t>室外充电设施应考虑防雷措施。</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6.防火要求</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（1）充电站的建构筑物的防火应符合《</w:t>
      </w:r>
      <w:r>
        <w:rPr>
          <w:rFonts w:ascii="仿宋_GB2312" w:eastAsia="仿宋_GB2312"/>
          <w:sz w:val="32"/>
          <w:szCs w:val="22"/>
          <w:lang w:bidi="ar"/>
        </w:rPr>
        <w:t>汽车库、修车库、停车场设计防火规范</w:t>
      </w:r>
      <w:r>
        <w:rPr>
          <w:rFonts w:hint="eastAsia" w:ascii="仿宋_GB2312" w:eastAsia="仿宋_GB2312"/>
          <w:sz w:val="32"/>
          <w:szCs w:val="22"/>
          <w:lang w:bidi="ar"/>
        </w:rPr>
        <w:t>》GB 50067的要求。</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充电站内的变压器室、配电室、蓄电池室应采用耐火极限不低于2.00h的防火隔墙与其他部位隔开，门应向疏散方向开启；当门外为公共走道或其他房间时，应采用乙级防火门；中间隔墙上的门应采用由不燃材料制作的双向弹簧门。</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3）充电站内的监控室、办公室、休息室应采用耐火极限不低于2.00h的防火隔墙与其他部位隔开，监控室的门应采用乙级防火门；门应通向无爆炸、无火灾危险的场所；当设计房间额定人数小于15人时，门宽及楼梯宽度不应小于0.9m，当设计房间额定人数大于或等于15人时，门宽及楼梯宽度不应小于1.1m，非抗爆结构设计的窗应朝无爆炸、无火灾危险的方向设置。</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4）电缆从室外进入室内的入口处、电缆竖井的出入口处、电缆接头处、监控室与电缆夹层之间以及长度超过100m的电缆沟或电缆隧道，均应采取防止电缆火灾蔓延的阻燃或分隔措施，并应根据充电站的规模及重要性采取下列一种或数种措施：</w:t>
      </w:r>
    </w:p>
    <w:p>
      <w:pPr>
        <w:spacing w:line="590" w:lineRule="exact"/>
        <w:ind w:firstLine="640" w:firstLineChars="200"/>
        <w:jc w:val="left"/>
        <w:rPr>
          <w:rFonts w:ascii="仿宋_GB2312" w:eastAsia="仿宋_GB2312"/>
          <w:sz w:val="32"/>
          <w:szCs w:val="22"/>
          <w:lang w:bidi="ar"/>
        </w:rPr>
      </w:pPr>
      <w:r>
        <w:rPr>
          <w:rFonts w:ascii="仿宋_GB2312" w:eastAsia="仿宋_GB2312"/>
          <w:sz w:val="32"/>
          <w:szCs w:val="22"/>
          <w:lang w:bidi="ar"/>
        </w:rPr>
        <w:t>a</w:t>
      </w:r>
      <w:r>
        <w:rPr>
          <w:rFonts w:hint="eastAsia" w:ascii="仿宋_GB2312" w:eastAsia="仿宋_GB2312"/>
          <w:sz w:val="32"/>
          <w:szCs w:val="22"/>
          <w:lang w:bidi="ar"/>
        </w:rPr>
        <w:t>.采用防火隔墙或隔板，并用防火材料封堵电缆通过的孔洞。</w:t>
      </w:r>
    </w:p>
    <w:p>
      <w:pPr>
        <w:spacing w:line="590" w:lineRule="exact"/>
        <w:ind w:firstLine="640" w:firstLineChars="200"/>
        <w:jc w:val="left"/>
        <w:rPr>
          <w:rFonts w:ascii="仿宋_GB2312" w:eastAsia="仿宋_GB2312"/>
          <w:sz w:val="32"/>
          <w:szCs w:val="22"/>
          <w:lang w:bidi="ar"/>
        </w:rPr>
      </w:pPr>
      <w:bookmarkStart w:id="112" w:name="_Toc2760"/>
      <w:r>
        <w:rPr>
          <w:rFonts w:hint="eastAsia" w:ascii="仿宋_GB2312" w:eastAsia="仿宋_GB2312"/>
          <w:sz w:val="32"/>
          <w:szCs w:val="22"/>
          <w:lang w:bidi="ar"/>
        </w:rPr>
        <w:t>b.电缆局部涂防火涂料或局部采用防火带、防火槽盒</w:t>
      </w:r>
      <w:bookmarkEnd w:id="112"/>
      <w:r>
        <w:rPr>
          <w:rFonts w:hint="eastAsia" w:ascii="仿宋_GB2312" w:eastAsia="仿宋_GB2312"/>
          <w:sz w:val="32"/>
          <w:szCs w:val="22"/>
          <w:lang w:bidi="ar"/>
        </w:rPr>
        <w:t>。</w:t>
      </w:r>
    </w:p>
    <w:p>
      <w:pPr>
        <w:spacing w:line="590" w:lineRule="exact"/>
        <w:ind w:firstLine="640" w:firstLineChars="200"/>
        <w:jc w:val="left"/>
        <w:rPr>
          <w:rFonts w:ascii="仿宋_GB2312" w:eastAsia="仿宋_GB2312"/>
          <w:sz w:val="32"/>
          <w:szCs w:val="22"/>
          <w:lang w:bidi="ar"/>
        </w:rPr>
      </w:pPr>
      <w:bookmarkStart w:id="113" w:name="_Toc11230"/>
      <w:r>
        <w:rPr>
          <w:rFonts w:hint="eastAsia" w:ascii="仿宋_GB2312" w:eastAsia="仿宋_GB2312"/>
          <w:sz w:val="32"/>
          <w:szCs w:val="22"/>
          <w:lang w:bidi="ar"/>
        </w:rPr>
        <w:t>c.可使用耐火电缆。</w:t>
      </w:r>
      <w:bookmarkEnd w:id="113"/>
    </w:p>
    <w:p>
      <w:pPr>
        <w:pStyle w:val="3"/>
        <w:spacing w:before="0" w:after="0" w:line="590" w:lineRule="exact"/>
        <w:ind w:firstLine="640" w:firstLineChars="200"/>
        <w:jc w:val="left"/>
        <w:rPr>
          <w:rFonts w:ascii="Times New Roman" w:hAnsi="Times New Roman" w:eastAsia="楷体_GB2312"/>
          <w:b w:val="0"/>
          <w:bCs w:val="0"/>
          <w:lang w:bidi="ar"/>
        </w:rPr>
      </w:pPr>
      <w:bookmarkStart w:id="114" w:name="_Toc78835203"/>
      <w:bookmarkStart w:id="115" w:name="_Toc13051"/>
      <w:bookmarkStart w:id="116" w:name="_Toc78835299"/>
      <w:r>
        <w:rPr>
          <w:rFonts w:hint="eastAsia" w:ascii="Times New Roman" w:hAnsi="Times New Roman" w:eastAsia="楷体_GB2312"/>
          <w:b w:val="0"/>
          <w:bCs w:val="0"/>
          <w:lang w:bidi="ar"/>
        </w:rPr>
        <w:t>（六）充电平台技术要求</w:t>
      </w:r>
      <w:bookmarkEnd w:id="114"/>
      <w:bookmarkEnd w:id="115"/>
      <w:bookmarkEnd w:id="116"/>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1.</w:t>
      </w:r>
      <w:r>
        <w:rPr>
          <w:rFonts w:ascii="仿宋_GB2312" w:eastAsia="仿宋_GB2312"/>
          <w:sz w:val="32"/>
          <w:szCs w:val="22"/>
          <w:lang w:bidi="ar"/>
        </w:rPr>
        <w:t>新区</w:t>
      </w:r>
      <w:r>
        <w:rPr>
          <w:rFonts w:hint="eastAsia" w:ascii="仿宋_GB2312" w:eastAsia="仿宋_GB2312"/>
          <w:sz w:val="32"/>
          <w:szCs w:val="22"/>
          <w:lang w:bidi="ar"/>
        </w:rPr>
        <w:t>运营商应建立有自主的充电平台，通过结合利用线上平台和线下服务等技术及管理手段，承担起连接充电设备的新能源汽车在充电车位上静态停止时的安全管理责任，包括汽车安全、充电安全、能源安全、建设安全、消防安全等；运营商通过平台结合设备的技术手段和管理手段保证新能源车安全的可预测、可预警、可控制、可追溯，减少新能源车在静态充电停车时的安全事故，保护用户的新能源车财产安全。</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2.充电平台应能根据</w:t>
      </w:r>
      <w:r>
        <w:rPr>
          <w:rFonts w:ascii="仿宋_GB2312" w:eastAsia="仿宋_GB2312"/>
          <w:sz w:val="32"/>
          <w:szCs w:val="22"/>
          <w:lang w:bidi="ar"/>
        </w:rPr>
        <w:t>管辖区内</w:t>
      </w:r>
      <w:r>
        <w:rPr>
          <w:rFonts w:hint="eastAsia" w:ascii="仿宋_GB2312" w:eastAsia="仿宋_GB2312"/>
          <w:sz w:val="32"/>
          <w:szCs w:val="22"/>
          <w:lang w:bidi="ar"/>
        </w:rPr>
        <w:t>现有供电能力和车主用电需求，采用智能充电调度技术，实时管控、分配剩余负荷，确保电网运行安全和充电安全。</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3.充电平台应具备灾备体系和灾难恢复机制，全年可靠性不小于99.95%。</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4.充电平台应具备边缘接入安全、云平台安全、工业APP安全等功能，具有加密认证、数据防窃取篡改、抗DDoS、镜像篡改等安全能力，通过公安部国家信息系统安全等级保护三级备案与评测。</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5.充电平台应支持各类充电启动方式，包括扫码、刷卡、车桩识别、负荷响应调度充电等。</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6.充电平台应具备在线充值支付功能，做到安全、便捷的支付，支持在线支付方式如：微信、支付宝、银联等。</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7.</w:t>
      </w:r>
      <w:r>
        <w:rPr>
          <w:rFonts w:ascii="仿宋_GB2312" w:eastAsia="仿宋_GB2312"/>
          <w:sz w:val="32"/>
          <w:szCs w:val="22"/>
          <w:lang w:bidi="ar"/>
        </w:rPr>
        <w:t>充</w:t>
      </w:r>
      <w:r>
        <w:rPr>
          <w:rFonts w:hint="eastAsia" w:ascii="仿宋_GB2312" w:eastAsia="仿宋_GB2312"/>
          <w:sz w:val="32"/>
          <w:szCs w:val="22"/>
          <w:lang w:bidi="ar"/>
        </w:rPr>
        <w:t>电平台应支持峰谷计量、计费，满足各类充电服务运营场景。针对不同的用户群体支持差异化的计费策略。</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8.充电平台应具备安全监管能力，应支持实时监控充电设施的运行状态及运行数据、远程操作停止充电机运行状态、充电安全预警及通知。</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9.充电平台应具备大规模充电设施的运营支撑能力，平台具备接入充电设施数量大于2万台；通过系统扩展可以具备支撑10万个以上充电设施运营的能力。</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10.充电平台应支持与停车场服务平台的信息交换，具备车辆停车信息与充电信息的数据共享和业务协同。信息交换接口包括接口功能、接口通信协议、接口信息模型、接口性能等。</w:t>
      </w:r>
    </w:p>
    <w:p>
      <w:pPr>
        <w:spacing w:line="590" w:lineRule="exact"/>
        <w:ind w:firstLine="640" w:firstLineChars="200"/>
        <w:jc w:val="left"/>
        <w:outlineLvl w:val="3"/>
        <w:rPr>
          <w:rFonts w:ascii="仿宋_GB2312" w:eastAsia="仿宋_GB2312"/>
          <w:sz w:val="32"/>
          <w:szCs w:val="22"/>
          <w:lang w:bidi="ar"/>
        </w:rPr>
      </w:pPr>
      <w:r>
        <w:rPr>
          <w:rFonts w:hint="eastAsia" w:ascii="仿宋_GB2312" w:eastAsia="仿宋_GB2312"/>
          <w:sz w:val="32"/>
          <w:szCs w:val="22"/>
          <w:lang w:bidi="ar"/>
        </w:rPr>
        <w:t>（1）信息交换接口服务</w:t>
      </w:r>
    </w:p>
    <w:p>
      <w:pPr>
        <w:spacing w:line="590" w:lineRule="exact"/>
        <w:ind w:firstLine="640" w:firstLineChars="200"/>
        <w:jc w:val="left"/>
        <w:rPr>
          <w:rFonts w:ascii="仿宋_GB2312" w:eastAsia="仿宋_GB2312"/>
          <w:sz w:val="32"/>
          <w:szCs w:val="22"/>
          <w:lang w:bidi="ar"/>
        </w:rPr>
      </w:pPr>
      <w:bookmarkStart w:id="117" w:name="_Toc73955311"/>
      <w:bookmarkStart w:id="118" w:name="_Toc73955450"/>
      <w:r>
        <w:rPr>
          <w:rFonts w:hint="eastAsia" w:ascii="仿宋_GB2312" w:eastAsia="仿宋_GB2312"/>
          <w:sz w:val="32"/>
          <w:szCs w:val="22"/>
          <w:lang w:bidi="ar"/>
        </w:rPr>
        <w:t>停车场服务信息交换功能</w:t>
      </w:r>
      <w:bookmarkEnd w:id="117"/>
      <w:bookmarkEnd w:id="118"/>
      <w:r>
        <w:rPr>
          <w:rFonts w:hint="eastAsia" w:ascii="仿宋_GB2312" w:eastAsia="仿宋_GB2312"/>
          <w:sz w:val="32"/>
          <w:szCs w:val="22"/>
          <w:lang w:bidi="ar"/>
        </w:rPr>
        <w:t>：充电平台采集电动汽车实时充电记录事件，通过充电平台与停车场服务平台接口，传递给停车场服务平台，或者充电</w:t>
      </w:r>
      <w:bookmarkStart w:id="119" w:name="_Toc73955451"/>
      <w:bookmarkStart w:id="120" w:name="_Toc73955312"/>
      <w:r>
        <w:rPr>
          <w:rFonts w:hint="eastAsia" w:ascii="仿宋_GB2312" w:eastAsia="仿宋_GB2312"/>
          <w:sz w:val="32"/>
          <w:szCs w:val="22"/>
          <w:lang w:bidi="ar"/>
        </w:rPr>
        <w:t>平台向停车场服务平台提供记录查询功能。</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停车位状态推送功能</w:t>
      </w:r>
      <w:bookmarkEnd w:id="119"/>
      <w:bookmarkEnd w:id="120"/>
      <w:r>
        <w:rPr>
          <w:rFonts w:hint="eastAsia" w:ascii="仿宋_GB2312" w:eastAsia="仿宋_GB2312"/>
          <w:sz w:val="32"/>
          <w:szCs w:val="22"/>
          <w:lang w:bidi="ar"/>
        </w:rPr>
        <w:t>：停车场停车位信息推送应包括推送停车位空闲状态等。</w:t>
      </w:r>
    </w:p>
    <w:p>
      <w:pPr>
        <w:spacing w:line="590" w:lineRule="exact"/>
        <w:ind w:firstLine="640" w:firstLineChars="200"/>
        <w:jc w:val="left"/>
        <w:outlineLvl w:val="3"/>
        <w:rPr>
          <w:rFonts w:ascii="仿宋_GB2312" w:eastAsia="仿宋_GB2312"/>
          <w:sz w:val="32"/>
          <w:szCs w:val="22"/>
          <w:lang w:bidi="ar"/>
        </w:rPr>
      </w:pPr>
      <w:r>
        <w:rPr>
          <w:rFonts w:hint="eastAsia" w:ascii="仿宋_GB2312" w:eastAsia="仿宋_GB2312"/>
          <w:sz w:val="32"/>
          <w:szCs w:val="22"/>
          <w:lang w:bidi="ar"/>
        </w:rPr>
        <w:t>（2）信息交换接口协议</w:t>
      </w:r>
    </w:p>
    <w:p>
      <w:pPr>
        <w:spacing w:line="590" w:lineRule="exact"/>
        <w:ind w:firstLine="640" w:firstLineChars="200"/>
        <w:jc w:val="left"/>
        <w:outlineLvl w:val="4"/>
        <w:rPr>
          <w:rFonts w:ascii="仿宋_GB2312" w:eastAsia="仿宋_GB2312"/>
          <w:sz w:val="32"/>
          <w:szCs w:val="22"/>
          <w:lang w:bidi="ar"/>
        </w:rPr>
      </w:pPr>
      <w:bookmarkStart w:id="121" w:name="_Toc73955508"/>
      <w:bookmarkStart w:id="122" w:name="_Toc73955369"/>
      <w:r>
        <w:rPr>
          <w:rFonts w:hint="eastAsia" w:ascii="仿宋_GB2312" w:eastAsia="仿宋_GB2312"/>
          <w:sz w:val="32"/>
          <w:szCs w:val="22"/>
          <w:lang w:bidi="ar"/>
        </w:rPr>
        <w:t>a.推送停车场充电记录</w:t>
      </w:r>
      <w:bookmarkEnd w:id="121"/>
      <w:bookmarkEnd w:id="122"/>
      <w:bookmarkStart w:id="123" w:name="_Toc73955509"/>
      <w:bookmarkStart w:id="124" w:name="_Toc73955370"/>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w:t>
      </w:r>
      <w:r>
        <w:rPr>
          <w:rFonts w:hint="eastAsia" w:ascii="仿宋_GB2312" w:eastAsia="仿宋_GB2312"/>
          <w:sz w:val="32"/>
          <w:szCs w:val="22"/>
          <w:lang w:eastAsia="zh-CN" w:bidi="ar"/>
        </w:rPr>
        <w:t>）</w:t>
      </w:r>
      <w:r>
        <w:rPr>
          <w:rFonts w:hint="eastAsia" w:ascii="仿宋_GB2312" w:eastAsia="仿宋_GB2312"/>
          <w:sz w:val="32"/>
          <w:szCs w:val="22"/>
          <w:lang w:bidi="ar"/>
        </w:rPr>
        <w:t>概述</w:t>
      </w:r>
      <w:bookmarkEnd w:id="123"/>
      <w:bookmarkEnd w:id="124"/>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此接口用于充电设施归属运营商充电平台向停车场归属运营商停车场服务平台推送充电订单信息。</w:t>
      </w:r>
    </w:p>
    <w:p>
      <w:pPr>
        <w:spacing w:line="590" w:lineRule="exact"/>
        <w:ind w:firstLine="640" w:firstLineChars="200"/>
        <w:jc w:val="left"/>
        <w:rPr>
          <w:rFonts w:ascii="仿宋_GB2312" w:eastAsia="仿宋_GB2312"/>
          <w:sz w:val="32"/>
          <w:szCs w:val="22"/>
          <w:lang w:bidi="ar"/>
        </w:rPr>
      </w:pPr>
      <w:bookmarkStart w:id="125" w:name="_Toc73955510"/>
      <w:bookmarkStart w:id="126" w:name="_Toc73955371"/>
      <w:r>
        <w:rPr>
          <w:rFonts w:hint="eastAsia" w:ascii="仿宋_GB2312" w:eastAsia="仿宋_GB2312"/>
          <w:sz w:val="32"/>
          <w:szCs w:val="22"/>
          <w:lang w:bidi="ar"/>
        </w:rPr>
        <w:t>2</w:t>
      </w:r>
      <w:r>
        <w:rPr>
          <w:rFonts w:hint="eastAsia" w:ascii="仿宋_GB2312" w:eastAsia="仿宋_GB2312"/>
          <w:sz w:val="32"/>
          <w:szCs w:val="22"/>
          <w:lang w:eastAsia="zh-CN" w:bidi="ar"/>
        </w:rPr>
        <w:t>）</w:t>
      </w:r>
      <w:r>
        <w:rPr>
          <w:rFonts w:hint="eastAsia" w:ascii="仿宋_GB2312" w:eastAsia="仿宋_GB2312"/>
          <w:sz w:val="32"/>
          <w:szCs w:val="22"/>
          <w:lang w:bidi="ar"/>
        </w:rPr>
        <w:t>接口定义</w:t>
      </w:r>
      <w:bookmarkEnd w:id="125"/>
      <w:bookmarkEnd w:id="126"/>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接口名称：notification_charge_end_order_info</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接口使用方法：由停车场服务平台实现此接口，充电平台方调用。</w:t>
      </w:r>
    </w:p>
    <w:p>
      <w:pPr>
        <w:spacing w:line="590" w:lineRule="exact"/>
        <w:ind w:firstLine="640" w:firstLineChars="200"/>
        <w:jc w:val="left"/>
        <w:rPr>
          <w:rFonts w:ascii="仿宋_GB2312" w:eastAsia="仿宋_GB2312"/>
          <w:sz w:val="32"/>
          <w:szCs w:val="22"/>
          <w:lang w:bidi="ar"/>
        </w:rPr>
      </w:pPr>
      <w:bookmarkStart w:id="127" w:name="_Toc73955511"/>
      <w:bookmarkStart w:id="128" w:name="_Toc73955372"/>
      <w:r>
        <w:rPr>
          <w:rFonts w:hint="eastAsia" w:ascii="仿宋_GB2312" w:eastAsia="仿宋_GB2312"/>
          <w:sz w:val="32"/>
          <w:szCs w:val="22"/>
          <w:lang w:bidi="ar"/>
        </w:rPr>
        <w:t>3</w:t>
      </w:r>
      <w:r>
        <w:rPr>
          <w:rFonts w:hint="eastAsia" w:ascii="仿宋_GB2312" w:eastAsia="仿宋_GB2312"/>
          <w:sz w:val="32"/>
          <w:szCs w:val="22"/>
          <w:lang w:eastAsia="zh-CN" w:bidi="ar"/>
        </w:rPr>
        <w:t>）</w:t>
      </w:r>
      <w:r>
        <w:rPr>
          <w:rFonts w:hint="eastAsia" w:ascii="仿宋_GB2312" w:eastAsia="仿宋_GB2312"/>
          <w:sz w:val="32"/>
          <w:szCs w:val="22"/>
          <w:lang w:bidi="ar"/>
        </w:rPr>
        <w:t>输入参数</w:t>
      </w:r>
      <w:bookmarkEnd w:id="127"/>
      <w:bookmarkEnd w:id="128"/>
    </w:p>
    <w:p>
      <w:pPr>
        <w:spacing w:line="590" w:lineRule="exact"/>
        <w:jc w:val="center"/>
        <w:rPr>
          <w:rFonts w:ascii="仿宋_GB2312" w:hAnsi="黑体" w:eastAsia="仿宋_GB2312"/>
          <w:sz w:val="32"/>
          <w:szCs w:val="22"/>
        </w:rPr>
      </w:pPr>
      <w:r>
        <w:rPr>
          <w:rFonts w:hint="eastAsia" w:ascii="仿宋_GB2312" w:hAnsi="黑体" w:eastAsia="仿宋_GB2312"/>
          <w:sz w:val="32"/>
          <w:szCs w:val="22"/>
        </w:rPr>
        <w:t>表3 推送停车场充电记录输入参数表</w:t>
      </w:r>
    </w:p>
    <w:tbl>
      <w:tblPr>
        <w:tblStyle w:val="51"/>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1582"/>
        <w:gridCol w:w="714"/>
        <w:gridCol w:w="1268"/>
        <w:gridCol w:w="3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15" w:type="dxa"/>
            <w:vAlign w:val="center"/>
          </w:tcPr>
          <w:p>
            <w:pPr>
              <w:spacing w:line="300" w:lineRule="exact"/>
              <w:jc w:val="center"/>
              <w:rPr>
                <w:rFonts w:ascii="黑体" w:hAnsi="黑体" w:eastAsia="黑体"/>
                <w:color w:val="000000"/>
                <w:szCs w:val="21"/>
              </w:rPr>
            </w:pPr>
            <w:r>
              <w:rPr>
                <w:rFonts w:ascii="黑体" w:hAnsi="黑体" w:eastAsia="黑体"/>
                <w:color w:val="000000"/>
                <w:szCs w:val="21"/>
              </w:rPr>
              <w:t>参数名称</w:t>
            </w:r>
          </w:p>
        </w:tc>
        <w:tc>
          <w:tcPr>
            <w:tcW w:w="1582" w:type="dxa"/>
            <w:vAlign w:val="center"/>
          </w:tcPr>
          <w:p>
            <w:pPr>
              <w:spacing w:line="300" w:lineRule="exact"/>
              <w:jc w:val="center"/>
              <w:rPr>
                <w:rFonts w:ascii="黑体" w:hAnsi="黑体" w:eastAsia="黑体"/>
                <w:color w:val="000000"/>
                <w:szCs w:val="21"/>
              </w:rPr>
            </w:pPr>
            <w:r>
              <w:rPr>
                <w:rFonts w:ascii="黑体" w:hAnsi="黑体" w:eastAsia="黑体"/>
                <w:color w:val="000000"/>
                <w:szCs w:val="21"/>
              </w:rPr>
              <w:t>定义</w:t>
            </w:r>
          </w:p>
        </w:tc>
        <w:tc>
          <w:tcPr>
            <w:tcW w:w="714" w:type="dxa"/>
            <w:vAlign w:val="center"/>
          </w:tcPr>
          <w:p>
            <w:pPr>
              <w:spacing w:line="300" w:lineRule="exact"/>
              <w:jc w:val="center"/>
              <w:rPr>
                <w:rFonts w:ascii="黑体" w:hAnsi="黑体" w:eastAsia="黑体"/>
                <w:color w:val="000000"/>
                <w:szCs w:val="21"/>
              </w:rPr>
            </w:pPr>
            <w:r>
              <w:rPr>
                <w:rFonts w:ascii="黑体" w:hAnsi="黑体" w:eastAsia="黑体"/>
                <w:color w:val="000000"/>
                <w:szCs w:val="21"/>
              </w:rPr>
              <w:t>必填</w:t>
            </w:r>
          </w:p>
        </w:tc>
        <w:tc>
          <w:tcPr>
            <w:tcW w:w="1268" w:type="dxa"/>
            <w:vAlign w:val="center"/>
          </w:tcPr>
          <w:p>
            <w:pPr>
              <w:spacing w:line="300" w:lineRule="exact"/>
              <w:jc w:val="center"/>
              <w:rPr>
                <w:rFonts w:ascii="黑体" w:hAnsi="黑体" w:eastAsia="黑体"/>
                <w:color w:val="000000"/>
                <w:szCs w:val="21"/>
              </w:rPr>
            </w:pPr>
            <w:r>
              <w:rPr>
                <w:rFonts w:ascii="黑体" w:hAnsi="黑体" w:eastAsia="黑体"/>
                <w:color w:val="000000"/>
                <w:szCs w:val="21"/>
              </w:rPr>
              <w:t>参数类型</w:t>
            </w:r>
          </w:p>
        </w:tc>
        <w:tc>
          <w:tcPr>
            <w:tcW w:w="3981" w:type="dxa"/>
            <w:vAlign w:val="center"/>
          </w:tcPr>
          <w:p>
            <w:pPr>
              <w:spacing w:line="300" w:lineRule="exact"/>
              <w:jc w:val="center"/>
              <w:rPr>
                <w:rFonts w:ascii="黑体" w:hAnsi="黑体" w:eastAsia="黑体"/>
                <w:color w:val="000000"/>
                <w:szCs w:val="21"/>
              </w:rPr>
            </w:pPr>
            <w:r>
              <w:rPr>
                <w:rFonts w:ascii="黑体" w:hAnsi="黑体" w:eastAsia="黑体"/>
                <w:color w:val="000000"/>
                <w:szCs w:val="21"/>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515"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充电订单号</w:t>
            </w:r>
          </w:p>
        </w:tc>
        <w:tc>
          <w:tcPr>
            <w:tcW w:w="1582"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OrderNo</w:t>
            </w:r>
          </w:p>
        </w:tc>
        <w:tc>
          <w:tcPr>
            <w:tcW w:w="714"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是</w:t>
            </w:r>
          </w:p>
        </w:tc>
        <w:tc>
          <w:tcPr>
            <w:tcW w:w="1268"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字符串</w:t>
            </w:r>
          </w:p>
        </w:tc>
        <w:tc>
          <w:tcPr>
            <w:tcW w:w="3981"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充电运营商订单号，不超过64位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15"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电站编号</w:t>
            </w:r>
          </w:p>
        </w:tc>
        <w:tc>
          <w:tcPr>
            <w:tcW w:w="1582"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S</w:t>
            </w:r>
            <w:r>
              <w:rPr>
                <w:rFonts w:ascii="仿宋_GB2312" w:eastAsia="仿宋_GB2312"/>
                <w:color w:val="000000"/>
                <w:szCs w:val="21"/>
              </w:rPr>
              <w:t>tation</w:t>
            </w:r>
            <w:r>
              <w:rPr>
                <w:rFonts w:hint="eastAsia" w:ascii="仿宋_GB2312" w:eastAsia="仿宋_GB2312"/>
                <w:color w:val="000000"/>
                <w:szCs w:val="21"/>
              </w:rPr>
              <w:t>ID</w:t>
            </w:r>
          </w:p>
        </w:tc>
        <w:tc>
          <w:tcPr>
            <w:tcW w:w="714"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是</w:t>
            </w:r>
          </w:p>
        </w:tc>
        <w:tc>
          <w:tcPr>
            <w:tcW w:w="1268"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字符串</w:t>
            </w:r>
          </w:p>
        </w:tc>
        <w:tc>
          <w:tcPr>
            <w:tcW w:w="3981"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充电运营商定义的电站唯一编码，20位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15"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电站名称</w:t>
            </w:r>
          </w:p>
        </w:tc>
        <w:tc>
          <w:tcPr>
            <w:tcW w:w="1582"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S</w:t>
            </w:r>
            <w:r>
              <w:rPr>
                <w:rFonts w:ascii="仿宋_GB2312" w:eastAsia="仿宋_GB2312"/>
                <w:color w:val="000000"/>
                <w:szCs w:val="21"/>
              </w:rPr>
              <w:t>tationName</w:t>
            </w:r>
          </w:p>
        </w:tc>
        <w:tc>
          <w:tcPr>
            <w:tcW w:w="714"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是</w:t>
            </w:r>
          </w:p>
        </w:tc>
        <w:tc>
          <w:tcPr>
            <w:tcW w:w="1268"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字符串</w:t>
            </w:r>
          </w:p>
        </w:tc>
        <w:tc>
          <w:tcPr>
            <w:tcW w:w="3981"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充电站名称的描述，50位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515"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充电设备接口编码</w:t>
            </w:r>
          </w:p>
        </w:tc>
        <w:tc>
          <w:tcPr>
            <w:tcW w:w="1582"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ConnectorID</w:t>
            </w:r>
          </w:p>
        </w:tc>
        <w:tc>
          <w:tcPr>
            <w:tcW w:w="714"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是</w:t>
            </w:r>
          </w:p>
        </w:tc>
        <w:tc>
          <w:tcPr>
            <w:tcW w:w="1268"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字符串</w:t>
            </w:r>
          </w:p>
        </w:tc>
        <w:tc>
          <w:tcPr>
            <w:tcW w:w="3981"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充电运营商充电设备接口的编码，64位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515"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充电设备接口名称</w:t>
            </w:r>
          </w:p>
        </w:tc>
        <w:tc>
          <w:tcPr>
            <w:tcW w:w="1582"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ConnectorName</w:t>
            </w:r>
          </w:p>
        </w:tc>
        <w:tc>
          <w:tcPr>
            <w:tcW w:w="714"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是</w:t>
            </w:r>
          </w:p>
        </w:tc>
        <w:tc>
          <w:tcPr>
            <w:tcW w:w="1268"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字符串</w:t>
            </w:r>
          </w:p>
        </w:tc>
        <w:tc>
          <w:tcPr>
            <w:tcW w:w="3981"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充电设备的名称，同一场站下唯一，20位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515"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车牌号</w:t>
            </w:r>
          </w:p>
        </w:tc>
        <w:tc>
          <w:tcPr>
            <w:tcW w:w="1582"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License</w:t>
            </w:r>
            <w:r>
              <w:rPr>
                <w:rFonts w:hint="eastAsia" w:ascii="仿宋_GB2312" w:eastAsia="仿宋_GB2312"/>
                <w:color w:val="000000"/>
                <w:szCs w:val="21"/>
              </w:rPr>
              <w:t>P</w:t>
            </w:r>
            <w:r>
              <w:rPr>
                <w:rFonts w:ascii="仿宋_GB2312" w:eastAsia="仿宋_GB2312"/>
                <w:color w:val="000000"/>
                <w:szCs w:val="21"/>
              </w:rPr>
              <w:t>late</w:t>
            </w:r>
          </w:p>
        </w:tc>
        <w:tc>
          <w:tcPr>
            <w:tcW w:w="714"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是</w:t>
            </w:r>
          </w:p>
        </w:tc>
        <w:tc>
          <w:tcPr>
            <w:tcW w:w="1268"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字符串</w:t>
            </w:r>
          </w:p>
        </w:tc>
        <w:tc>
          <w:tcPr>
            <w:tcW w:w="3981"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必填项，需兼容新能源车牌号，≤20位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515"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车位号</w:t>
            </w:r>
          </w:p>
        </w:tc>
        <w:tc>
          <w:tcPr>
            <w:tcW w:w="1582"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ParkNo</w:t>
            </w:r>
          </w:p>
        </w:tc>
        <w:tc>
          <w:tcPr>
            <w:tcW w:w="714"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否</w:t>
            </w:r>
          </w:p>
        </w:tc>
        <w:tc>
          <w:tcPr>
            <w:tcW w:w="1268"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字符串</w:t>
            </w:r>
          </w:p>
        </w:tc>
        <w:tc>
          <w:tcPr>
            <w:tcW w:w="3981"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车位号，10位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515"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开始充电时间</w:t>
            </w:r>
          </w:p>
        </w:tc>
        <w:tc>
          <w:tcPr>
            <w:tcW w:w="1582"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StartTime</w:t>
            </w:r>
          </w:p>
        </w:tc>
        <w:tc>
          <w:tcPr>
            <w:tcW w:w="714"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是</w:t>
            </w:r>
          </w:p>
        </w:tc>
        <w:tc>
          <w:tcPr>
            <w:tcW w:w="1268"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字符型</w:t>
            </w:r>
          </w:p>
        </w:tc>
        <w:tc>
          <w:tcPr>
            <w:tcW w:w="3981"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格式</w:t>
            </w:r>
            <w:r>
              <w:rPr>
                <w:rFonts w:hint="eastAsia" w:ascii="仿宋_GB2312" w:eastAsia="仿宋_GB2312"/>
                <w:color w:val="000000"/>
                <w:szCs w:val="21"/>
              </w:rPr>
              <w:t>“</w:t>
            </w:r>
            <w:r>
              <w:rPr>
                <w:rFonts w:ascii="仿宋_GB2312" w:eastAsia="仿宋_GB2312"/>
                <w:color w:val="000000"/>
                <w:szCs w:val="21"/>
              </w:rPr>
              <w:t xml:space="preserve">yyyy-MM-dd </w:t>
            </w:r>
            <w:r>
              <w:rPr>
                <w:rFonts w:hint="eastAsia" w:ascii="仿宋_GB2312" w:eastAsia="仿宋_GB2312"/>
                <w:color w:val="000000"/>
                <w:szCs w:val="21"/>
              </w:rPr>
              <w:t>HH</w:t>
            </w:r>
            <w:r>
              <w:rPr>
                <w:rFonts w:ascii="仿宋_GB2312" w:eastAsia="仿宋_GB2312"/>
                <w:color w:val="000000"/>
                <w:szCs w:val="21"/>
              </w:rPr>
              <w:t>:mm:ss</w:t>
            </w:r>
            <w:r>
              <w:rPr>
                <w:rFonts w:hint="eastAsia" w:ascii="仿宋_GB2312"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15"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结束充电时间</w:t>
            </w:r>
          </w:p>
        </w:tc>
        <w:tc>
          <w:tcPr>
            <w:tcW w:w="1582"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EndTime</w:t>
            </w:r>
          </w:p>
        </w:tc>
        <w:tc>
          <w:tcPr>
            <w:tcW w:w="714"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是</w:t>
            </w:r>
          </w:p>
        </w:tc>
        <w:tc>
          <w:tcPr>
            <w:tcW w:w="1268"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字符型</w:t>
            </w:r>
          </w:p>
        </w:tc>
        <w:tc>
          <w:tcPr>
            <w:tcW w:w="3981"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格式</w:t>
            </w:r>
            <w:r>
              <w:rPr>
                <w:rFonts w:hint="eastAsia" w:ascii="仿宋_GB2312" w:eastAsia="仿宋_GB2312"/>
                <w:color w:val="000000"/>
                <w:szCs w:val="21"/>
              </w:rPr>
              <w:t>“</w:t>
            </w:r>
            <w:r>
              <w:rPr>
                <w:rFonts w:ascii="仿宋_GB2312" w:eastAsia="仿宋_GB2312"/>
                <w:color w:val="000000"/>
                <w:szCs w:val="21"/>
              </w:rPr>
              <w:t xml:space="preserve">yyyy-MM-dd </w:t>
            </w:r>
            <w:r>
              <w:rPr>
                <w:rFonts w:hint="eastAsia" w:ascii="仿宋_GB2312" w:eastAsia="仿宋_GB2312"/>
                <w:color w:val="000000"/>
                <w:szCs w:val="21"/>
              </w:rPr>
              <w:t>HH</w:t>
            </w:r>
            <w:r>
              <w:rPr>
                <w:rFonts w:ascii="仿宋_GB2312" w:eastAsia="仿宋_GB2312"/>
                <w:color w:val="000000"/>
                <w:szCs w:val="21"/>
              </w:rPr>
              <w:t>:mm:ss</w:t>
            </w:r>
            <w:r>
              <w:rPr>
                <w:rFonts w:hint="eastAsia" w:ascii="仿宋_GB2312"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15"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累计充电量</w:t>
            </w:r>
          </w:p>
        </w:tc>
        <w:tc>
          <w:tcPr>
            <w:tcW w:w="1582"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Total</w:t>
            </w:r>
            <w:r>
              <w:rPr>
                <w:rFonts w:ascii="仿宋_GB2312" w:eastAsia="仿宋_GB2312"/>
                <w:color w:val="000000"/>
                <w:szCs w:val="21"/>
              </w:rPr>
              <w:t>Power</w:t>
            </w:r>
          </w:p>
        </w:tc>
        <w:tc>
          <w:tcPr>
            <w:tcW w:w="714"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否</w:t>
            </w:r>
          </w:p>
        </w:tc>
        <w:tc>
          <w:tcPr>
            <w:tcW w:w="1268"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浮点型</w:t>
            </w:r>
          </w:p>
        </w:tc>
        <w:tc>
          <w:tcPr>
            <w:tcW w:w="3981"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单位：度，小数点后</w:t>
            </w:r>
            <w:r>
              <w:rPr>
                <w:rFonts w:ascii="仿宋_GB2312" w:eastAsia="仿宋_GB2312"/>
                <w:color w:val="000000"/>
                <w:szCs w:val="21"/>
              </w:rPr>
              <w:t>3</w:t>
            </w:r>
            <w:r>
              <w:rPr>
                <w:rFonts w:hint="eastAsia" w:ascii="仿宋_GB2312" w:eastAsia="仿宋_GB2312"/>
                <w:color w:val="000000"/>
                <w:szCs w:val="21"/>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15"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累计电费</w:t>
            </w:r>
          </w:p>
        </w:tc>
        <w:tc>
          <w:tcPr>
            <w:tcW w:w="1582"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ElecMoney</w:t>
            </w:r>
          </w:p>
        </w:tc>
        <w:tc>
          <w:tcPr>
            <w:tcW w:w="714"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否</w:t>
            </w:r>
          </w:p>
        </w:tc>
        <w:tc>
          <w:tcPr>
            <w:tcW w:w="1268"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浮点型</w:t>
            </w:r>
          </w:p>
        </w:tc>
        <w:tc>
          <w:tcPr>
            <w:tcW w:w="3981"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单位：元，小数点后</w:t>
            </w:r>
            <w:r>
              <w:rPr>
                <w:rFonts w:ascii="仿宋_GB2312" w:eastAsia="仿宋_GB2312"/>
                <w:color w:val="000000"/>
                <w:szCs w:val="21"/>
              </w:rPr>
              <w:t>2</w:t>
            </w:r>
            <w:r>
              <w:rPr>
                <w:rFonts w:hint="eastAsia" w:ascii="仿宋_GB2312" w:eastAsia="仿宋_GB2312"/>
                <w:color w:val="000000"/>
                <w:szCs w:val="21"/>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515"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累计服务费</w:t>
            </w:r>
          </w:p>
        </w:tc>
        <w:tc>
          <w:tcPr>
            <w:tcW w:w="1582"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S</w:t>
            </w:r>
            <w:r>
              <w:rPr>
                <w:rFonts w:hint="eastAsia" w:ascii="仿宋_GB2312" w:eastAsia="仿宋_GB2312"/>
                <w:color w:val="000000"/>
                <w:szCs w:val="21"/>
              </w:rPr>
              <w:t>evice</w:t>
            </w:r>
            <w:r>
              <w:rPr>
                <w:rFonts w:ascii="仿宋_GB2312" w:eastAsia="仿宋_GB2312"/>
                <w:color w:val="000000"/>
                <w:szCs w:val="21"/>
              </w:rPr>
              <w:t>Money</w:t>
            </w:r>
          </w:p>
        </w:tc>
        <w:tc>
          <w:tcPr>
            <w:tcW w:w="714"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否</w:t>
            </w:r>
          </w:p>
        </w:tc>
        <w:tc>
          <w:tcPr>
            <w:tcW w:w="1268"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浮点型</w:t>
            </w:r>
          </w:p>
        </w:tc>
        <w:tc>
          <w:tcPr>
            <w:tcW w:w="3981"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单位：元，小数点后</w:t>
            </w:r>
            <w:r>
              <w:rPr>
                <w:rFonts w:ascii="仿宋_GB2312" w:eastAsia="仿宋_GB2312"/>
                <w:color w:val="000000"/>
                <w:szCs w:val="21"/>
              </w:rPr>
              <w:t>2</w:t>
            </w:r>
            <w:r>
              <w:rPr>
                <w:rFonts w:hint="eastAsia" w:ascii="仿宋_GB2312" w:eastAsia="仿宋_GB2312"/>
                <w:color w:val="000000"/>
                <w:szCs w:val="21"/>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515"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累计总金额</w:t>
            </w:r>
          </w:p>
        </w:tc>
        <w:tc>
          <w:tcPr>
            <w:tcW w:w="1582"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Total</w:t>
            </w:r>
            <w:r>
              <w:rPr>
                <w:rFonts w:ascii="仿宋_GB2312" w:eastAsia="仿宋_GB2312"/>
                <w:color w:val="000000"/>
                <w:szCs w:val="21"/>
              </w:rPr>
              <w:t>Money</w:t>
            </w:r>
          </w:p>
        </w:tc>
        <w:tc>
          <w:tcPr>
            <w:tcW w:w="714"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否</w:t>
            </w:r>
          </w:p>
        </w:tc>
        <w:tc>
          <w:tcPr>
            <w:tcW w:w="1268"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浮点型</w:t>
            </w:r>
          </w:p>
        </w:tc>
        <w:tc>
          <w:tcPr>
            <w:tcW w:w="3981"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单位：元，小数点后</w:t>
            </w:r>
            <w:r>
              <w:rPr>
                <w:rFonts w:ascii="仿宋_GB2312" w:eastAsia="仿宋_GB2312"/>
                <w:color w:val="000000"/>
                <w:szCs w:val="21"/>
              </w:rPr>
              <w:t>2</w:t>
            </w:r>
            <w:r>
              <w:rPr>
                <w:rFonts w:hint="eastAsia" w:ascii="仿宋_GB2312" w:eastAsia="仿宋_GB2312"/>
                <w:color w:val="000000"/>
                <w:szCs w:val="21"/>
              </w:rPr>
              <w:t>位</w:t>
            </w:r>
          </w:p>
        </w:tc>
      </w:tr>
    </w:tbl>
    <w:p>
      <w:pPr>
        <w:spacing w:line="590" w:lineRule="exact"/>
        <w:ind w:firstLine="640" w:firstLineChars="200"/>
        <w:jc w:val="left"/>
        <w:rPr>
          <w:rFonts w:ascii="仿宋_GB2312" w:eastAsia="仿宋_GB2312"/>
          <w:sz w:val="32"/>
          <w:szCs w:val="22"/>
          <w:lang w:bidi="ar"/>
        </w:rPr>
      </w:pPr>
      <w:bookmarkStart w:id="129" w:name="_Toc73955512"/>
      <w:bookmarkStart w:id="130" w:name="_Toc73955373"/>
      <w:r>
        <w:rPr>
          <w:rFonts w:hint="eastAsia" w:ascii="仿宋_GB2312" w:eastAsia="仿宋_GB2312"/>
          <w:sz w:val="32"/>
          <w:szCs w:val="22"/>
          <w:lang w:bidi="ar"/>
        </w:rPr>
        <w:t>4</w:t>
      </w:r>
      <w:r>
        <w:rPr>
          <w:rFonts w:hint="eastAsia" w:ascii="仿宋_GB2312" w:eastAsia="仿宋_GB2312"/>
          <w:sz w:val="32"/>
          <w:szCs w:val="22"/>
          <w:lang w:eastAsia="zh-CN" w:bidi="ar"/>
        </w:rPr>
        <w:t>）</w:t>
      </w:r>
      <w:r>
        <w:rPr>
          <w:rFonts w:hint="eastAsia" w:ascii="仿宋_GB2312" w:eastAsia="仿宋_GB2312"/>
          <w:sz w:val="32"/>
          <w:szCs w:val="22"/>
          <w:lang w:bidi="ar"/>
        </w:rPr>
        <w:t>返回值</w:t>
      </w:r>
      <w:bookmarkEnd w:id="129"/>
      <w:bookmarkEnd w:id="130"/>
    </w:p>
    <w:p>
      <w:pPr>
        <w:spacing w:line="590" w:lineRule="exact"/>
        <w:jc w:val="center"/>
        <w:rPr>
          <w:rFonts w:ascii="仿宋_GB2312" w:hAnsi="黑体" w:eastAsia="仿宋_GB2312"/>
          <w:sz w:val="32"/>
          <w:szCs w:val="22"/>
        </w:rPr>
      </w:pPr>
      <w:r>
        <w:rPr>
          <w:rFonts w:hint="eastAsia" w:ascii="仿宋_GB2312" w:hAnsi="黑体" w:eastAsia="仿宋_GB2312"/>
          <w:sz w:val="32"/>
          <w:szCs w:val="22"/>
        </w:rPr>
        <w:t>表4 推送停车场充电记录返回值表</w:t>
      </w:r>
    </w:p>
    <w:tbl>
      <w:tblPr>
        <w:tblStyle w:val="51"/>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1"/>
        <w:gridCol w:w="1790"/>
        <w:gridCol w:w="660"/>
        <w:gridCol w:w="1073"/>
        <w:gridCol w:w="3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261" w:type="dxa"/>
            <w:vAlign w:val="center"/>
          </w:tcPr>
          <w:p>
            <w:pPr>
              <w:spacing w:line="300" w:lineRule="exact"/>
              <w:jc w:val="center"/>
              <w:rPr>
                <w:rFonts w:ascii="黑体" w:hAnsi="黑体" w:eastAsia="黑体"/>
                <w:color w:val="000000"/>
                <w:szCs w:val="21"/>
              </w:rPr>
            </w:pPr>
            <w:r>
              <w:rPr>
                <w:rFonts w:ascii="黑体" w:hAnsi="黑体" w:eastAsia="黑体"/>
                <w:color w:val="000000"/>
                <w:szCs w:val="21"/>
              </w:rPr>
              <w:t>参数名称</w:t>
            </w:r>
          </w:p>
        </w:tc>
        <w:tc>
          <w:tcPr>
            <w:tcW w:w="1790" w:type="dxa"/>
            <w:vAlign w:val="center"/>
          </w:tcPr>
          <w:p>
            <w:pPr>
              <w:spacing w:line="300" w:lineRule="exact"/>
              <w:jc w:val="center"/>
              <w:rPr>
                <w:rFonts w:ascii="黑体" w:hAnsi="黑体" w:eastAsia="黑体"/>
                <w:color w:val="000000"/>
                <w:szCs w:val="21"/>
              </w:rPr>
            </w:pPr>
            <w:r>
              <w:rPr>
                <w:rFonts w:ascii="黑体" w:hAnsi="黑体" w:eastAsia="黑体"/>
                <w:color w:val="000000"/>
                <w:szCs w:val="21"/>
              </w:rPr>
              <w:t>定义</w:t>
            </w:r>
          </w:p>
        </w:tc>
        <w:tc>
          <w:tcPr>
            <w:tcW w:w="660" w:type="dxa"/>
            <w:vAlign w:val="center"/>
          </w:tcPr>
          <w:p>
            <w:pPr>
              <w:spacing w:line="300" w:lineRule="exact"/>
              <w:jc w:val="center"/>
              <w:rPr>
                <w:rFonts w:ascii="黑体" w:hAnsi="黑体" w:eastAsia="黑体"/>
                <w:color w:val="000000"/>
                <w:szCs w:val="21"/>
              </w:rPr>
            </w:pPr>
            <w:r>
              <w:rPr>
                <w:rFonts w:ascii="黑体" w:hAnsi="黑体" w:eastAsia="黑体"/>
                <w:color w:val="000000"/>
                <w:szCs w:val="21"/>
              </w:rPr>
              <w:t>必填</w:t>
            </w:r>
          </w:p>
        </w:tc>
        <w:tc>
          <w:tcPr>
            <w:tcW w:w="1073" w:type="dxa"/>
            <w:vAlign w:val="center"/>
          </w:tcPr>
          <w:p>
            <w:pPr>
              <w:spacing w:line="300" w:lineRule="exact"/>
              <w:jc w:val="center"/>
              <w:rPr>
                <w:rFonts w:ascii="黑体" w:hAnsi="黑体" w:eastAsia="黑体"/>
                <w:color w:val="000000"/>
                <w:szCs w:val="21"/>
              </w:rPr>
            </w:pPr>
            <w:r>
              <w:rPr>
                <w:rFonts w:ascii="黑体" w:hAnsi="黑体" w:eastAsia="黑体"/>
                <w:color w:val="000000"/>
                <w:szCs w:val="21"/>
              </w:rPr>
              <w:t>参数类型</w:t>
            </w:r>
          </w:p>
        </w:tc>
        <w:tc>
          <w:tcPr>
            <w:tcW w:w="3276" w:type="dxa"/>
            <w:vAlign w:val="center"/>
          </w:tcPr>
          <w:p>
            <w:pPr>
              <w:spacing w:line="300" w:lineRule="exact"/>
              <w:jc w:val="center"/>
              <w:rPr>
                <w:rFonts w:ascii="黑体" w:hAnsi="黑体" w:eastAsia="黑体"/>
                <w:color w:val="000000"/>
                <w:szCs w:val="21"/>
              </w:rPr>
            </w:pPr>
            <w:r>
              <w:rPr>
                <w:rFonts w:ascii="黑体" w:hAnsi="黑体" w:eastAsia="黑体"/>
                <w:color w:val="000000"/>
                <w:szCs w:val="21"/>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261"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充电订单号</w:t>
            </w:r>
          </w:p>
        </w:tc>
        <w:tc>
          <w:tcPr>
            <w:tcW w:w="1790"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OrderNo</w:t>
            </w:r>
          </w:p>
        </w:tc>
        <w:tc>
          <w:tcPr>
            <w:tcW w:w="660"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是</w:t>
            </w:r>
          </w:p>
        </w:tc>
        <w:tc>
          <w:tcPr>
            <w:tcW w:w="1073"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字符串</w:t>
            </w:r>
          </w:p>
        </w:tc>
        <w:tc>
          <w:tcPr>
            <w:tcW w:w="3276"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充电运营商订单号，不超过64位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261"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确认结果</w:t>
            </w:r>
          </w:p>
        </w:tc>
        <w:tc>
          <w:tcPr>
            <w:tcW w:w="1790"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ConfirmResult</w:t>
            </w:r>
          </w:p>
        </w:tc>
        <w:tc>
          <w:tcPr>
            <w:tcW w:w="660"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是</w:t>
            </w:r>
          </w:p>
        </w:tc>
        <w:tc>
          <w:tcPr>
            <w:tcW w:w="1073"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整型</w:t>
            </w:r>
          </w:p>
        </w:tc>
        <w:tc>
          <w:tcPr>
            <w:tcW w:w="3276"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0</w:t>
            </w:r>
            <w:r>
              <w:rPr>
                <w:rFonts w:ascii="仿宋_GB2312" w:eastAsia="仿宋_GB2312"/>
                <w:color w:val="000000"/>
                <w:szCs w:val="21"/>
              </w:rPr>
              <w:t>:</w:t>
            </w:r>
            <w:r>
              <w:rPr>
                <w:rFonts w:hint="eastAsia" w:ascii="仿宋_GB2312" w:eastAsia="仿宋_GB2312"/>
                <w:color w:val="000000"/>
                <w:szCs w:val="21"/>
              </w:rPr>
              <w:t>成功</w:t>
            </w:r>
          </w:p>
          <w:p>
            <w:pPr>
              <w:spacing w:line="300" w:lineRule="exact"/>
              <w:jc w:val="center"/>
              <w:rPr>
                <w:rFonts w:ascii="仿宋_GB2312" w:eastAsia="仿宋_GB2312"/>
                <w:color w:val="000000"/>
                <w:szCs w:val="21"/>
              </w:rPr>
            </w:pPr>
            <w:r>
              <w:rPr>
                <w:rFonts w:ascii="仿宋_GB2312" w:eastAsia="仿宋_GB2312"/>
                <w:color w:val="000000"/>
                <w:szCs w:val="21"/>
              </w:rPr>
              <w:t>1:</w:t>
            </w:r>
            <w:r>
              <w:rPr>
                <w:rFonts w:hint="eastAsia" w:ascii="仿宋_GB2312" w:eastAsia="仿宋_GB2312"/>
                <w:color w:val="000000"/>
                <w:szCs w:val="21"/>
              </w:rPr>
              <w:t>失败</w:t>
            </w:r>
          </w:p>
        </w:tc>
      </w:tr>
    </w:tbl>
    <w:p>
      <w:pPr>
        <w:spacing w:line="590" w:lineRule="exact"/>
        <w:ind w:firstLine="640" w:firstLineChars="200"/>
        <w:jc w:val="left"/>
        <w:outlineLvl w:val="4"/>
        <w:rPr>
          <w:rFonts w:ascii="仿宋_GB2312" w:eastAsia="仿宋_GB2312"/>
          <w:sz w:val="32"/>
          <w:szCs w:val="22"/>
          <w:lang w:bidi="ar"/>
        </w:rPr>
      </w:pPr>
      <w:bookmarkStart w:id="131" w:name="_Toc73955374"/>
      <w:bookmarkStart w:id="132" w:name="_Toc73955513"/>
      <w:r>
        <w:rPr>
          <w:rFonts w:hint="eastAsia" w:ascii="仿宋_GB2312" w:eastAsia="仿宋_GB2312"/>
          <w:sz w:val="32"/>
          <w:szCs w:val="22"/>
          <w:lang w:bidi="ar"/>
        </w:rPr>
        <w:t>b.停车场充电记录查询</w:t>
      </w:r>
      <w:bookmarkEnd w:id="131"/>
      <w:bookmarkEnd w:id="132"/>
    </w:p>
    <w:p>
      <w:pPr>
        <w:spacing w:line="590" w:lineRule="exact"/>
        <w:ind w:firstLine="640" w:firstLineChars="200"/>
        <w:jc w:val="left"/>
        <w:rPr>
          <w:rFonts w:ascii="仿宋_GB2312" w:eastAsia="仿宋_GB2312"/>
          <w:sz w:val="32"/>
          <w:szCs w:val="22"/>
          <w:lang w:bidi="ar"/>
        </w:rPr>
      </w:pPr>
      <w:bookmarkStart w:id="133" w:name="_Toc73955514"/>
      <w:bookmarkStart w:id="134" w:name="_Toc73955375"/>
      <w:r>
        <w:rPr>
          <w:rFonts w:hint="eastAsia" w:ascii="仿宋_GB2312" w:eastAsia="仿宋_GB2312"/>
          <w:sz w:val="32"/>
          <w:szCs w:val="22"/>
          <w:lang w:bidi="ar"/>
        </w:rPr>
        <w:t>1</w:t>
      </w:r>
      <w:r>
        <w:rPr>
          <w:rFonts w:hint="eastAsia" w:ascii="仿宋_GB2312" w:eastAsia="仿宋_GB2312"/>
          <w:sz w:val="32"/>
          <w:szCs w:val="22"/>
          <w:lang w:eastAsia="zh-CN" w:bidi="ar"/>
        </w:rPr>
        <w:t>）</w:t>
      </w:r>
      <w:r>
        <w:rPr>
          <w:rFonts w:hint="eastAsia" w:ascii="仿宋_GB2312" w:eastAsia="仿宋_GB2312"/>
          <w:sz w:val="32"/>
          <w:szCs w:val="22"/>
          <w:lang w:bidi="ar"/>
        </w:rPr>
        <w:t>概述</w:t>
      </w:r>
      <w:bookmarkEnd w:id="133"/>
      <w:bookmarkEnd w:id="134"/>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此接口用于停车场服务平台向充电平台查询充电订单信息。</w:t>
      </w:r>
    </w:p>
    <w:p>
      <w:pPr>
        <w:spacing w:line="590" w:lineRule="exact"/>
        <w:ind w:firstLine="640" w:firstLineChars="200"/>
        <w:jc w:val="left"/>
        <w:rPr>
          <w:rFonts w:ascii="仿宋_GB2312" w:eastAsia="仿宋_GB2312"/>
          <w:sz w:val="32"/>
          <w:szCs w:val="22"/>
          <w:lang w:bidi="ar"/>
        </w:rPr>
      </w:pPr>
      <w:bookmarkStart w:id="135" w:name="_Toc73955376"/>
      <w:bookmarkStart w:id="136" w:name="_Toc73955515"/>
      <w:r>
        <w:rPr>
          <w:rFonts w:hint="eastAsia" w:ascii="仿宋_GB2312" w:eastAsia="仿宋_GB2312"/>
          <w:sz w:val="32"/>
          <w:szCs w:val="22"/>
          <w:lang w:bidi="ar"/>
        </w:rPr>
        <w:t>2</w:t>
      </w:r>
      <w:r>
        <w:rPr>
          <w:rFonts w:hint="eastAsia" w:ascii="仿宋_GB2312" w:eastAsia="仿宋_GB2312"/>
          <w:sz w:val="32"/>
          <w:szCs w:val="22"/>
          <w:lang w:eastAsia="zh-CN" w:bidi="ar"/>
        </w:rPr>
        <w:t>）</w:t>
      </w:r>
      <w:r>
        <w:rPr>
          <w:rFonts w:hint="eastAsia" w:ascii="仿宋_GB2312" w:eastAsia="仿宋_GB2312"/>
          <w:sz w:val="32"/>
          <w:szCs w:val="22"/>
          <w:lang w:bidi="ar"/>
        </w:rPr>
        <w:t>接口定义</w:t>
      </w:r>
      <w:bookmarkEnd w:id="135"/>
      <w:bookmarkEnd w:id="136"/>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接口名称：query_order_info_by_platenum</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接口使用方法：由充电平台实现此接口，停车场服务平台方调用。</w:t>
      </w:r>
    </w:p>
    <w:p>
      <w:pPr>
        <w:spacing w:line="590" w:lineRule="exact"/>
        <w:ind w:firstLine="640" w:firstLineChars="200"/>
        <w:jc w:val="left"/>
        <w:rPr>
          <w:rFonts w:ascii="仿宋_GB2312" w:eastAsia="仿宋_GB2312"/>
          <w:sz w:val="32"/>
          <w:szCs w:val="22"/>
          <w:lang w:bidi="ar"/>
        </w:rPr>
      </w:pPr>
      <w:bookmarkStart w:id="137" w:name="_Toc73955377"/>
      <w:bookmarkStart w:id="138" w:name="_Toc73955516"/>
      <w:r>
        <w:rPr>
          <w:rFonts w:hint="eastAsia" w:ascii="仿宋_GB2312" w:eastAsia="仿宋_GB2312"/>
          <w:sz w:val="32"/>
          <w:szCs w:val="22"/>
          <w:lang w:bidi="ar"/>
        </w:rPr>
        <w:t>3</w:t>
      </w:r>
      <w:r>
        <w:rPr>
          <w:rFonts w:hint="eastAsia" w:ascii="仿宋_GB2312" w:eastAsia="仿宋_GB2312"/>
          <w:sz w:val="32"/>
          <w:szCs w:val="22"/>
          <w:lang w:eastAsia="zh-CN" w:bidi="ar"/>
        </w:rPr>
        <w:t>）</w:t>
      </w:r>
      <w:r>
        <w:rPr>
          <w:rFonts w:hint="eastAsia" w:ascii="仿宋_GB2312" w:eastAsia="仿宋_GB2312"/>
          <w:sz w:val="32"/>
          <w:szCs w:val="22"/>
          <w:lang w:bidi="ar"/>
        </w:rPr>
        <w:t>输入参数</w:t>
      </w:r>
      <w:bookmarkEnd w:id="137"/>
      <w:bookmarkEnd w:id="138"/>
    </w:p>
    <w:p>
      <w:pPr>
        <w:spacing w:line="590" w:lineRule="exact"/>
        <w:jc w:val="center"/>
        <w:rPr>
          <w:rFonts w:ascii="仿宋_GB2312" w:hAnsi="黑体" w:eastAsia="仿宋_GB2312"/>
          <w:sz w:val="32"/>
          <w:szCs w:val="22"/>
        </w:rPr>
      </w:pPr>
      <w:r>
        <w:rPr>
          <w:rFonts w:hint="eastAsia" w:ascii="仿宋_GB2312" w:hAnsi="黑体" w:eastAsia="仿宋_GB2312"/>
          <w:sz w:val="32"/>
          <w:szCs w:val="22"/>
        </w:rPr>
        <w:t>表5 停车场充电记录查询输入参数表</w:t>
      </w:r>
    </w:p>
    <w:tbl>
      <w:tblPr>
        <w:tblStyle w:val="51"/>
        <w:tblW w:w="9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1609"/>
        <w:gridCol w:w="851"/>
        <w:gridCol w:w="1160"/>
        <w:gridCol w:w="4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201" w:type="dxa"/>
            <w:vAlign w:val="center"/>
          </w:tcPr>
          <w:p>
            <w:pPr>
              <w:spacing w:line="300" w:lineRule="exact"/>
              <w:jc w:val="center"/>
              <w:rPr>
                <w:rFonts w:ascii="黑体" w:hAnsi="黑体" w:eastAsia="黑体"/>
                <w:color w:val="000000"/>
                <w:szCs w:val="21"/>
              </w:rPr>
            </w:pPr>
            <w:r>
              <w:rPr>
                <w:rFonts w:ascii="黑体" w:hAnsi="黑体" w:eastAsia="黑体"/>
                <w:color w:val="000000"/>
                <w:szCs w:val="21"/>
              </w:rPr>
              <w:t>参数名称</w:t>
            </w:r>
          </w:p>
        </w:tc>
        <w:tc>
          <w:tcPr>
            <w:tcW w:w="1609" w:type="dxa"/>
            <w:vAlign w:val="center"/>
          </w:tcPr>
          <w:p>
            <w:pPr>
              <w:spacing w:line="300" w:lineRule="exact"/>
              <w:jc w:val="center"/>
              <w:rPr>
                <w:rFonts w:ascii="黑体" w:hAnsi="黑体" w:eastAsia="黑体"/>
                <w:color w:val="000000"/>
                <w:szCs w:val="21"/>
              </w:rPr>
            </w:pPr>
            <w:r>
              <w:rPr>
                <w:rFonts w:ascii="黑体" w:hAnsi="黑体" w:eastAsia="黑体"/>
                <w:color w:val="000000"/>
                <w:szCs w:val="21"/>
              </w:rPr>
              <w:t>定义</w:t>
            </w:r>
          </w:p>
        </w:tc>
        <w:tc>
          <w:tcPr>
            <w:tcW w:w="851" w:type="dxa"/>
            <w:vAlign w:val="center"/>
          </w:tcPr>
          <w:p>
            <w:pPr>
              <w:spacing w:line="300" w:lineRule="exact"/>
              <w:jc w:val="center"/>
              <w:rPr>
                <w:rFonts w:ascii="黑体" w:hAnsi="黑体" w:eastAsia="黑体"/>
                <w:color w:val="000000"/>
                <w:szCs w:val="21"/>
              </w:rPr>
            </w:pPr>
            <w:r>
              <w:rPr>
                <w:rFonts w:ascii="黑体" w:hAnsi="黑体" w:eastAsia="黑体"/>
                <w:color w:val="000000"/>
                <w:szCs w:val="21"/>
              </w:rPr>
              <w:t>必填</w:t>
            </w:r>
          </w:p>
        </w:tc>
        <w:tc>
          <w:tcPr>
            <w:tcW w:w="1160" w:type="dxa"/>
            <w:vAlign w:val="center"/>
          </w:tcPr>
          <w:p>
            <w:pPr>
              <w:spacing w:line="300" w:lineRule="exact"/>
              <w:jc w:val="center"/>
              <w:rPr>
                <w:rFonts w:ascii="黑体" w:hAnsi="黑体" w:eastAsia="黑体"/>
                <w:color w:val="000000"/>
                <w:szCs w:val="21"/>
              </w:rPr>
            </w:pPr>
            <w:r>
              <w:rPr>
                <w:rFonts w:ascii="黑体" w:hAnsi="黑体" w:eastAsia="黑体"/>
                <w:color w:val="000000"/>
                <w:szCs w:val="21"/>
              </w:rPr>
              <w:t>参数类型</w:t>
            </w:r>
          </w:p>
        </w:tc>
        <w:tc>
          <w:tcPr>
            <w:tcW w:w="4722" w:type="dxa"/>
            <w:vAlign w:val="center"/>
          </w:tcPr>
          <w:p>
            <w:pPr>
              <w:spacing w:line="300" w:lineRule="exact"/>
              <w:jc w:val="center"/>
              <w:rPr>
                <w:rFonts w:ascii="黑体" w:hAnsi="黑体" w:eastAsia="黑体"/>
                <w:color w:val="000000"/>
                <w:szCs w:val="21"/>
              </w:rPr>
            </w:pPr>
            <w:r>
              <w:rPr>
                <w:rFonts w:ascii="黑体" w:hAnsi="黑体" w:eastAsia="黑体"/>
                <w:color w:val="000000"/>
                <w:szCs w:val="21"/>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201"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车牌号</w:t>
            </w:r>
          </w:p>
        </w:tc>
        <w:tc>
          <w:tcPr>
            <w:tcW w:w="1609"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License</w:t>
            </w:r>
            <w:r>
              <w:rPr>
                <w:rFonts w:hint="eastAsia" w:ascii="仿宋_GB2312" w:eastAsia="仿宋_GB2312"/>
                <w:color w:val="000000"/>
                <w:szCs w:val="21"/>
              </w:rPr>
              <w:t>P</w:t>
            </w:r>
            <w:r>
              <w:rPr>
                <w:rFonts w:ascii="仿宋_GB2312" w:eastAsia="仿宋_GB2312"/>
                <w:color w:val="000000"/>
                <w:szCs w:val="21"/>
              </w:rPr>
              <w:t>late</w:t>
            </w:r>
          </w:p>
        </w:tc>
        <w:tc>
          <w:tcPr>
            <w:tcW w:w="851"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是</w:t>
            </w:r>
          </w:p>
        </w:tc>
        <w:tc>
          <w:tcPr>
            <w:tcW w:w="1160"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字符串</w:t>
            </w:r>
          </w:p>
        </w:tc>
        <w:tc>
          <w:tcPr>
            <w:tcW w:w="4722"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必填项，需兼容新能源车牌号，≤20位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201"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电站编号</w:t>
            </w:r>
          </w:p>
        </w:tc>
        <w:tc>
          <w:tcPr>
            <w:tcW w:w="1609"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S</w:t>
            </w:r>
            <w:r>
              <w:rPr>
                <w:rFonts w:ascii="仿宋_GB2312" w:eastAsia="仿宋_GB2312"/>
                <w:color w:val="000000"/>
                <w:szCs w:val="21"/>
              </w:rPr>
              <w:t>tation</w:t>
            </w:r>
            <w:r>
              <w:rPr>
                <w:rFonts w:hint="eastAsia" w:ascii="仿宋_GB2312" w:eastAsia="仿宋_GB2312"/>
                <w:color w:val="000000"/>
                <w:szCs w:val="21"/>
              </w:rPr>
              <w:t>ID</w:t>
            </w:r>
          </w:p>
        </w:tc>
        <w:tc>
          <w:tcPr>
            <w:tcW w:w="851"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否</w:t>
            </w:r>
          </w:p>
        </w:tc>
        <w:tc>
          <w:tcPr>
            <w:tcW w:w="1160"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字符串</w:t>
            </w:r>
          </w:p>
        </w:tc>
        <w:tc>
          <w:tcPr>
            <w:tcW w:w="4722"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充电运营商定义的电站唯一编码，20位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201"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起始时间</w:t>
            </w:r>
          </w:p>
        </w:tc>
        <w:tc>
          <w:tcPr>
            <w:tcW w:w="1609"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StartTime</w:t>
            </w:r>
          </w:p>
        </w:tc>
        <w:tc>
          <w:tcPr>
            <w:tcW w:w="851"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是</w:t>
            </w:r>
          </w:p>
        </w:tc>
        <w:tc>
          <w:tcPr>
            <w:tcW w:w="1160"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字符型</w:t>
            </w:r>
          </w:p>
        </w:tc>
        <w:tc>
          <w:tcPr>
            <w:tcW w:w="4722"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格式</w:t>
            </w:r>
            <w:r>
              <w:rPr>
                <w:rFonts w:hint="eastAsia" w:ascii="仿宋_GB2312" w:eastAsia="仿宋_GB2312"/>
                <w:color w:val="000000"/>
                <w:szCs w:val="21"/>
              </w:rPr>
              <w:t>“</w:t>
            </w:r>
            <w:r>
              <w:rPr>
                <w:rFonts w:ascii="仿宋_GB2312" w:eastAsia="仿宋_GB2312"/>
                <w:color w:val="000000"/>
                <w:szCs w:val="21"/>
              </w:rPr>
              <w:t xml:space="preserve">yyyy-MM-dd </w:t>
            </w:r>
            <w:r>
              <w:rPr>
                <w:rFonts w:hint="eastAsia" w:ascii="仿宋_GB2312" w:eastAsia="仿宋_GB2312"/>
                <w:color w:val="000000"/>
                <w:szCs w:val="21"/>
              </w:rPr>
              <w:t>HH</w:t>
            </w:r>
            <w:r>
              <w:rPr>
                <w:rFonts w:ascii="仿宋_GB2312" w:eastAsia="仿宋_GB2312"/>
                <w:color w:val="000000"/>
                <w:szCs w:val="21"/>
              </w:rPr>
              <w:t>:mm:ss</w:t>
            </w:r>
            <w:r>
              <w:rPr>
                <w:rFonts w:hint="eastAsia" w:ascii="仿宋_GB2312" w:eastAsia="仿宋_GB2312"/>
                <w:color w:val="000000"/>
                <w:szCs w:val="21"/>
              </w:rPr>
              <w:t>”查询时间范围，建议用停车开始时间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201"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结束时间</w:t>
            </w:r>
          </w:p>
        </w:tc>
        <w:tc>
          <w:tcPr>
            <w:tcW w:w="1609"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EndTime</w:t>
            </w:r>
          </w:p>
        </w:tc>
        <w:tc>
          <w:tcPr>
            <w:tcW w:w="851"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是</w:t>
            </w:r>
          </w:p>
        </w:tc>
        <w:tc>
          <w:tcPr>
            <w:tcW w:w="1160"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字符型</w:t>
            </w:r>
          </w:p>
        </w:tc>
        <w:tc>
          <w:tcPr>
            <w:tcW w:w="4722"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格式</w:t>
            </w:r>
            <w:r>
              <w:rPr>
                <w:rFonts w:hint="eastAsia" w:ascii="仿宋_GB2312" w:eastAsia="仿宋_GB2312"/>
                <w:color w:val="000000"/>
                <w:szCs w:val="21"/>
              </w:rPr>
              <w:t>“</w:t>
            </w:r>
            <w:r>
              <w:rPr>
                <w:rFonts w:ascii="仿宋_GB2312" w:eastAsia="仿宋_GB2312"/>
                <w:color w:val="000000"/>
                <w:szCs w:val="21"/>
              </w:rPr>
              <w:t xml:space="preserve">yyyy-MM-dd </w:t>
            </w:r>
            <w:r>
              <w:rPr>
                <w:rFonts w:hint="eastAsia" w:ascii="仿宋_GB2312" w:eastAsia="仿宋_GB2312"/>
                <w:color w:val="000000"/>
                <w:szCs w:val="21"/>
              </w:rPr>
              <w:t>HH</w:t>
            </w:r>
            <w:r>
              <w:rPr>
                <w:rFonts w:ascii="仿宋_GB2312" w:eastAsia="仿宋_GB2312"/>
                <w:color w:val="000000"/>
                <w:szCs w:val="21"/>
              </w:rPr>
              <w:t>:mm:ss</w:t>
            </w:r>
            <w:r>
              <w:rPr>
                <w:rFonts w:hint="eastAsia" w:ascii="仿宋_GB2312" w:eastAsia="仿宋_GB2312"/>
                <w:color w:val="000000"/>
                <w:szCs w:val="21"/>
              </w:rPr>
              <w:t>”查询时间范围，建议用停车结束时间。时间间隔最长支持24小时。</w:t>
            </w:r>
          </w:p>
        </w:tc>
      </w:tr>
    </w:tbl>
    <w:p>
      <w:pPr>
        <w:spacing w:line="590" w:lineRule="exact"/>
        <w:ind w:firstLine="640" w:firstLineChars="200"/>
        <w:jc w:val="left"/>
        <w:rPr>
          <w:rFonts w:ascii="仿宋_GB2312" w:eastAsia="仿宋_GB2312"/>
          <w:sz w:val="32"/>
          <w:szCs w:val="22"/>
          <w:lang w:bidi="ar"/>
        </w:rPr>
      </w:pPr>
      <w:bookmarkStart w:id="139" w:name="_Toc73955378"/>
      <w:bookmarkStart w:id="140" w:name="_Toc73955517"/>
      <w:r>
        <w:rPr>
          <w:rFonts w:hint="eastAsia" w:ascii="仿宋_GB2312" w:eastAsia="仿宋_GB2312"/>
          <w:sz w:val="32"/>
          <w:szCs w:val="22"/>
          <w:lang w:bidi="ar"/>
        </w:rPr>
        <w:t>4）返回值</w:t>
      </w:r>
      <w:bookmarkEnd w:id="139"/>
      <w:bookmarkEnd w:id="140"/>
    </w:p>
    <w:p>
      <w:pPr>
        <w:spacing w:line="590" w:lineRule="exact"/>
        <w:jc w:val="center"/>
        <w:rPr>
          <w:rFonts w:ascii="仿宋_GB2312" w:hAnsi="黑体" w:eastAsia="仿宋_GB2312"/>
          <w:sz w:val="32"/>
          <w:szCs w:val="22"/>
        </w:rPr>
      </w:pPr>
      <w:r>
        <w:rPr>
          <w:rFonts w:hint="eastAsia" w:ascii="仿宋_GB2312" w:hAnsi="黑体" w:eastAsia="仿宋_GB2312"/>
          <w:sz w:val="32"/>
          <w:szCs w:val="22"/>
        </w:rPr>
        <w:t>表6 停车场充电记录查询返回值表</w:t>
      </w:r>
    </w:p>
    <w:tbl>
      <w:tblPr>
        <w:tblStyle w:val="51"/>
        <w:tblW w:w="9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1740"/>
        <w:gridCol w:w="1129"/>
        <w:gridCol w:w="1989"/>
        <w:gridCol w:w="3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433" w:type="dxa"/>
            <w:vAlign w:val="center"/>
          </w:tcPr>
          <w:p>
            <w:pPr>
              <w:spacing w:line="300" w:lineRule="exact"/>
              <w:jc w:val="center"/>
              <w:rPr>
                <w:rFonts w:ascii="黑体" w:hAnsi="黑体" w:eastAsia="黑体"/>
                <w:color w:val="000000"/>
                <w:szCs w:val="21"/>
              </w:rPr>
            </w:pPr>
            <w:r>
              <w:rPr>
                <w:rFonts w:ascii="黑体" w:hAnsi="黑体" w:eastAsia="黑体"/>
                <w:color w:val="000000"/>
                <w:szCs w:val="21"/>
              </w:rPr>
              <w:t>参数名称</w:t>
            </w:r>
          </w:p>
        </w:tc>
        <w:tc>
          <w:tcPr>
            <w:tcW w:w="1740" w:type="dxa"/>
            <w:vAlign w:val="center"/>
          </w:tcPr>
          <w:p>
            <w:pPr>
              <w:spacing w:line="300" w:lineRule="exact"/>
              <w:jc w:val="center"/>
              <w:rPr>
                <w:rFonts w:ascii="黑体" w:hAnsi="黑体" w:eastAsia="黑体"/>
                <w:color w:val="000000"/>
                <w:szCs w:val="21"/>
              </w:rPr>
            </w:pPr>
            <w:r>
              <w:rPr>
                <w:rFonts w:ascii="黑体" w:hAnsi="黑体" w:eastAsia="黑体"/>
                <w:color w:val="000000"/>
                <w:szCs w:val="21"/>
              </w:rPr>
              <w:t>定义</w:t>
            </w:r>
          </w:p>
        </w:tc>
        <w:tc>
          <w:tcPr>
            <w:tcW w:w="1129" w:type="dxa"/>
          </w:tcPr>
          <w:p>
            <w:pPr>
              <w:spacing w:line="300" w:lineRule="exact"/>
              <w:jc w:val="center"/>
              <w:rPr>
                <w:rFonts w:ascii="黑体" w:hAnsi="黑体" w:eastAsia="黑体"/>
                <w:color w:val="000000"/>
                <w:szCs w:val="21"/>
              </w:rPr>
            </w:pPr>
            <w:r>
              <w:rPr>
                <w:rFonts w:ascii="黑体" w:hAnsi="黑体" w:eastAsia="黑体"/>
                <w:color w:val="000000"/>
                <w:szCs w:val="21"/>
              </w:rPr>
              <w:t>必填</w:t>
            </w:r>
          </w:p>
        </w:tc>
        <w:tc>
          <w:tcPr>
            <w:tcW w:w="1989" w:type="dxa"/>
            <w:vAlign w:val="center"/>
          </w:tcPr>
          <w:p>
            <w:pPr>
              <w:spacing w:line="300" w:lineRule="exact"/>
              <w:jc w:val="center"/>
              <w:rPr>
                <w:rFonts w:ascii="黑体" w:hAnsi="黑体" w:eastAsia="黑体"/>
                <w:color w:val="000000"/>
                <w:szCs w:val="21"/>
              </w:rPr>
            </w:pPr>
            <w:r>
              <w:rPr>
                <w:rFonts w:ascii="黑体" w:hAnsi="黑体" w:eastAsia="黑体"/>
                <w:color w:val="000000"/>
                <w:szCs w:val="21"/>
              </w:rPr>
              <w:t>参数类型</w:t>
            </w:r>
          </w:p>
        </w:tc>
        <w:tc>
          <w:tcPr>
            <w:tcW w:w="3279" w:type="dxa"/>
            <w:vAlign w:val="center"/>
          </w:tcPr>
          <w:p>
            <w:pPr>
              <w:spacing w:line="300" w:lineRule="exact"/>
              <w:jc w:val="center"/>
              <w:rPr>
                <w:rFonts w:ascii="黑体" w:hAnsi="黑体" w:eastAsia="黑体"/>
                <w:color w:val="000000"/>
                <w:szCs w:val="21"/>
              </w:rPr>
            </w:pPr>
            <w:r>
              <w:rPr>
                <w:rFonts w:ascii="黑体" w:hAnsi="黑体" w:eastAsia="黑体"/>
                <w:color w:val="000000"/>
                <w:szCs w:val="21"/>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433"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总记录条数</w:t>
            </w:r>
          </w:p>
        </w:tc>
        <w:tc>
          <w:tcPr>
            <w:tcW w:w="1740"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ItemSize</w:t>
            </w:r>
          </w:p>
        </w:tc>
        <w:tc>
          <w:tcPr>
            <w:tcW w:w="1129"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是</w:t>
            </w:r>
          </w:p>
        </w:tc>
        <w:tc>
          <w:tcPr>
            <w:tcW w:w="1989"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整型</w:t>
            </w:r>
          </w:p>
        </w:tc>
        <w:tc>
          <w:tcPr>
            <w:tcW w:w="3279"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符合条件的订单总数，没有为0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433"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充电订单列表</w:t>
            </w:r>
          </w:p>
        </w:tc>
        <w:tc>
          <w:tcPr>
            <w:tcW w:w="1740"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ChargeOrders</w:t>
            </w:r>
          </w:p>
        </w:tc>
        <w:tc>
          <w:tcPr>
            <w:tcW w:w="1129"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是</w:t>
            </w:r>
          </w:p>
        </w:tc>
        <w:tc>
          <w:tcPr>
            <w:tcW w:w="1989"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ChargeOrder</w:t>
            </w:r>
            <w:r>
              <w:rPr>
                <w:rFonts w:hint="eastAsia" w:ascii="仿宋_GB2312" w:eastAsia="仿宋_GB2312"/>
                <w:color w:val="000000"/>
                <w:szCs w:val="21"/>
              </w:rPr>
              <w:t>数组</w:t>
            </w:r>
          </w:p>
        </w:tc>
        <w:tc>
          <w:tcPr>
            <w:tcW w:w="3279"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充电订单的数组，充电订单</w:t>
            </w:r>
          </w:p>
        </w:tc>
      </w:tr>
    </w:tbl>
    <w:p>
      <w:pPr>
        <w:spacing w:line="590" w:lineRule="exact"/>
        <w:jc w:val="center"/>
        <w:rPr>
          <w:rFonts w:ascii="仿宋_GB2312" w:hAnsi="黑体" w:eastAsia="仿宋_GB2312"/>
          <w:sz w:val="32"/>
          <w:szCs w:val="22"/>
        </w:rPr>
      </w:pPr>
      <w:r>
        <w:rPr>
          <w:rFonts w:hint="eastAsia" w:ascii="仿宋_GB2312" w:hAnsi="黑体" w:eastAsia="仿宋_GB2312"/>
          <w:sz w:val="32"/>
          <w:szCs w:val="22"/>
        </w:rPr>
        <w:t>表7 充电订单消息体的参数表</w:t>
      </w:r>
    </w:p>
    <w:tbl>
      <w:tblPr>
        <w:tblStyle w:val="51"/>
        <w:tblW w:w="9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9"/>
        <w:gridCol w:w="1583"/>
        <w:gridCol w:w="717"/>
        <w:gridCol w:w="1087"/>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19" w:type="dxa"/>
            <w:vAlign w:val="center"/>
          </w:tcPr>
          <w:p>
            <w:pPr>
              <w:spacing w:line="300" w:lineRule="exact"/>
              <w:jc w:val="center"/>
              <w:rPr>
                <w:rFonts w:ascii="黑体" w:hAnsi="黑体" w:eastAsia="黑体"/>
                <w:color w:val="000000"/>
                <w:szCs w:val="21"/>
              </w:rPr>
            </w:pPr>
            <w:r>
              <w:rPr>
                <w:rFonts w:ascii="黑体" w:hAnsi="黑体" w:eastAsia="黑体"/>
                <w:color w:val="000000"/>
                <w:szCs w:val="21"/>
              </w:rPr>
              <w:t>参数名称</w:t>
            </w:r>
          </w:p>
        </w:tc>
        <w:tc>
          <w:tcPr>
            <w:tcW w:w="1583" w:type="dxa"/>
            <w:vAlign w:val="center"/>
          </w:tcPr>
          <w:p>
            <w:pPr>
              <w:spacing w:line="300" w:lineRule="exact"/>
              <w:jc w:val="center"/>
              <w:rPr>
                <w:rFonts w:ascii="黑体" w:hAnsi="黑体" w:eastAsia="黑体"/>
                <w:color w:val="000000"/>
                <w:szCs w:val="21"/>
              </w:rPr>
            </w:pPr>
            <w:r>
              <w:rPr>
                <w:rFonts w:ascii="黑体" w:hAnsi="黑体" w:eastAsia="黑体"/>
                <w:color w:val="000000"/>
                <w:szCs w:val="21"/>
              </w:rPr>
              <w:t>定义</w:t>
            </w:r>
          </w:p>
        </w:tc>
        <w:tc>
          <w:tcPr>
            <w:tcW w:w="717" w:type="dxa"/>
            <w:vAlign w:val="center"/>
          </w:tcPr>
          <w:p>
            <w:pPr>
              <w:spacing w:line="300" w:lineRule="exact"/>
              <w:jc w:val="center"/>
              <w:rPr>
                <w:rFonts w:ascii="黑体" w:hAnsi="黑体" w:eastAsia="黑体"/>
                <w:color w:val="000000"/>
                <w:szCs w:val="21"/>
              </w:rPr>
            </w:pPr>
            <w:r>
              <w:rPr>
                <w:rFonts w:ascii="黑体" w:hAnsi="黑体" w:eastAsia="黑体"/>
                <w:color w:val="000000"/>
                <w:szCs w:val="21"/>
              </w:rPr>
              <w:t>必填</w:t>
            </w:r>
          </w:p>
        </w:tc>
        <w:tc>
          <w:tcPr>
            <w:tcW w:w="1087" w:type="dxa"/>
            <w:vAlign w:val="center"/>
          </w:tcPr>
          <w:p>
            <w:pPr>
              <w:spacing w:line="300" w:lineRule="exact"/>
              <w:jc w:val="center"/>
              <w:rPr>
                <w:rFonts w:ascii="黑体" w:hAnsi="黑体" w:eastAsia="黑体"/>
                <w:color w:val="000000"/>
                <w:szCs w:val="21"/>
              </w:rPr>
            </w:pPr>
            <w:r>
              <w:rPr>
                <w:rFonts w:ascii="黑体" w:hAnsi="黑体" w:eastAsia="黑体"/>
                <w:color w:val="000000"/>
                <w:szCs w:val="21"/>
              </w:rPr>
              <w:t>参数类型</w:t>
            </w:r>
          </w:p>
        </w:tc>
        <w:tc>
          <w:tcPr>
            <w:tcW w:w="4261" w:type="dxa"/>
            <w:vAlign w:val="center"/>
          </w:tcPr>
          <w:p>
            <w:pPr>
              <w:spacing w:line="300" w:lineRule="exact"/>
              <w:jc w:val="center"/>
              <w:rPr>
                <w:rFonts w:ascii="黑体" w:hAnsi="黑体" w:eastAsia="黑体"/>
                <w:color w:val="000000"/>
                <w:szCs w:val="21"/>
              </w:rPr>
            </w:pPr>
            <w:r>
              <w:rPr>
                <w:rFonts w:ascii="黑体" w:hAnsi="黑体" w:eastAsia="黑体"/>
                <w:color w:val="000000"/>
                <w:szCs w:val="21"/>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2019"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充电订单号</w:t>
            </w:r>
          </w:p>
        </w:tc>
        <w:tc>
          <w:tcPr>
            <w:tcW w:w="1583"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OrderNo</w:t>
            </w:r>
          </w:p>
        </w:tc>
        <w:tc>
          <w:tcPr>
            <w:tcW w:w="71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是</w:t>
            </w:r>
          </w:p>
        </w:tc>
        <w:tc>
          <w:tcPr>
            <w:tcW w:w="108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字符串</w:t>
            </w:r>
          </w:p>
        </w:tc>
        <w:tc>
          <w:tcPr>
            <w:tcW w:w="4261"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充电运营商订单号，不超过64位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19"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电站编号</w:t>
            </w:r>
          </w:p>
        </w:tc>
        <w:tc>
          <w:tcPr>
            <w:tcW w:w="1583"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S</w:t>
            </w:r>
            <w:r>
              <w:rPr>
                <w:rFonts w:ascii="仿宋_GB2312" w:eastAsia="仿宋_GB2312"/>
                <w:color w:val="000000"/>
                <w:szCs w:val="21"/>
              </w:rPr>
              <w:t>tation</w:t>
            </w:r>
            <w:r>
              <w:rPr>
                <w:rFonts w:hint="eastAsia" w:ascii="仿宋_GB2312" w:eastAsia="仿宋_GB2312"/>
                <w:color w:val="000000"/>
                <w:szCs w:val="21"/>
              </w:rPr>
              <w:t>ID</w:t>
            </w:r>
          </w:p>
        </w:tc>
        <w:tc>
          <w:tcPr>
            <w:tcW w:w="71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是</w:t>
            </w:r>
          </w:p>
        </w:tc>
        <w:tc>
          <w:tcPr>
            <w:tcW w:w="108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字符串</w:t>
            </w:r>
          </w:p>
        </w:tc>
        <w:tc>
          <w:tcPr>
            <w:tcW w:w="4261"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充电运营商定义的电站唯一编码，20位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19"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电站名称</w:t>
            </w:r>
          </w:p>
        </w:tc>
        <w:tc>
          <w:tcPr>
            <w:tcW w:w="1583"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S</w:t>
            </w:r>
            <w:r>
              <w:rPr>
                <w:rFonts w:ascii="仿宋_GB2312" w:eastAsia="仿宋_GB2312"/>
                <w:color w:val="000000"/>
                <w:szCs w:val="21"/>
              </w:rPr>
              <w:t>tationName</w:t>
            </w:r>
          </w:p>
        </w:tc>
        <w:tc>
          <w:tcPr>
            <w:tcW w:w="71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是</w:t>
            </w:r>
          </w:p>
        </w:tc>
        <w:tc>
          <w:tcPr>
            <w:tcW w:w="108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字符串</w:t>
            </w:r>
          </w:p>
        </w:tc>
        <w:tc>
          <w:tcPr>
            <w:tcW w:w="4261"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充电站名称的描述，50位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019"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充电设备接口编码</w:t>
            </w:r>
          </w:p>
        </w:tc>
        <w:tc>
          <w:tcPr>
            <w:tcW w:w="1583"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ConnectorID</w:t>
            </w:r>
          </w:p>
        </w:tc>
        <w:tc>
          <w:tcPr>
            <w:tcW w:w="71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是</w:t>
            </w:r>
          </w:p>
        </w:tc>
        <w:tc>
          <w:tcPr>
            <w:tcW w:w="108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字符串</w:t>
            </w:r>
          </w:p>
        </w:tc>
        <w:tc>
          <w:tcPr>
            <w:tcW w:w="4261"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充电运营商充电设备接口的编码，64位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2019"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充电设备接口名称</w:t>
            </w:r>
          </w:p>
        </w:tc>
        <w:tc>
          <w:tcPr>
            <w:tcW w:w="1583"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ConnectorName</w:t>
            </w:r>
          </w:p>
        </w:tc>
        <w:tc>
          <w:tcPr>
            <w:tcW w:w="71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是</w:t>
            </w:r>
          </w:p>
        </w:tc>
        <w:tc>
          <w:tcPr>
            <w:tcW w:w="108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字符串</w:t>
            </w:r>
          </w:p>
        </w:tc>
        <w:tc>
          <w:tcPr>
            <w:tcW w:w="4261"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充电设备的名称，同一场站下唯一，20位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019"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车牌号</w:t>
            </w:r>
          </w:p>
        </w:tc>
        <w:tc>
          <w:tcPr>
            <w:tcW w:w="1583"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License</w:t>
            </w:r>
            <w:r>
              <w:rPr>
                <w:rFonts w:hint="eastAsia" w:ascii="仿宋_GB2312" w:eastAsia="仿宋_GB2312"/>
                <w:color w:val="000000"/>
                <w:szCs w:val="21"/>
              </w:rPr>
              <w:t>P</w:t>
            </w:r>
            <w:r>
              <w:rPr>
                <w:rFonts w:ascii="仿宋_GB2312" w:eastAsia="仿宋_GB2312"/>
                <w:color w:val="000000"/>
                <w:szCs w:val="21"/>
              </w:rPr>
              <w:t>late</w:t>
            </w:r>
          </w:p>
        </w:tc>
        <w:tc>
          <w:tcPr>
            <w:tcW w:w="71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是</w:t>
            </w:r>
          </w:p>
        </w:tc>
        <w:tc>
          <w:tcPr>
            <w:tcW w:w="108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字符串</w:t>
            </w:r>
          </w:p>
        </w:tc>
        <w:tc>
          <w:tcPr>
            <w:tcW w:w="4261"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必填项，需兼容新能源车牌号，≤20位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019"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车位号</w:t>
            </w:r>
          </w:p>
        </w:tc>
        <w:tc>
          <w:tcPr>
            <w:tcW w:w="1583"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ParkNo</w:t>
            </w:r>
          </w:p>
        </w:tc>
        <w:tc>
          <w:tcPr>
            <w:tcW w:w="71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否</w:t>
            </w:r>
          </w:p>
        </w:tc>
        <w:tc>
          <w:tcPr>
            <w:tcW w:w="108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字符串</w:t>
            </w:r>
          </w:p>
        </w:tc>
        <w:tc>
          <w:tcPr>
            <w:tcW w:w="4261"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车位号，10位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2019"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开始充电时间</w:t>
            </w:r>
          </w:p>
        </w:tc>
        <w:tc>
          <w:tcPr>
            <w:tcW w:w="1583"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StartTime</w:t>
            </w:r>
          </w:p>
        </w:tc>
        <w:tc>
          <w:tcPr>
            <w:tcW w:w="71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是</w:t>
            </w:r>
          </w:p>
        </w:tc>
        <w:tc>
          <w:tcPr>
            <w:tcW w:w="108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字符型</w:t>
            </w:r>
          </w:p>
        </w:tc>
        <w:tc>
          <w:tcPr>
            <w:tcW w:w="4261"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格式</w:t>
            </w:r>
            <w:r>
              <w:rPr>
                <w:rFonts w:hint="eastAsia" w:ascii="仿宋_GB2312" w:eastAsia="仿宋_GB2312"/>
                <w:color w:val="000000"/>
                <w:szCs w:val="21"/>
              </w:rPr>
              <w:t>“</w:t>
            </w:r>
            <w:r>
              <w:rPr>
                <w:rFonts w:ascii="仿宋_GB2312" w:eastAsia="仿宋_GB2312"/>
                <w:color w:val="000000"/>
                <w:szCs w:val="21"/>
              </w:rPr>
              <w:t xml:space="preserve">yyyy-MM-dd </w:t>
            </w:r>
            <w:r>
              <w:rPr>
                <w:rFonts w:hint="eastAsia" w:ascii="仿宋_GB2312" w:eastAsia="仿宋_GB2312"/>
                <w:color w:val="000000"/>
                <w:szCs w:val="21"/>
              </w:rPr>
              <w:t>HH</w:t>
            </w:r>
            <w:r>
              <w:rPr>
                <w:rFonts w:ascii="仿宋_GB2312" w:eastAsia="仿宋_GB2312"/>
                <w:color w:val="000000"/>
                <w:szCs w:val="21"/>
              </w:rPr>
              <w:t>:mm:ss</w:t>
            </w:r>
            <w:r>
              <w:rPr>
                <w:rFonts w:hint="eastAsia" w:ascii="仿宋_GB2312"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19"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结束充电时间</w:t>
            </w:r>
          </w:p>
        </w:tc>
        <w:tc>
          <w:tcPr>
            <w:tcW w:w="1583"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EndTime</w:t>
            </w:r>
          </w:p>
        </w:tc>
        <w:tc>
          <w:tcPr>
            <w:tcW w:w="71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是</w:t>
            </w:r>
          </w:p>
        </w:tc>
        <w:tc>
          <w:tcPr>
            <w:tcW w:w="108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字符型</w:t>
            </w:r>
          </w:p>
        </w:tc>
        <w:tc>
          <w:tcPr>
            <w:tcW w:w="4261"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格式</w:t>
            </w:r>
            <w:r>
              <w:rPr>
                <w:rFonts w:hint="eastAsia" w:ascii="仿宋_GB2312" w:eastAsia="仿宋_GB2312"/>
                <w:color w:val="000000"/>
                <w:szCs w:val="21"/>
              </w:rPr>
              <w:t>“</w:t>
            </w:r>
            <w:r>
              <w:rPr>
                <w:rFonts w:ascii="仿宋_GB2312" w:eastAsia="仿宋_GB2312"/>
                <w:color w:val="000000"/>
                <w:szCs w:val="21"/>
              </w:rPr>
              <w:t xml:space="preserve">yyyy-MM-dd </w:t>
            </w:r>
            <w:r>
              <w:rPr>
                <w:rFonts w:hint="eastAsia" w:ascii="仿宋_GB2312" w:eastAsia="仿宋_GB2312"/>
                <w:color w:val="000000"/>
                <w:szCs w:val="21"/>
              </w:rPr>
              <w:t>HH</w:t>
            </w:r>
            <w:r>
              <w:rPr>
                <w:rFonts w:ascii="仿宋_GB2312" w:eastAsia="仿宋_GB2312"/>
                <w:color w:val="000000"/>
                <w:szCs w:val="21"/>
              </w:rPr>
              <w:t>:mm:ss</w:t>
            </w:r>
            <w:r>
              <w:rPr>
                <w:rFonts w:hint="eastAsia" w:ascii="仿宋_GB2312"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19"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累计充电量</w:t>
            </w:r>
          </w:p>
        </w:tc>
        <w:tc>
          <w:tcPr>
            <w:tcW w:w="1583"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Total</w:t>
            </w:r>
            <w:r>
              <w:rPr>
                <w:rFonts w:ascii="仿宋_GB2312" w:eastAsia="仿宋_GB2312"/>
                <w:color w:val="000000"/>
                <w:szCs w:val="21"/>
              </w:rPr>
              <w:t>Power</w:t>
            </w:r>
          </w:p>
        </w:tc>
        <w:tc>
          <w:tcPr>
            <w:tcW w:w="71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否</w:t>
            </w:r>
          </w:p>
        </w:tc>
        <w:tc>
          <w:tcPr>
            <w:tcW w:w="108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浮点型</w:t>
            </w:r>
          </w:p>
        </w:tc>
        <w:tc>
          <w:tcPr>
            <w:tcW w:w="4261"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单位：度，小数点后</w:t>
            </w:r>
            <w:r>
              <w:rPr>
                <w:rFonts w:ascii="仿宋_GB2312" w:eastAsia="仿宋_GB2312"/>
                <w:color w:val="000000"/>
                <w:szCs w:val="21"/>
              </w:rPr>
              <w:t>2</w:t>
            </w:r>
            <w:r>
              <w:rPr>
                <w:rFonts w:hint="eastAsia" w:ascii="仿宋_GB2312" w:eastAsia="仿宋_GB2312"/>
                <w:color w:val="000000"/>
                <w:szCs w:val="21"/>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19"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累计电费</w:t>
            </w:r>
          </w:p>
        </w:tc>
        <w:tc>
          <w:tcPr>
            <w:tcW w:w="1583"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ElecMoney</w:t>
            </w:r>
          </w:p>
        </w:tc>
        <w:tc>
          <w:tcPr>
            <w:tcW w:w="71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否</w:t>
            </w:r>
          </w:p>
        </w:tc>
        <w:tc>
          <w:tcPr>
            <w:tcW w:w="108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浮点型</w:t>
            </w:r>
          </w:p>
        </w:tc>
        <w:tc>
          <w:tcPr>
            <w:tcW w:w="4261"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单位：元，小数点后</w:t>
            </w:r>
            <w:r>
              <w:rPr>
                <w:rFonts w:ascii="仿宋_GB2312" w:eastAsia="仿宋_GB2312"/>
                <w:color w:val="000000"/>
                <w:szCs w:val="21"/>
              </w:rPr>
              <w:t>2</w:t>
            </w:r>
            <w:r>
              <w:rPr>
                <w:rFonts w:hint="eastAsia" w:ascii="仿宋_GB2312" w:eastAsia="仿宋_GB2312"/>
                <w:color w:val="000000"/>
                <w:szCs w:val="21"/>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019"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累计服务费</w:t>
            </w:r>
          </w:p>
        </w:tc>
        <w:tc>
          <w:tcPr>
            <w:tcW w:w="1583"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S</w:t>
            </w:r>
            <w:r>
              <w:rPr>
                <w:rFonts w:hint="eastAsia" w:ascii="仿宋_GB2312" w:eastAsia="仿宋_GB2312"/>
                <w:color w:val="000000"/>
                <w:szCs w:val="21"/>
              </w:rPr>
              <w:t>evice</w:t>
            </w:r>
            <w:r>
              <w:rPr>
                <w:rFonts w:ascii="仿宋_GB2312" w:eastAsia="仿宋_GB2312"/>
                <w:color w:val="000000"/>
                <w:szCs w:val="21"/>
              </w:rPr>
              <w:t>Money</w:t>
            </w:r>
          </w:p>
        </w:tc>
        <w:tc>
          <w:tcPr>
            <w:tcW w:w="71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否</w:t>
            </w:r>
          </w:p>
        </w:tc>
        <w:tc>
          <w:tcPr>
            <w:tcW w:w="108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浮点型</w:t>
            </w:r>
          </w:p>
        </w:tc>
        <w:tc>
          <w:tcPr>
            <w:tcW w:w="4261"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单位：元，小数点后</w:t>
            </w:r>
            <w:r>
              <w:rPr>
                <w:rFonts w:ascii="仿宋_GB2312" w:eastAsia="仿宋_GB2312"/>
                <w:color w:val="000000"/>
                <w:szCs w:val="21"/>
              </w:rPr>
              <w:t>2</w:t>
            </w:r>
            <w:r>
              <w:rPr>
                <w:rFonts w:hint="eastAsia" w:ascii="仿宋_GB2312" w:eastAsia="仿宋_GB2312"/>
                <w:color w:val="000000"/>
                <w:szCs w:val="21"/>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2019"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累计总金额</w:t>
            </w:r>
          </w:p>
        </w:tc>
        <w:tc>
          <w:tcPr>
            <w:tcW w:w="1583"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Total</w:t>
            </w:r>
            <w:r>
              <w:rPr>
                <w:rFonts w:ascii="仿宋_GB2312" w:eastAsia="仿宋_GB2312"/>
                <w:color w:val="000000"/>
                <w:szCs w:val="21"/>
              </w:rPr>
              <w:t>Money</w:t>
            </w:r>
          </w:p>
        </w:tc>
        <w:tc>
          <w:tcPr>
            <w:tcW w:w="71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否</w:t>
            </w:r>
          </w:p>
        </w:tc>
        <w:tc>
          <w:tcPr>
            <w:tcW w:w="108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浮点型</w:t>
            </w:r>
          </w:p>
        </w:tc>
        <w:tc>
          <w:tcPr>
            <w:tcW w:w="4261"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单位：元，小数点后</w:t>
            </w:r>
            <w:r>
              <w:rPr>
                <w:rFonts w:ascii="仿宋_GB2312" w:eastAsia="仿宋_GB2312"/>
                <w:color w:val="000000"/>
                <w:szCs w:val="21"/>
              </w:rPr>
              <w:t>2</w:t>
            </w:r>
            <w:r>
              <w:rPr>
                <w:rFonts w:hint="eastAsia" w:ascii="仿宋_GB2312" w:eastAsia="仿宋_GB2312"/>
                <w:color w:val="000000"/>
                <w:szCs w:val="21"/>
              </w:rPr>
              <w:t>位</w:t>
            </w:r>
          </w:p>
        </w:tc>
      </w:tr>
    </w:tbl>
    <w:p>
      <w:pPr>
        <w:spacing w:line="590" w:lineRule="exact"/>
        <w:ind w:firstLine="640" w:firstLineChars="200"/>
        <w:jc w:val="left"/>
        <w:outlineLvl w:val="4"/>
        <w:rPr>
          <w:rFonts w:ascii="仿宋_GB2312" w:eastAsia="仿宋_GB2312"/>
          <w:sz w:val="32"/>
          <w:szCs w:val="22"/>
          <w:lang w:bidi="ar"/>
        </w:rPr>
      </w:pPr>
      <w:bookmarkStart w:id="141" w:name="_Toc73955379"/>
      <w:bookmarkStart w:id="142" w:name="_Toc73955518"/>
      <w:r>
        <w:rPr>
          <w:rFonts w:hint="eastAsia" w:ascii="仿宋_GB2312" w:eastAsia="仿宋_GB2312"/>
          <w:sz w:val="32"/>
          <w:szCs w:val="22"/>
          <w:lang w:bidi="ar"/>
        </w:rPr>
        <w:t>c.停车场充电记录作废</w:t>
      </w:r>
      <w:bookmarkEnd w:id="141"/>
      <w:bookmarkEnd w:id="142"/>
    </w:p>
    <w:p>
      <w:pPr>
        <w:spacing w:line="590" w:lineRule="exact"/>
        <w:ind w:firstLine="640" w:firstLineChars="200"/>
        <w:jc w:val="left"/>
        <w:rPr>
          <w:rFonts w:ascii="仿宋_GB2312" w:eastAsia="仿宋_GB2312"/>
          <w:sz w:val="32"/>
          <w:szCs w:val="22"/>
          <w:lang w:bidi="ar"/>
        </w:rPr>
      </w:pPr>
      <w:bookmarkStart w:id="143" w:name="_Toc73955519"/>
      <w:bookmarkStart w:id="144" w:name="_Toc73955380"/>
      <w:r>
        <w:rPr>
          <w:rFonts w:hint="eastAsia" w:ascii="仿宋_GB2312" w:eastAsia="仿宋_GB2312"/>
          <w:sz w:val="32"/>
          <w:szCs w:val="22"/>
          <w:lang w:bidi="ar"/>
        </w:rPr>
        <w:t>1）概述</w:t>
      </w:r>
      <w:bookmarkEnd w:id="143"/>
      <w:bookmarkEnd w:id="144"/>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此接口用于设备归属充电平台向停车场服务平台作废充电订单信息。</w:t>
      </w:r>
    </w:p>
    <w:p>
      <w:pPr>
        <w:spacing w:line="590" w:lineRule="exact"/>
        <w:ind w:firstLine="640" w:firstLineChars="200"/>
        <w:jc w:val="left"/>
        <w:rPr>
          <w:rFonts w:ascii="仿宋_GB2312" w:eastAsia="仿宋_GB2312"/>
          <w:sz w:val="32"/>
          <w:szCs w:val="22"/>
          <w:lang w:bidi="ar"/>
        </w:rPr>
      </w:pPr>
      <w:bookmarkStart w:id="145" w:name="_Toc73955381"/>
      <w:bookmarkStart w:id="146" w:name="_Toc73955520"/>
      <w:r>
        <w:rPr>
          <w:rFonts w:hint="eastAsia" w:ascii="仿宋_GB2312" w:eastAsia="仿宋_GB2312"/>
          <w:sz w:val="32"/>
          <w:szCs w:val="22"/>
          <w:lang w:bidi="ar"/>
        </w:rPr>
        <w:t>2）接口定义</w:t>
      </w:r>
      <w:bookmarkEnd w:id="145"/>
      <w:bookmarkEnd w:id="146"/>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接口名称：notification_charge_delete_order_info</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接口使用方法：由停车场服务平台实现此接口，充电平台方调用。</w:t>
      </w:r>
    </w:p>
    <w:p>
      <w:pPr>
        <w:spacing w:line="590" w:lineRule="exact"/>
        <w:ind w:firstLine="640" w:firstLineChars="200"/>
        <w:jc w:val="left"/>
        <w:rPr>
          <w:rFonts w:ascii="仿宋_GB2312" w:eastAsia="仿宋_GB2312"/>
          <w:sz w:val="32"/>
          <w:szCs w:val="22"/>
          <w:lang w:bidi="ar"/>
        </w:rPr>
      </w:pPr>
      <w:bookmarkStart w:id="147" w:name="_Toc73955521"/>
      <w:bookmarkStart w:id="148" w:name="_Toc73955382"/>
      <w:r>
        <w:rPr>
          <w:rFonts w:hint="eastAsia" w:ascii="仿宋_GB2312" w:eastAsia="仿宋_GB2312"/>
          <w:sz w:val="32"/>
          <w:szCs w:val="22"/>
          <w:lang w:bidi="ar"/>
        </w:rPr>
        <w:t>3）输入参数</w:t>
      </w:r>
      <w:bookmarkEnd w:id="147"/>
      <w:bookmarkEnd w:id="148"/>
    </w:p>
    <w:p>
      <w:pPr>
        <w:spacing w:line="590" w:lineRule="exact"/>
        <w:jc w:val="center"/>
        <w:rPr>
          <w:rFonts w:ascii="仿宋_GB2312" w:hAnsi="黑体" w:eastAsia="仿宋_GB2312"/>
          <w:sz w:val="32"/>
          <w:szCs w:val="22"/>
        </w:rPr>
      </w:pPr>
      <w:r>
        <w:rPr>
          <w:rFonts w:hint="eastAsia" w:ascii="仿宋_GB2312" w:hAnsi="黑体" w:eastAsia="仿宋_GB2312"/>
          <w:sz w:val="32"/>
          <w:szCs w:val="22"/>
        </w:rPr>
        <w:t>表8 停车场充电记录作废输入参数表</w:t>
      </w:r>
    </w:p>
    <w:tbl>
      <w:tblPr>
        <w:tblStyle w:val="51"/>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4"/>
        <w:gridCol w:w="1803"/>
        <w:gridCol w:w="765"/>
        <w:gridCol w:w="1270"/>
        <w:gridCol w:w="3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4" w:type="dxa"/>
            <w:vAlign w:val="center"/>
          </w:tcPr>
          <w:p>
            <w:pPr>
              <w:spacing w:line="300" w:lineRule="exact"/>
              <w:jc w:val="center"/>
              <w:rPr>
                <w:rFonts w:ascii="黑体" w:hAnsi="黑体" w:eastAsia="黑体"/>
                <w:color w:val="000000"/>
                <w:szCs w:val="21"/>
              </w:rPr>
            </w:pPr>
            <w:r>
              <w:rPr>
                <w:rFonts w:hint="eastAsia" w:ascii="黑体" w:hAnsi="黑体" w:eastAsia="黑体"/>
                <w:color w:val="000000"/>
                <w:szCs w:val="21"/>
              </w:rPr>
              <w:t>参数名称</w:t>
            </w:r>
          </w:p>
        </w:tc>
        <w:tc>
          <w:tcPr>
            <w:tcW w:w="1803" w:type="dxa"/>
            <w:vAlign w:val="center"/>
          </w:tcPr>
          <w:p>
            <w:pPr>
              <w:spacing w:line="300" w:lineRule="exact"/>
              <w:jc w:val="center"/>
              <w:rPr>
                <w:rFonts w:ascii="黑体" w:hAnsi="黑体" w:eastAsia="黑体"/>
                <w:color w:val="000000"/>
                <w:szCs w:val="21"/>
              </w:rPr>
            </w:pPr>
            <w:r>
              <w:rPr>
                <w:rFonts w:hint="eastAsia" w:ascii="黑体" w:hAnsi="黑体" w:eastAsia="黑体"/>
                <w:color w:val="000000"/>
                <w:szCs w:val="21"/>
              </w:rPr>
              <w:t>定义</w:t>
            </w:r>
          </w:p>
        </w:tc>
        <w:tc>
          <w:tcPr>
            <w:tcW w:w="765" w:type="dxa"/>
            <w:vAlign w:val="center"/>
          </w:tcPr>
          <w:p>
            <w:pPr>
              <w:spacing w:line="300" w:lineRule="exact"/>
              <w:jc w:val="center"/>
              <w:rPr>
                <w:rFonts w:ascii="黑体" w:hAnsi="黑体" w:eastAsia="黑体"/>
                <w:color w:val="000000"/>
                <w:szCs w:val="21"/>
              </w:rPr>
            </w:pPr>
            <w:r>
              <w:rPr>
                <w:rFonts w:hint="eastAsia" w:ascii="黑体" w:hAnsi="黑体" w:eastAsia="黑体"/>
                <w:color w:val="000000"/>
                <w:szCs w:val="21"/>
              </w:rPr>
              <w:t>必填</w:t>
            </w:r>
          </w:p>
        </w:tc>
        <w:tc>
          <w:tcPr>
            <w:tcW w:w="1270" w:type="dxa"/>
            <w:vAlign w:val="center"/>
          </w:tcPr>
          <w:p>
            <w:pPr>
              <w:spacing w:line="300" w:lineRule="exact"/>
              <w:jc w:val="center"/>
              <w:rPr>
                <w:rFonts w:ascii="黑体" w:hAnsi="黑体" w:eastAsia="黑体"/>
                <w:color w:val="000000"/>
                <w:szCs w:val="21"/>
              </w:rPr>
            </w:pPr>
            <w:r>
              <w:rPr>
                <w:rFonts w:hint="eastAsia" w:ascii="黑体" w:hAnsi="黑体" w:eastAsia="黑体"/>
                <w:color w:val="000000"/>
                <w:szCs w:val="21"/>
              </w:rPr>
              <w:t>参数类型</w:t>
            </w:r>
          </w:p>
        </w:tc>
        <w:tc>
          <w:tcPr>
            <w:tcW w:w="3318" w:type="dxa"/>
            <w:vAlign w:val="center"/>
          </w:tcPr>
          <w:p>
            <w:pPr>
              <w:spacing w:line="300" w:lineRule="exact"/>
              <w:jc w:val="center"/>
              <w:rPr>
                <w:rFonts w:ascii="黑体" w:hAnsi="黑体" w:eastAsia="黑体"/>
                <w:color w:val="000000"/>
                <w:szCs w:val="21"/>
              </w:rPr>
            </w:pPr>
            <w:r>
              <w:rPr>
                <w:rFonts w:hint="eastAsia" w:ascii="黑体" w:hAnsi="黑体" w:eastAsia="黑体"/>
                <w:color w:val="000000"/>
                <w:szCs w:val="21"/>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904"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充电订单号</w:t>
            </w:r>
          </w:p>
        </w:tc>
        <w:tc>
          <w:tcPr>
            <w:tcW w:w="1803"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OrderNo</w:t>
            </w:r>
          </w:p>
        </w:tc>
        <w:tc>
          <w:tcPr>
            <w:tcW w:w="765"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是</w:t>
            </w:r>
          </w:p>
        </w:tc>
        <w:tc>
          <w:tcPr>
            <w:tcW w:w="1270"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字符串</w:t>
            </w:r>
          </w:p>
        </w:tc>
        <w:tc>
          <w:tcPr>
            <w:tcW w:w="3318"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充电运营商订单号，不超过64位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904"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电站编号</w:t>
            </w:r>
          </w:p>
        </w:tc>
        <w:tc>
          <w:tcPr>
            <w:tcW w:w="1803"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S</w:t>
            </w:r>
            <w:r>
              <w:rPr>
                <w:rFonts w:ascii="仿宋_GB2312" w:eastAsia="仿宋_GB2312"/>
                <w:color w:val="000000"/>
                <w:szCs w:val="21"/>
              </w:rPr>
              <w:t>tation</w:t>
            </w:r>
            <w:r>
              <w:rPr>
                <w:rFonts w:hint="eastAsia" w:ascii="仿宋_GB2312" w:eastAsia="仿宋_GB2312"/>
                <w:color w:val="000000"/>
                <w:szCs w:val="21"/>
              </w:rPr>
              <w:t>ID</w:t>
            </w:r>
          </w:p>
        </w:tc>
        <w:tc>
          <w:tcPr>
            <w:tcW w:w="765"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是</w:t>
            </w:r>
          </w:p>
        </w:tc>
        <w:tc>
          <w:tcPr>
            <w:tcW w:w="1270"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字符串</w:t>
            </w:r>
          </w:p>
        </w:tc>
        <w:tc>
          <w:tcPr>
            <w:tcW w:w="3318"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充电运营商定义的电站唯一编码，20位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904"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充电设备接口编码</w:t>
            </w:r>
          </w:p>
        </w:tc>
        <w:tc>
          <w:tcPr>
            <w:tcW w:w="1803"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ConnectorID</w:t>
            </w:r>
          </w:p>
        </w:tc>
        <w:tc>
          <w:tcPr>
            <w:tcW w:w="765"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是</w:t>
            </w:r>
          </w:p>
        </w:tc>
        <w:tc>
          <w:tcPr>
            <w:tcW w:w="1270"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字符串</w:t>
            </w:r>
          </w:p>
        </w:tc>
        <w:tc>
          <w:tcPr>
            <w:tcW w:w="3318"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充电运营商充电设备接口的编码，64位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904"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车牌号</w:t>
            </w:r>
          </w:p>
        </w:tc>
        <w:tc>
          <w:tcPr>
            <w:tcW w:w="1803"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LicensePlate</w:t>
            </w:r>
          </w:p>
        </w:tc>
        <w:tc>
          <w:tcPr>
            <w:tcW w:w="765"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是</w:t>
            </w:r>
          </w:p>
        </w:tc>
        <w:tc>
          <w:tcPr>
            <w:tcW w:w="1270"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字符串</w:t>
            </w:r>
          </w:p>
        </w:tc>
        <w:tc>
          <w:tcPr>
            <w:tcW w:w="3318"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必填项，需兼容新能源车牌号，≤20位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904"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车位号</w:t>
            </w:r>
          </w:p>
        </w:tc>
        <w:tc>
          <w:tcPr>
            <w:tcW w:w="1803"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ParkNo</w:t>
            </w:r>
          </w:p>
        </w:tc>
        <w:tc>
          <w:tcPr>
            <w:tcW w:w="765"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否</w:t>
            </w:r>
          </w:p>
        </w:tc>
        <w:tc>
          <w:tcPr>
            <w:tcW w:w="1270"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字符串</w:t>
            </w:r>
          </w:p>
        </w:tc>
        <w:tc>
          <w:tcPr>
            <w:tcW w:w="3318"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车位号，10位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904"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开始充电时间</w:t>
            </w:r>
          </w:p>
        </w:tc>
        <w:tc>
          <w:tcPr>
            <w:tcW w:w="1803"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StartTime</w:t>
            </w:r>
          </w:p>
        </w:tc>
        <w:tc>
          <w:tcPr>
            <w:tcW w:w="765"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是</w:t>
            </w:r>
          </w:p>
        </w:tc>
        <w:tc>
          <w:tcPr>
            <w:tcW w:w="1270"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字符型</w:t>
            </w:r>
          </w:p>
        </w:tc>
        <w:tc>
          <w:tcPr>
            <w:tcW w:w="3318"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格式</w:t>
            </w:r>
            <w:r>
              <w:rPr>
                <w:rFonts w:hint="eastAsia" w:ascii="仿宋_GB2312" w:eastAsia="仿宋_GB2312"/>
                <w:color w:val="000000"/>
                <w:szCs w:val="21"/>
              </w:rPr>
              <w:t>“</w:t>
            </w:r>
            <w:r>
              <w:rPr>
                <w:rFonts w:ascii="仿宋_GB2312" w:eastAsia="仿宋_GB2312"/>
                <w:color w:val="000000"/>
                <w:szCs w:val="21"/>
              </w:rPr>
              <w:t xml:space="preserve">yyyy-MM-dd </w:t>
            </w:r>
            <w:r>
              <w:rPr>
                <w:rFonts w:hint="eastAsia" w:ascii="仿宋_GB2312" w:eastAsia="仿宋_GB2312"/>
                <w:color w:val="000000"/>
                <w:szCs w:val="21"/>
              </w:rPr>
              <w:t>HH</w:t>
            </w:r>
            <w:r>
              <w:rPr>
                <w:rFonts w:ascii="仿宋_GB2312" w:eastAsia="仿宋_GB2312"/>
                <w:color w:val="000000"/>
                <w:szCs w:val="21"/>
              </w:rPr>
              <w:t>:mm:ss</w:t>
            </w:r>
            <w:r>
              <w:rPr>
                <w:rFonts w:hint="eastAsia" w:ascii="仿宋_GB2312" w:eastAsia="仿宋_GB2312"/>
                <w:color w:val="000000"/>
                <w:szCs w:val="21"/>
              </w:rPr>
              <w:t>”</w:t>
            </w:r>
          </w:p>
        </w:tc>
      </w:tr>
    </w:tbl>
    <w:p>
      <w:pPr>
        <w:spacing w:line="590" w:lineRule="exact"/>
        <w:ind w:firstLine="640" w:firstLineChars="200"/>
        <w:jc w:val="left"/>
        <w:rPr>
          <w:rFonts w:ascii="仿宋_GB2312" w:eastAsia="仿宋_GB2312"/>
          <w:sz w:val="32"/>
          <w:szCs w:val="22"/>
          <w:lang w:bidi="ar"/>
        </w:rPr>
      </w:pPr>
      <w:bookmarkStart w:id="149" w:name="_Toc73955383"/>
      <w:bookmarkStart w:id="150" w:name="_Toc73955522"/>
      <w:r>
        <w:rPr>
          <w:rFonts w:hint="eastAsia" w:ascii="仿宋_GB2312" w:eastAsia="仿宋_GB2312"/>
          <w:sz w:val="32"/>
          <w:szCs w:val="22"/>
          <w:lang w:bidi="ar"/>
        </w:rPr>
        <w:t>4）返回值</w:t>
      </w:r>
      <w:bookmarkEnd w:id="149"/>
      <w:bookmarkEnd w:id="150"/>
    </w:p>
    <w:p>
      <w:pPr>
        <w:spacing w:line="590" w:lineRule="exact"/>
        <w:jc w:val="center"/>
        <w:rPr>
          <w:rFonts w:ascii="仿宋_GB2312" w:hAnsi="黑体" w:eastAsia="仿宋_GB2312"/>
          <w:sz w:val="32"/>
          <w:szCs w:val="22"/>
        </w:rPr>
      </w:pPr>
      <w:r>
        <w:rPr>
          <w:rFonts w:hint="eastAsia" w:ascii="仿宋_GB2312" w:hAnsi="黑体" w:eastAsia="仿宋_GB2312"/>
          <w:sz w:val="32"/>
          <w:szCs w:val="22"/>
        </w:rPr>
        <w:t>表9 停车场充电记录作废返回值表</w:t>
      </w:r>
    </w:p>
    <w:tbl>
      <w:tblPr>
        <w:tblStyle w:val="51"/>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9"/>
        <w:gridCol w:w="1726"/>
        <w:gridCol w:w="772"/>
        <w:gridCol w:w="1096"/>
        <w:gridCol w:w="3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179" w:type="dxa"/>
            <w:vAlign w:val="center"/>
          </w:tcPr>
          <w:p>
            <w:pPr>
              <w:spacing w:line="300" w:lineRule="exact"/>
              <w:jc w:val="center"/>
              <w:rPr>
                <w:rFonts w:ascii="黑体" w:hAnsi="黑体" w:eastAsia="黑体"/>
                <w:color w:val="000000"/>
                <w:szCs w:val="21"/>
              </w:rPr>
            </w:pPr>
            <w:r>
              <w:rPr>
                <w:rFonts w:hint="eastAsia" w:ascii="黑体" w:hAnsi="黑体" w:eastAsia="黑体"/>
                <w:color w:val="000000"/>
                <w:szCs w:val="21"/>
              </w:rPr>
              <w:t>参数名称</w:t>
            </w:r>
          </w:p>
        </w:tc>
        <w:tc>
          <w:tcPr>
            <w:tcW w:w="1726" w:type="dxa"/>
            <w:vAlign w:val="center"/>
          </w:tcPr>
          <w:p>
            <w:pPr>
              <w:spacing w:line="300" w:lineRule="exact"/>
              <w:jc w:val="center"/>
              <w:rPr>
                <w:rFonts w:ascii="黑体" w:hAnsi="黑体" w:eastAsia="黑体"/>
                <w:color w:val="000000"/>
                <w:szCs w:val="21"/>
              </w:rPr>
            </w:pPr>
            <w:r>
              <w:rPr>
                <w:rFonts w:hint="eastAsia" w:ascii="黑体" w:hAnsi="黑体" w:eastAsia="黑体"/>
                <w:color w:val="000000"/>
                <w:szCs w:val="21"/>
              </w:rPr>
              <w:t>定义</w:t>
            </w:r>
          </w:p>
        </w:tc>
        <w:tc>
          <w:tcPr>
            <w:tcW w:w="772" w:type="dxa"/>
            <w:vAlign w:val="center"/>
          </w:tcPr>
          <w:p>
            <w:pPr>
              <w:spacing w:line="300" w:lineRule="exact"/>
              <w:jc w:val="center"/>
              <w:rPr>
                <w:rFonts w:ascii="黑体" w:hAnsi="黑体" w:eastAsia="黑体"/>
                <w:color w:val="000000"/>
                <w:szCs w:val="21"/>
              </w:rPr>
            </w:pPr>
            <w:r>
              <w:rPr>
                <w:rFonts w:hint="eastAsia" w:ascii="黑体" w:hAnsi="黑体" w:eastAsia="黑体"/>
                <w:color w:val="000000"/>
                <w:szCs w:val="21"/>
              </w:rPr>
              <w:t>必填</w:t>
            </w:r>
          </w:p>
        </w:tc>
        <w:tc>
          <w:tcPr>
            <w:tcW w:w="1096" w:type="dxa"/>
            <w:vAlign w:val="center"/>
          </w:tcPr>
          <w:p>
            <w:pPr>
              <w:spacing w:line="300" w:lineRule="exact"/>
              <w:jc w:val="center"/>
              <w:rPr>
                <w:rFonts w:ascii="黑体" w:hAnsi="黑体" w:eastAsia="黑体"/>
                <w:color w:val="000000"/>
                <w:szCs w:val="21"/>
              </w:rPr>
            </w:pPr>
            <w:r>
              <w:rPr>
                <w:rFonts w:hint="eastAsia" w:ascii="黑体" w:hAnsi="黑体" w:eastAsia="黑体"/>
                <w:color w:val="000000"/>
                <w:szCs w:val="21"/>
              </w:rPr>
              <w:t>参数类型</w:t>
            </w:r>
          </w:p>
        </w:tc>
        <w:tc>
          <w:tcPr>
            <w:tcW w:w="3287" w:type="dxa"/>
            <w:vAlign w:val="center"/>
          </w:tcPr>
          <w:p>
            <w:pPr>
              <w:spacing w:line="300" w:lineRule="exact"/>
              <w:jc w:val="center"/>
              <w:rPr>
                <w:rFonts w:ascii="黑体" w:hAnsi="黑体" w:eastAsia="黑体"/>
                <w:color w:val="000000"/>
                <w:szCs w:val="21"/>
              </w:rPr>
            </w:pPr>
            <w:r>
              <w:rPr>
                <w:rFonts w:hint="eastAsia" w:ascii="黑体" w:hAnsi="黑体" w:eastAsia="黑体"/>
                <w:color w:val="000000"/>
                <w:szCs w:val="21"/>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179"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充电订单号</w:t>
            </w:r>
          </w:p>
        </w:tc>
        <w:tc>
          <w:tcPr>
            <w:tcW w:w="1726"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OrderNo</w:t>
            </w:r>
          </w:p>
        </w:tc>
        <w:tc>
          <w:tcPr>
            <w:tcW w:w="772"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是</w:t>
            </w:r>
          </w:p>
        </w:tc>
        <w:tc>
          <w:tcPr>
            <w:tcW w:w="1096"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字符串</w:t>
            </w:r>
          </w:p>
        </w:tc>
        <w:tc>
          <w:tcPr>
            <w:tcW w:w="328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充电运营商订单号，不超过64位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179"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确认结果</w:t>
            </w:r>
          </w:p>
        </w:tc>
        <w:tc>
          <w:tcPr>
            <w:tcW w:w="1726"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ConfirmResult</w:t>
            </w:r>
          </w:p>
        </w:tc>
        <w:tc>
          <w:tcPr>
            <w:tcW w:w="772"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是</w:t>
            </w:r>
          </w:p>
        </w:tc>
        <w:tc>
          <w:tcPr>
            <w:tcW w:w="1096"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整型</w:t>
            </w:r>
          </w:p>
        </w:tc>
        <w:tc>
          <w:tcPr>
            <w:tcW w:w="328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0</w:t>
            </w:r>
            <w:r>
              <w:rPr>
                <w:rFonts w:ascii="仿宋_GB2312" w:eastAsia="仿宋_GB2312"/>
                <w:color w:val="000000"/>
                <w:szCs w:val="21"/>
              </w:rPr>
              <w:t>:</w:t>
            </w:r>
            <w:r>
              <w:rPr>
                <w:rFonts w:hint="eastAsia" w:ascii="仿宋_GB2312" w:eastAsia="仿宋_GB2312"/>
                <w:color w:val="000000"/>
                <w:szCs w:val="21"/>
              </w:rPr>
              <w:t>成功</w:t>
            </w:r>
          </w:p>
          <w:p>
            <w:pPr>
              <w:spacing w:line="300" w:lineRule="exact"/>
              <w:jc w:val="center"/>
              <w:rPr>
                <w:rFonts w:ascii="仿宋_GB2312" w:eastAsia="仿宋_GB2312"/>
                <w:color w:val="000000"/>
                <w:szCs w:val="21"/>
              </w:rPr>
            </w:pPr>
            <w:r>
              <w:rPr>
                <w:rFonts w:ascii="仿宋_GB2312" w:eastAsia="仿宋_GB2312"/>
                <w:color w:val="000000"/>
                <w:szCs w:val="21"/>
              </w:rPr>
              <w:t>1:</w:t>
            </w:r>
            <w:r>
              <w:rPr>
                <w:rFonts w:hint="eastAsia" w:ascii="仿宋_GB2312" w:eastAsia="仿宋_GB2312"/>
                <w:color w:val="000000"/>
                <w:szCs w:val="21"/>
              </w:rPr>
              <w:t>失败</w:t>
            </w:r>
          </w:p>
        </w:tc>
      </w:tr>
    </w:tbl>
    <w:p>
      <w:pPr>
        <w:spacing w:line="590" w:lineRule="exact"/>
        <w:ind w:firstLine="640" w:firstLineChars="200"/>
        <w:jc w:val="left"/>
        <w:outlineLvl w:val="4"/>
        <w:rPr>
          <w:rFonts w:ascii="仿宋_GB2312" w:eastAsia="仿宋_GB2312"/>
          <w:sz w:val="32"/>
          <w:szCs w:val="22"/>
          <w:lang w:bidi="ar"/>
        </w:rPr>
      </w:pPr>
      <w:bookmarkStart w:id="151" w:name="_Toc73955384"/>
      <w:bookmarkStart w:id="152" w:name="_Toc73955523"/>
      <w:r>
        <w:rPr>
          <w:rFonts w:hint="eastAsia" w:ascii="仿宋_GB2312" w:eastAsia="仿宋_GB2312"/>
          <w:sz w:val="32"/>
          <w:szCs w:val="22"/>
          <w:lang w:bidi="ar"/>
        </w:rPr>
        <w:t>d.停车场充电记录确认</w:t>
      </w:r>
      <w:bookmarkEnd w:id="151"/>
      <w:bookmarkEnd w:id="152"/>
    </w:p>
    <w:p>
      <w:pPr>
        <w:spacing w:line="590" w:lineRule="exact"/>
        <w:ind w:firstLine="640" w:firstLineChars="200"/>
        <w:jc w:val="left"/>
        <w:rPr>
          <w:rFonts w:ascii="仿宋_GB2312" w:eastAsia="仿宋_GB2312"/>
          <w:sz w:val="32"/>
          <w:szCs w:val="22"/>
          <w:lang w:bidi="ar"/>
        </w:rPr>
      </w:pPr>
      <w:bookmarkStart w:id="153" w:name="_Toc73955385"/>
      <w:bookmarkStart w:id="154" w:name="_Toc73955524"/>
      <w:r>
        <w:rPr>
          <w:rFonts w:hint="eastAsia" w:ascii="仿宋_GB2312" w:eastAsia="仿宋_GB2312"/>
          <w:sz w:val="32"/>
          <w:szCs w:val="22"/>
          <w:lang w:bidi="ar"/>
        </w:rPr>
        <w:t>1</w:t>
      </w:r>
      <w:r>
        <w:rPr>
          <w:rFonts w:hint="eastAsia" w:ascii="仿宋_GB2312" w:eastAsia="仿宋_GB2312"/>
          <w:sz w:val="32"/>
          <w:szCs w:val="22"/>
          <w:lang w:eastAsia="zh-CN" w:bidi="ar"/>
        </w:rPr>
        <w:t>）</w:t>
      </w:r>
      <w:r>
        <w:rPr>
          <w:rFonts w:hint="eastAsia" w:ascii="仿宋_GB2312" w:eastAsia="仿宋_GB2312"/>
          <w:sz w:val="32"/>
          <w:szCs w:val="22"/>
          <w:lang w:bidi="ar"/>
        </w:rPr>
        <w:t>概述</w:t>
      </w:r>
      <w:bookmarkEnd w:id="153"/>
      <w:bookmarkEnd w:id="154"/>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此接口用于停车场服务平台向充电平台确认充电订单信息减免成功。</w:t>
      </w:r>
    </w:p>
    <w:p>
      <w:pPr>
        <w:spacing w:line="590" w:lineRule="exact"/>
        <w:ind w:firstLine="640" w:firstLineChars="200"/>
        <w:jc w:val="left"/>
        <w:rPr>
          <w:rFonts w:ascii="仿宋_GB2312" w:eastAsia="仿宋_GB2312"/>
          <w:sz w:val="32"/>
          <w:szCs w:val="22"/>
          <w:lang w:bidi="ar"/>
        </w:rPr>
      </w:pPr>
      <w:bookmarkStart w:id="155" w:name="_Toc73955386"/>
      <w:bookmarkStart w:id="156" w:name="_Toc73955525"/>
      <w:r>
        <w:rPr>
          <w:rFonts w:hint="eastAsia" w:ascii="仿宋_GB2312" w:eastAsia="仿宋_GB2312"/>
          <w:sz w:val="32"/>
          <w:szCs w:val="22"/>
          <w:lang w:bidi="ar"/>
        </w:rPr>
        <w:t>2</w:t>
      </w:r>
      <w:r>
        <w:rPr>
          <w:rFonts w:hint="eastAsia" w:ascii="仿宋_GB2312" w:eastAsia="仿宋_GB2312"/>
          <w:sz w:val="32"/>
          <w:szCs w:val="22"/>
          <w:lang w:eastAsia="zh-CN" w:bidi="ar"/>
        </w:rPr>
        <w:t>）</w:t>
      </w:r>
      <w:r>
        <w:rPr>
          <w:rFonts w:hint="eastAsia" w:ascii="仿宋_GB2312" w:eastAsia="仿宋_GB2312"/>
          <w:sz w:val="32"/>
          <w:szCs w:val="22"/>
          <w:lang w:bidi="ar"/>
        </w:rPr>
        <w:t>接口定义</w:t>
      </w:r>
      <w:bookmarkEnd w:id="155"/>
      <w:bookmarkEnd w:id="156"/>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接口名称：notification_charge_confirm_order_info</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接口使用方法：由充电平台方实现此接口，停车场服务平台调用。</w:t>
      </w:r>
    </w:p>
    <w:p>
      <w:pPr>
        <w:spacing w:line="590" w:lineRule="exact"/>
        <w:ind w:firstLine="640" w:firstLineChars="200"/>
        <w:jc w:val="left"/>
        <w:rPr>
          <w:rFonts w:ascii="仿宋_GB2312" w:eastAsia="仿宋_GB2312"/>
          <w:sz w:val="32"/>
          <w:szCs w:val="22"/>
          <w:lang w:bidi="ar"/>
        </w:rPr>
      </w:pPr>
      <w:bookmarkStart w:id="157" w:name="_Toc73955526"/>
      <w:bookmarkStart w:id="158" w:name="_Toc73955387"/>
      <w:r>
        <w:rPr>
          <w:rFonts w:hint="eastAsia" w:ascii="仿宋_GB2312" w:eastAsia="仿宋_GB2312"/>
          <w:sz w:val="32"/>
          <w:szCs w:val="22"/>
          <w:lang w:bidi="ar"/>
        </w:rPr>
        <w:t>3</w:t>
      </w:r>
      <w:r>
        <w:rPr>
          <w:rFonts w:hint="eastAsia" w:ascii="仿宋_GB2312" w:eastAsia="仿宋_GB2312"/>
          <w:sz w:val="32"/>
          <w:szCs w:val="22"/>
          <w:lang w:eastAsia="zh-CN" w:bidi="ar"/>
        </w:rPr>
        <w:t>）</w:t>
      </w:r>
      <w:r>
        <w:rPr>
          <w:rFonts w:hint="eastAsia" w:ascii="仿宋_GB2312" w:eastAsia="仿宋_GB2312"/>
          <w:sz w:val="32"/>
          <w:szCs w:val="22"/>
          <w:lang w:bidi="ar"/>
        </w:rPr>
        <w:t>输入参数</w:t>
      </w:r>
      <w:bookmarkEnd w:id="157"/>
      <w:bookmarkEnd w:id="158"/>
    </w:p>
    <w:p>
      <w:pPr>
        <w:spacing w:line="590" w:lineRule="exact"/>
        <w:jc w:val="center"/>
        <w:rPr>
          <w:rFonts w:ascii="仿宋_GB2312" w:hAnsi="黑体" w:eastAsia="仿宋_GB2312"/>
          <w:sz w:val="32"/>
          <w:szCs w:val="22"/>
        </w:rPr>
      </w:pPr>
      <w:r>
        <w:rPr>
          <w:rFonts w:hint="eastAsia" w:ascii="仿宋_GB2312" w:hAnsi="黑体" w:eastAsia="仿宋_GB2312"/>
          <w:sz w:val="32"/>
          <w:szCs w:val="22"/>
        </w:rPr>
        <w:t>表10 停车场充电记录确认输入参数表</w:t>
      </w:r>
    </w:p>
    <w:tbl>
      <w:tblPr>
        <w:tblStyle w:val="51"/>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5"/>
        <w:gridCol w:w="1933"/>
        <w:gridCol w:w="765"/>
        <w:gridCol w:w="1270"/>
        <w:gridCol w:w="3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75" w:type="dxa"/>
            <w:vAlign w:val="center"/>
          </w:tcPr>
          <w:p>
            <w:pPr>
              <w:spacing w:line="300" w:lineRule="exact"/>
              <w:jc w:val="center"/>
              <w:rPr>
                <w:rFonts w:ascii="黑体" w:hAnsi="黑体" w:eastAsia="黑体"/>
                <w:color w:val="000000"/>
                <w:szCs w:val="21"/>
              </w:rPr>
            </w:pPr>
            <w:r>
              <w:rPr>
                <w:rFonts w:ascii="黑体" w:hAnsi="黑体" w:eastAsia="黑体"/>
                <w:color w:val="000000"/>
                <w:szCs w:val="21"/>
              </w:rPr>
              <w:t>参数名称</w:t>
            </w:r>
          </w:p>
        </w:tc>
        <w:tc>
          <w:tcPr>
            <w:tcW w:w="1933" w:type="dxa"/>
            <w:vAlign w:val="center"/>
          </w:tcPr>
          <w:p>
            <w:pPr>
              <w:spacing w:line="300" w:lineRule="exact"/>
              <w:jc w:val="center"/>
              <w:rPr>
                <w:rFonts w:ascii="黑体" w:hAnsi="黑体" w:eastAsia="黑体"/>
                <w:color w:val="000000"/>
                <w:szCs w:val="21"/>
              </w:rPr>
            </w:pPr>
            <w:r>
              <w:rPr>
                <w:rFonts w:ascii="黑体" w:hAnsi="黑体" w:eastAsia="黑体"/>
                <w:color w:val="000000"/>
                <w:szCs w:val="21"/>
              </w:rPr>
              <w:t>定义</w:t>
            </w:r>
          </w:p>
        </w:tc>
        <w:tc>
          <w:tcPr>
            <w:tcW w:w="765" w:type="dxa"/>
            <w:vAlign w:val="center"/>
          </w:tcPr>
          <w:p>
            <w:pPr>
              <w:spacing w:line="300" w:lineRule="exact"/>
              <w:jc w:val="center"/>
              <w:rPr>
                <w:rFonts w:ascii="黑体" w:hAnsi="黑体" w:eastAsia="黑体"/>
                <w:color w:val="000000"/>
                <w:szCs w:val="21"/>
              </w:rPr>
            </w:pPr>
            <w:r>
              <w:rPr>
                <w:rFonts w:ascii="黑体" w:hAnsi="黑体" w:eastAsia="黑体"/>
                <w:color w:val="000000"/>
                <w:szCs w:val="21"/>
              </w:rPr>
              <w:t>必填</w:t>
            </w:r>
          </w:p>
        </w:tc>
        <w:tc>
          <w:tcPr>
            <w:tcW w:w="1270" w:type="dxa"/>
            <w:vAlign w:val="center"/>
          </w:tcPr>
          <w:p>
            <w:pPr>
              <w:spacing w:line="300" w:lineRule="exact"/>
              <w:jc w:val="center"/>
              <w:rPr>
                <w:rFonts w:ascii="黑体" w:hAnsi="黑体" w:eastAsia="黑体"/>
                <w:color w:val="000000"/>
                <w:szCs w:val="21"/>
              </w:rPr>
            </w:pPr>
            <w:r>
              <w:rPr>
                <w:rFonts w:ascii="黑体" w:hAnsi="黑体" w:eastAsia="黑体"/>
                <w:color w:val="000000"/>
                <w:szCs w:val="21"/>
              </w:rPr>
              <w:t>参数类型</w:t>
            </w:r>
          </w:p>
        </w:tc>
        <w:tc>
          <w:tcPr>
            <w:tcW w:w="3721" w:type="dxa"/>
            <w:vAlign w:val="center"/>
          </w:tcPr>
          <w:p>
            <w:pPr>
              <w:spacing w:line="300" w:lineRule="exact"/>
              <w:ind w:firstLine="900"/>
              <w:jc w:val="center"/>
              <w:rPr>
                <w:rFonts w:ascii="黑体" w:hAnsi="黑体" w:eastAsia="黑体"/>
                <w:color w:val="000000"/>
                <w:szCs w:val="21"/>
              </w:rPr>
            </w:pPr>
            <w:r>
              <w:rPr>
                <w:rFonts w:ascii="黑体" w:hAnsi="黑体" w:eastAsia="黑体"/>
                <w:color w:val="000000"/>
                <w:szCs w:val="21"/>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775"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充电订单号</w:t>
            </w:r>
          </w:p>
        </w:tc>
        <w:tc>
          <w:tcPr>
            <w:tcW w:w="1933"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OrderNo</w:t>
            </w:r>
          </w:p>
        </w:tc>
        <w:tc>
          <w:tcPr>
            <w:tcW w:w="765"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是</w:t>
            </w:r>
          </w:p>
        </w:tc>
        <w:tc>
          <w:tcPr>
            <w:tcW w:w="1270"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字符串</w:t>
            </w:r>
          </w:p>
        </w:tc>
        <w:tc>
          <w:tcPr>
            <w:tcW w:w="3721"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充电运营商订单号，不超过64位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75"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充电站ID</w:t>
            </w:r>
          </w:p>
        </w:tc>
        <w:tc>
          <w:tcPr>
            <w:tcW w:w="1933"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S</w:t>
            </w:r>
            <w:r>
              <w:rPr>
                <w:rFonts w:ascii="仿宋_GB2312" w:eastAsia="仿宋_GB2312"/>
                <w:color w:val="000000"/>
                <w:szCs w:val="21"/>
              </w:rPr>
              <w:t>tation</w:t>
            </w:r>
            <w:r>
              <w:rPr>
                <w:rFonts w:hint="eastAsia" w:ascii="仿宋_GB2312" w:eastAsia="仿宋_GB2312"/>
                <w:color w:val="000000"/>
                <w:szCs w:val="21"/>
              </w:rPr>
              <w:t>ID</w:t>
            </w:r>
          </w:p>
        </w:tc>
        <w:tc>
          <w:tcPr>
            <w:tcW w:w="765"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是</w:t>
            </w:r>
          </w:p>
        </w:tc>
        <w:tc>
          <w:tcPr>
            <w:tcW w:w="1270"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字符串</w:t>
            </w:r>
          </w:p>
        </w:tc>
        <w:tc>
          <w:tcPr>
            <w:tcW w:w="3721"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充电运营商定义的电站唯一编码，20位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775"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充电设备接口编码</w:t>
            </w:r>
          </w:p>
        </w:tc>
        <w:tc>
          <w:tcPr>
            <w:tcW w:w="1933"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ConnectorID</w:t>
            </w:r>
          </w:p>
        </w:tc>
        <w:tc>
          <w:tcPr>
            <w:tcW w:w="765"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是</w:t>
            </w:r>
          </w:p>
        </w:tc>
        <w:tc>
          <w:tcPr>
            <w:tcW w:w="1270"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字符串</w:t>
            </w:r>
          </w:p>
        </w:tc>
        <w:tc>
          <w:tcPr>
            <w:tcW w:w="3721"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充电运营商充电设备接口的编码，64位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775"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车牌号</w:t>
            </w:r>
          </w:p>
        </w:tc>
        <w:tc>
          <w:tcPr>
            <w:tcW w:w="1933"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License</w:t>
            </w:r>
            <w:r>
              <w:rPr>
                <w:rFonts w:hint="eastAsia" w:ascii="仿宋_GB2312" w:eastAsia="仿宋_GB2312"/>
                <w:color w:val="000000"/>
                <w:szCs w:val="21"/>
              </w:rPr>
              <w:t>P</w:t>
            </w:r>
            <w:r>
              <w:rPr>
                <w:rFonts w:ascii="仿宋_GB2312" w:eastAsia="仿宋_GB2312"/>
                <w:color w:val="000000"/>
                <w:szCs w:val="21"/>
              </w:rPr>
              <w:t>late</w:t>
            </w:r>
          </w:p>
        </w:tc>
        <w:tc>
          <w:tcPr>
            <w:tcW w:w="765"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是</w:t>
            </w:r>
          </w:p>
        </w:tc>
        <w:tc>
          <w:tcPr>
            <w:tcW w:w="1270"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字符串</w:t>
            </w:r>
          </w:p>
        </w:tc>
        <w:tc>
          <w:tcPr>
            <w:tcW w:w="3721"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必填项，需兼容新能源车牌号，≤20位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775"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车位号</w:t>
            </w:r>
          </w:p>
        </w:tc>
        <w:tc>
          <w:tcPr>
            <w:tcW w:w="1933"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ParkNo</w:t>
            </w:r>
          </w:p>
        </w:tc>
        <w:tc>
          <w:tcPr>
            <w:tcW w:w="765"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否</w:t>
            </w:r>
          </w:p>
        </w:tc>
        <w:tc>
          <w:tcPr>
            <w:tcW w:w="1270"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字符串</w:t>
            </w:r>
          </w:p>
        </w:tc>
        <w:tc>
          <w:tcPr>
            <w:tcW w:w="3721"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车位号，10位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775"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充电设备接口状态</w:t>
            </w:r>
          </w:p>
        </w:tc>
        <w:tc>
          <w:tcPr>
            <w:tcW w:w="1933"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Status</w:t>
            </w:r>
          </w:p>
        </w:tc>
        <w:tc>
          <w:tcPr>
            <w:tcW w:w="765"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是</w:t>
            </w:r>
          </w:p>
        </w:tc>
        <w:tc>
          <w:tcPr>
            <w:tcW w:w="1270"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整型</w:t>
            </w:r>
          </w:p>
        </w:tc>
        <w:tc>
          <w:tcPr>
            <w:tcW w:w="3721"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0：离网</w:t>
            </w:r>
          </w:p>
          <w:p>
            <w:pPr>
              <w:spacing w:line="300" w:lineRule="exact"/>
              <w:jc w:val="center"/>
              <w:rPr>
                <w:rFonts w:ascii="仿宋_GB2312" w:eastAsia="仿宋_GB2312"/>
                <w:color w:val="000000"/>
                <w:szCs w:val="21"/>
              </w:rPr>
            </w:pPr>
            <w:r>
              <w:rPr>
                <w:rFonts w:hint="eastAsia" w:ascii="仿宋_GB2312" w:eastAsia="仿宋_GB2312"/>
                <w:color w:val="000000"/>
                <w:szCs w:val="21"/>
              </w:rPr>
              <w:t>1：空闲</w:t>
            </w:r>
          </w:p>
          <w:p>
            <w:pPr>
              <w:spacing w:line="300" w:lineRule="exact"/>
              <w:jc w:val="center"/>
              <w:rPr>
                <w:rFonts w:ascii="仿宋_GB2312" w:eastAsia="仿宋_GB2312"/>
                <w:color w:val="000000"/>
                <w:szCs w:val="21"/>
              </w:rPr>
            </w:pPr>
            <w:r>
              <w:rPr>
                <w:rFonts w:hint="eastAsia" w:ascii="仿宋_GB2312" w:eastAsia="仿宋_GB2312"/>
                <w:color w:val="000000"/>
                <w:szCs w:val="21"/>
              </w:rPr>
              <w:t>2：占用（未充电）</w:t>
            </w:r>
          </w:p>
          <w:p>
            <w:pPr>
              <w:spacing w:line="300" w:lineRule="exact"/>
              <w:jc w:val="center"/>
              <w:rPr>
                <w:rFonts w:ascii="仿宋_GB2312" w:eastAsia="仿宋_GB2312"/>
                <w:color w:val="000000"/>
                <w:szCs w:val="21"/>
              </w:rPr>
            </w:pPr>
            <w:r>
              <w:rPr>
                <w:rFonts w:hint="eastAsia" w:ascii="仿宋_GB2312" w:eastAsia="仿宋_GB2312"/>
                <w:color w:val="000000"/>
                <w:szCs w:val="21"/>
              </w:rPr>
              <w:t>3：占用（充电中）</w:t>
            </w:r>
          </w:p>
          <w:p>
            <w:pPr>
              <w:spacing w:line="300" w:lineRule="exact"/>
              <w:jc w:val="center"/>
              <w:rPr>
                <w:rFonts w:ascii="仿宋_GB2312" w:eastAsia="仿宋_GB2312"/>
                <w:color w:val="000000"/>
                <w:szCs w:val="21"/>
              </w:rPr>
            </w:pPr>
            <w:r>
              <w:rPr>
                <w:rFonts w:hint="eastAsia" w:ascii="仿宋_GB2312" w:eastAsia="仿宋_GB2312"/>
                <w:color w:val="000000"/>
                <w:szCs w:val="21"/>
              </w:rPr>
              <w:t>4：占用（预约锁定）</w:t>
            </w:r>
          </w:p>
          <w:p>
            <w:pPr>
              <w:spacing w:line="300" w:lineRule="exact"/>
              <w:jc w:val="center"/>
              <w:rPr>
                <w:rFonts w:ascii="仿宋_GB2312" w:eastAsia="仿宋_GB2312"/>
                <w:color w:val="000000"/>
                <w:szCs w:val="21"/>
              </w:rPr>
            </w:pPr>
            <w:r>
              <w:rPr>
                <w:rFonts w:hint="eastAsia" w:ascii="仿宋_GB2312" w:eastAsia="仿宋_GB2312"/>
                <w:color w:val="000000"/>
                <w:szCs w:val="21"/>
              </w:rPr>
              <w:t>255：故障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775"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车位状态</w:t>
            </w:r>
          </w:p>
        </w:tc>
        <w:tc>
          <w:tcPr>
            <w:tcW w:w="1933"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ParkStatus</w:t>
            </w:r>
          </w:p>
        </w:tc>
        <w:tc>
          <w:tcPr>
            <w:tcW w:w="765"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否</w:t>
            </w:r>
          </w:p>
        </w:tc>
        <w:tc>
          <w:tcPr>
            <w:tcW w:w="1270"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整型</w:t>
            </w:r>
          </w:p>
        </w:tc>
        <w:tc>
          <w:tcPr>
            <w:tcW w:w="3721"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0：未知</w:t>
            </w:r>
          </w:p>
          <w:p>
            <w:pPr>
              <w:spacing w:line="300" w:lineRule="exact"/>
              <w:jc w:val="center"/>
              <w:rPr>
                <w:rFonts w:ascii="仿宋_GB2312" w:eastAsia="仿宋_GB2312"/>
                <w:color w:val="000000"/>
                <w:szCs w:val="21"/>
              </w:rPr>
            </w:pPr>
            <w:r>
              <w:rPr>
                <w:rFonts w:hint="eastAsia" w:ascii="仿宋_GB2312" w:eastAsia="仿宋_GB2312"/>
                <w:color w:val="000000"/>
                <w:szCs w:val="21"/>
              </w:rPr>
              <w:t>10：空闲</w:t>
            </w:r>
          </w:p>
          <w:p>
            <w:pPr>
              <w:spacing w:line="300" w:lineRule="exact"/>
              <w:jc w:val="center"/>
              <w:rPr>
                <w:rFonts w:ascii="仿宋_GB2312" w:eastAsia="仿宋_GB2312"/>
                <w:color w:val="000000"/>
                <w:szCs w:val="21"/>
              </w:rPr>
            </w:pPr>
            <w:r>
              <w:rPr>
                <w:rFonts w:hint="eastAsia" w:ascii="仿宋_GB2312" w:eastAsia="仿宋_GB2312"/>
                <w:color w:val="000000"/>
                <w:szCs w:val="21"/>
              </w:rPr>
              <w:t>50：占用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775"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地锁状态</w:t>
            </w:r>
          </w:p>
        </w:tc>
        <w:tc>
          <w:tcPr>
            <w:tcW w:w="1933"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LockStatus</w:t>
            </w:r>
          </w:p>
        </w:tc>
        <w:tc>
          <w:tcPr>
            <w:tcW w:w="765"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否</w:t>
            </w:r>
          </w:p>
        </w:tc>
        <w:tc>
          <w:tcPr>
            <w:tcW w:w="1270"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整型</w:t>
            </w:r>
          </w:p>
        </w:tc>
        <w:tc>
          <w:tcPr>
            <w:tcW w:w="3721"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0：未知</w:t>
            </w:r>
          </w:p>
          <w:p>
            <w:pPr>
              <w:spacing w:line="300" w:lineRule="exact"/>
              <w:jc w:val="center"/>
              <w:rPr>
                <w:rFonts w:ascii="仿宋_GB2312" w:eastAsia="仿宋_GB2312"/>
                <w:color w:val="000000"/>
                <w:szCs w:val="21"/>
              </w:rPr>
            </w:pPr>
            <w:r>
              <w:rPr>
                <w:rFonts w:hint="eastAsia" w:ascii="仿宋_GB2312" w:eastAsia="仿宋_GB2312"/>
                <w:color w:val="000000"/>
                <w:szCs w:val="21"/>
              </w:rPr>
              <w:t>10：已解锁</w:t>
            </w:r>
          </w:p>
          <w:p>
            <w:pPr>
              <w:spacing w:line="300" w:lineRule="exact"/>
              <w:jc w:val="center"/>
              <w:rPr>
                <w:rFonts w:ascii="仿宋_GB2312" w:eastAsia="仿宋_GB2312"/>
                <w:color w:val="000000"/>
                <w:szCs w:val="21"/>
              </w:rPr>
            </w:pPr>
            <w:r>
              <w:rPr>
                <w:rFonts w:hint="eastAsia" w:ascii="仿宋_GB2312" w:eastAsia="仿宋_GB2312"/>
                <w:color w:val="000000"/>
                <w:szCs w:val="21"/>
              </w:rPr>
              <w:t>50：已上锁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775"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开始充电时间</w:t>
            </w:r>
          </w:p>
        </w:tc>
        <w:tc>
          <w:tcPr>
            <w:tcW w:w="1933"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StartTime</w:t>
            </w:r>
          </w:p>
        </w:tc>
        <w:tc>
          <w:tcPr>
            <w:tcW w:w="765"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是</w:t>
            </w:r>
          </w:p>
        </w:tc>
        <w:tc>
          <w:tcPr>
            <w:tcW w:w="1270"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字符型</w:t>
            </w:r>
          </w:p>
        </w:tc>
        <w:tc>
          <w:tcPr>
            <w:tcW w:w="3721"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格式</w:t>
            </w:r>
            <w:r>
              <w:rPr>
                <w:rFonts w:hint="eastAsia" w:ascii="仿宋_GB2312" w:eastAsia="仿宋_GB2312"/>
                <w:color w:val="000000"/>
                <w:szCs w:val="21"/>
              </w:rPr>
              <w:t>“</w:t>
            </w:r>
            <w:r>
              <w:rPr>
                <w:rFonts w:ascii="仿宋_GB2312" w:eastAsia="仿宋_GB2312"/>
                <w:color w:val="000000"/>
                <w:szCs w:val="21"/>
              </w:rPr>
              <w:t xml:space="preserve">yyyy-MM-dd </w:t>
            </w:r>
            <w:r>
              <w:rPr>
                <w:rFonts w:hint="eastAsia" w:ascii="仿宋_GB2312" w:eastAsia="仿宋_GB2312"/>
                <w:color w:val="000000"/>
                <w:szCs w:val="21"/>
              </w:rPr>
              <w:t>HH</w:t>
            </w:r>
            <w:r>
              <w:rPr>
                <w:rFonts w:ascii="仿宋_GB2312" w:eastAsia="仿宋_GB2312"/>
                <w:color w:val="000000"/>
                <w:szCs w:val="21"/>
              </w:rPr>
              <w:t>:mm:ss</w:t>
            </w:r>
            <w:r>
              <w:rPr>
                <w:rFonts w:hint="eastAsia" w:ascii="仿宋_GB2312" w:eastAsia="仿宋_GB2312"/>
                <w:color w:val="000000"/>
                <w:szCs w:val="21"/>
              </w:rPr>
              <w:t>”</w:t>
            </w:r>
          </w:p>
        </w:tc>
      </w:tr>
    </w:tbl>
    <w:p>
      <w:pPr>
        <w:spacing w:line="590" w:lineRule="exact"/>
        <w:ind w:firstLine="640" w:firstLineChars="200"/>
        <w:jc w:val="left"/>
        <w:rPr>
          <w:rFonts w:ascii="仿宋_GB2312" w:eastAsia="仿宋_GB2312"/>
          <w:sz w:val="32"/>
          <w:szCs w:val="22"/>
          <w:lang w:bidi="ar"/>
        </w:rPr>
      </w:pPr>
      <w:bookmarkStart w:id="159" w:name="_Toc73955388"/>
      <w:bookmarkStart w:id="160" w:name="_Toc73955527"/>
      <w:r>
        <w:rPr>
          <w:rFonts w:hint="eastAsia" w:ascii="仿宋_GB2312" w:eastAsia="仿宋_GB2312"/>
          <w:sz w:val="32"/>
          <w:szCs w:val="22"/>
          <w:lang w:bidi="ar"/>
        </w:rPr>
        <w:t>4</w:t>
      </w:r>
      <w:r>
        <w:rPr>
          <w:rFonts w:hint="eastAsia" w:ascii="仿宋_GB2312" w:eastAsia="仿宋_GB2312"/>
          <w:sz w:val="32"/>
          <w:szCs w:val="22"/>
          <w:lang w:eastAsia="zh-CN" w:bidi="ar"/>
        </w:rPr>
        <w:t>）</w:t>
      </w:r>
      <w:r>
        <w:rPr>
          <w:rFonts w:hint="eastAsia" w:ascii="仿宋_GB2312" w:eastAsia="仿宋_GB2312"/>
          <w:sz w:val="32"/>
          <w:szCs w:val="22"/>
          <w:lang w:bidi="ar"/>
        </w:rPr>
        <w:t>返回值</w:t>
      </w:r>
      <w:bookmarkEnd w:id="159"/>
      <w:bookmarkEnd w:id="160"/>
    </w:p>
    <w:p>
      <w:pPr>
        <w:spacing w:line="590" w:lineRule="exact"/>
        <w:jc w:val="center"/>
        <w:rPr>
          <w:rFonts w:ascii="仿宋_GB2312" w:hAnsi="黑体" w:eastAsia="仿宋_GB2312"/>
          <w:sz w:val="32"/>
          <w:szCs w:val="22"/>
        </w:rPr>
      </w:pPr>
      <w:r>
        <w:rPr>
          <w:rFonts w:hint="eastAsia" w:ascii="仿宋_GB2312" w:hAnsi="黑体" w:eastAsia="仿宋_GB2312"/>
          <w:sz w:val="32"/>
          <w:szCs w:val="22"/>
        </w:rPr>
        <w:t>表11 停车场充电记录确认返回值表</w:t>
      </w:r>
    </w:p>
    <w:tbl>
      <w:tblPr>
        <w:tblStyle w:val="51"/>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9"/>
        <w:gridCol w:w="1726"/>
        <w:gridCol w:w="772"/>
        <w:gridCol w:w="1096"/>
        <w:gridCol w:w="3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179" w:type="dxa"/>
            <w:vAlign w:val="center"/>
          </w:tcPr>
          <w:p>
            <w:pPr>
              <w:spacing w:line="300" w:lineRule="exact"/>
              <w:jc w:val="center"/>
              <w:rPr>
                <w:rFonts w:ascii="黑体" w:hAnsi="黑体" w:eastAsia="黑体"/>
                <w:color w:val="000000"/>
                <w:szCs w:val="21"/>
              </w:rPr>
            </w:pPr>
            <w:r>
              <w:rPr>
                <w:rFonts w:hint="eastAsia" w:ascii="黑体" w:hAnsi="黑体" w:eastAsia="黑体"/>
                <w:color w:val="000000"/>
                <w:szCs w:val="21"/>
              </w:rPr>
              <w:t>参数名称</w:t>
            </w:r>
          </w:p>
        </w:tc>
        <w:tc>
          <w:tcPr>
            <w:tcW w:w="1726" w:type="dxa"/>
            <w:vAlign w:val="center"/>
          </w:tcPr>
          <w:p>
            <w:pPr>
              <w:spacing w:line="300" w:lineRule="exact"/>
              <w:jc w:val="center"/>
              <w:rPr>
                <w:rFonts w:ascii="黑体" w:hAnsi="黑体" w:eastAsia="黑体"/>
                <w:color w:val="000000"/>
                <w:szCs w:val="21"/>
              </w:rPr>
            </w:pPr>
            <w:r>
              <w:rPr>
                <w:rFonts w:hint="eastAsia" w:ascii="黑体" w:hAnsi="黑体" w:eastAsia="黑体"/>
                <w:color w:val="000000"/>
                <w:szCs w:val="21"/>
              </w:rPr>
              <w:t>定义</w:t>
            </w:r>
          </w:p>
        </w:tc>
        <w:tc>
          <w:tcPr>
            <w:tcW w:w="772" w:type="dxa"/>
          </w:tcPr>
          <w:p>
            <w:pPr>
              <w:spacing w:line="300" w:lineRule="exact"/>
              <w:jc w:val="center"/>
              <w:rPr>
                <w:rFonts w:ascii="黑体" w:hAnsi="黑体" w:eastAsia="黑体"/>
                <w:color w:val="000000"/>
                <w:szCs w:val="21"/>
              </w:rPr>
            </w:pPr>
            <w:r>
              <w:rPr>
                <w:rFonts w:hint="eastAsia" w:ascii="黑体" w:hAnsi="黑体" w:eastAsia="黑体"/>
                <w:color w:val="000000"/>
                <w:szCs w:val="21"/>
              </w:rPr>
              <w:t>必填</w:t>
            </w:r>
          </w:p>
        </w:tc>
        <w:tc>
          <w:tcPr>
            <w:tcW w:w="1096" w:type="dxa"/>
            <w:vAlign w:val="center"/>
          </w:tcPr>
          <w:p>
            <w:pPr>
              <w:spacing w:line="300" w:lineRule="exact"/>
              <w:jc w:val="center"/>
              <w:rPr>
                <w:rFonts w:ascii="黑体" w:hAnsi="黑体" w:eastAsia="黑体"/>
                <w:color w:val="000000"/>
                <w:szCs w:val="21"/>
              </w:rPr>
            </w:pPr>
            <w:r>
              <w:rPr>
                <w:rFonts w:hint="eastAsia" w:ascii="黑体" w:hAnsi="黑体" w:eastAsia="黑体"/>
                <w:color w:val="000000"/>
                <w:szCs w:val="21"/>
              </w:rPr>
              <w:t>参数类型</w:t>
            </w:r>
          </w:p>
        </w:tc>
        <w:tc>
          <w:tcPr>
            <w:tcW w:w="3287" w:type="dxa"/>
            <w:vAlign w:val="center"/>
          </w:tcPr>
          <w:p>
            <w:pPr>
              <w:spacing w:line="300" w:lineRule="exact"/>
              <w:ind w:firstLine="900"/>
              <w:jc w:val="center"/>
              <w:rPr>
                <w:rFonts w:ascii="黑体" w:hAnsi="黑体" w:eastAsia="黑体"/>
                <w:color w:val="000000"/>
                <w:szCs w:val="21"/>
              </w:rPr>
            </w:pPr>
            <w:r>
              <w:rPr>
                <w:rFonts w:hint="eastAsia" w:ascii="黑体" w:hAnsi="黑体" w:eastAsia="黑体"/>
                <w:color w:val="000000"/>
                <w:szCs w:val="21"/>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179"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充电订单号</w:t>
            </w:r>
          </w:p>
        </w:tc>
        <w:tc>
          <w:tcPr>
            <w:tcW w:w="1726"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OrderNo</w:t>
            </w:r>
          </w:p>
        </w:tc>
        <w:tc>
          <w:tcPr>
            <w:tcW w:w="772"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是</w:t>
            </w:r>
          </w:p>
        </w:tc>
        <w:tc>
          <w:tcPr>
            <w:tcW w:w="1096"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字符串</w:t>
            </w:r>
          </w:p>
        </w:tc>
        <w:tc>
          <w:tcPr>
            <w:tcW w:w="328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充电运营商订单号，不超过64位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79"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确认结果</w:t>
            </w:r>
          </w:p>
        </w:tc>
        <w:tc>
          <w:tcPr>
            <w:tcW w:w="1726"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ConfirmResult</w:t>
            </w:r>
          </w:p>
        </w:tc>
        <w:tc>
          <w:tcPr>
            <w:tcW w:w="772"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是</w:t>
            </w:r>
          </w:p>
        </w:tc>
        <w:tc>
          <w:tcPr>
            <w:tcW w:w="1096"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整型</w:t>
            </w:r>
          </w:p>
        </w:tc>
        <w:tc>
          <w:tcPr>
            <w:tcW w:w="328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0</w:t>
            </w:r>
            <w:r>
              <w:rPr>
                <w:rFonts w:ascii="仿宋_GB2312" w:eastAsia="仿宋_GB2312"/>
                <w:color w:val="000000"/>
                <w:szCs w:val="21"/>
              </w:rPr>
              <w:t>:</w:t>
            </w:r>
            <w:r>
              <w:rPr>
                <w:rFonts w:hint="eastAsia" w:ascii="仿宋_GB2312" w:eastAsia="仿宋_GB2312"/>
                <w:color w:val="000000"/>
                <w:szCs w:val="21"/>
              </w:rPr>
              <w:t>成功</w:t>
            </w:r>
          </w:p>
          <w:p>
            <w:pPr>
              <w:spacing w:line="300" w:lineRule="exact"/>
              <w:jc w:val="center"/>
              <w:rPr>
                <w:rFonts w:ascii="仿宋_GB2312" w:eastAsia="仿宋_GB2312"/>
                <w:color w:val="000000"/>
                <w:szCs w:val="21"/>
              </w:rPr>
            </w:pPr>
            <w:r>
              <w:rPr>
                <w:rFonts w:ascii="仿宋_GB2312" w:eastAsia="仿宋_GB2312"/>
                <w:color w:val="000000"/>
                <w:szCs w:val="21"/>
              </w:rPr>
              <w:t>1:</w:t>
            </w:r>
            <w:r>
              <w:rPr>
                <w:rFonts w:hint="eastAsia" w:ascii="仿宋_GB2312" w:eastAsia="仿宋_GB2312"/>
                <w:color w:val="000000"/>
                <w:szCs w:val="21"/>
              </w:rPr>
              <w:t>失败</w:t>
            </w:r>
          </w:p>
        </w:tc>
      </w:tr>
    </w:tbl>
    <w:p>
      <w:pPr>
        <w:spacing w:line="590" w:lineRule="exact"/>
        <w:ind w:firstLine="640" w:firstLineChars="200"/>
        <w:jc w:val="left"/>
        <w:outlineLvl w:val="4"/>
        <w:rPr>
          <w:rFonts w:ascii="仿宋_GB2312" w:eastAsia="仿宋_GB2312"/>
          <w:sz w:val="32"/>
          <w:szCs w:val="22"/>
          <w:lang w:bidi="ar"/>
        </w:rPr>
      </w:pPr>
      <w:bookmarkStart w:id="161" w:name="_Toc73955528"/>
      <w:bookmarkStart w:id="162" w:name="_Toc73955389"/>
      <w:r>
        <w:rPr>
          <w:rFonts w:hint="eastAsia" w:ascii="仿宋_GB2312" w:eastAsia="仿宋_GB2312"/>
          <w:sz w:val="32"/>
          <w:szCs w:val="22"/>
          <w:lang w:bidi="ar"/>
        </w:rPr>
        <w:t>e.停车位状态信息推送</w:t>
      </w:r>
      <w:bookmarkEnd w:id="161"/>
      <w:bookmarkEnd w:id="162"/>
    </w:p>
    <w:p>
      <w:pPr>
        <w:spacing w:line="590" w:lineRule="exact"/>
        <w:ind w:firstLine="640" w:firstLineChars="200"/>
        <w:jc w:val="left"/>
        <w:rPr>
          <w:rFonts w:ascii="仿宋_GB2312" w:eastAsia="仿宋_GB2312"/>
          <w:sz w:val="32"/>
          <w:szCs w:val="22"/>
          <w:lang w:bidi="ar"/>
        </w:rPr>
      </w:pPr>
      <w:bookmarkStart w:id="163" w:name="_Toc73955529"/>
      <w:bookmarkStart w:id="164" w:name="_Toc73955390"/>
      <w:r>
        <w:rPr>
          <w:rFonts w:hint="eastAsia" w:ascii="仿宋_GB2312" w:eastAsia="仿宋_GB2312"/>
          <w:sz w:val="32"/>
          <w:szCs w:val="22"/>
          <w:lang w:bidi="ar"/>
        </w:rPr>
        <w:t>1</w:t>
      </w:r>
      <w:r>
        <w:rPr>
          <w:rFonts w:hint="eastAsia" w:ascii="仿宋_GB2312" w:eastAsia="仿宋_GB2312"/>
          <w:sz w:val="32"/>
          <w:szCs w:val="22"/>
          <w:lang w:eastAsia="zh-CN" w:bidi="ar"/>
        </w:rPr>
        <w:t>）</w:t>
      </w:r>
      <w:r>
        <w:rPr>
          <w:rFonts w:hint="eastAsia" w:ascii="仿宋_GB2312" w:eastAsia="仿宋_GB2312"/>
          <w:sz w:val="32"/>
          <w:szCs w:val="22"/>
          <w:lang w:bidi="ar"/>
        </w:rPr>
        <w:t>概述</w:t>
      </w:r>
      <w:bookmarkEnd w:id="163"/>
      <w:bookmarkEnd w:id="164"/>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此接口用于停车场服务平台向充电平台推送停车空闲状态。</w:t>
      </w:r>
    </w:p>
    <w:p>
      <w:pPr>
        <w:spacing w:line="590" w:lineRule="exact"/>
        <w:ind w:firstLine="640" w:firstLineChars="200"/>
        <w:jc w:val="left"/>
        <w:rPr>
          <w:rFonts w:ascii="仿宋_GB2312" w:eastAsia="仿宋_GB2312"/>
          <w:sz w:val="32"/>
          <w:szCs w:val="22"/>
          <w:lang w:bidi="ar"/>
        </w:rPr>
      </w:pPr>
      <w:bookmarkStart w:id="165" w:name="_Toc73955391"/>
      <w:bookmarkStart w:id="166" w:name="_Toc73955530"/>
      <w:r>
        <w:rPr>
          <w:rFonts w:hint="eastAsia" w:ascii="仿宋_GB2312" w:eastAsia="仿宋_GB2312"/>
          <w:sz w:val="32"/>
          <w:szCs w:val="22"/>
          <w:lang w:bidi="ar"/>
        </w:rPr>
        <w:t>2</w:t>
      </w:r>
      <w:r>
        <w:rPr>
          <w:rFonts w:hint="eastAsia" w:ascii="仿宋_GB2312" w:eastAsia="仿宋_GB2312"/>
          <w:sz w:val="32"/>
          <w:szCs w:val="22"/>
          <w:lang w:eastAsia="zh-CN" w:bidi="ar"/>
        </w:rPr>
        <w:t>）</w:t>
      </w:r>
      <w:r>
        <w:rPr>
          <w:rFonts w:hint="eastAsia" w:ascii="仿宋_GB2312" w:eastAsia="仿宋_GB2312"/>
          <w:sz w:val="32"/>
          <w:szCs w:val="22"/>
          <w:lang w:bidi="ar"/>
        </w:rPr>
        <w:t>接口定义</w:t>
      </w:r>
      <w:bookmarkEnd w:id="165"/>
      <w:bookmarkEnd w:id="166"/>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接口名称：notification_parking_status</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接口使用方法：由充电平台方实现此接口，停车场服务平台调用。</w:t>
      </w:r>
    </w:p>
    <w:p>
      <w:pPr>
        <w:spacing w:line="590" w:lineRule="exact"/>
        <w:ind w:firstLine="640" w:firstLineChars="200"/>
        <w:jc w:val="left"/>
        <w:rPr>
          <w:rFonts w:ascii="仿宋_GB2312" w:eastAsia="仿宋_GB2312"/>
          <w:sz w:val="32"/>
          <w:szCs w:val="22"/>
          <w:lang w:bidi="ar"/>
        </w:rPr>
      </w:pPr>
      <w:bookmarkStart w:id="167" w:name="_Toc73955392"/>
      <w:bookmarkStart w:id="168" w:name="_Toc73955531"/>
      <w:r>
        <w:rPr>
          <w:rFonts w:hint="eastAsia" w:ascii="仿宋_GB2312" w:eastAsia="仿宋_GB2312"/>
          <w:sz w:val="32"/>
          <w:szCs w:val="22"/>
          <w:lang w:bidi="ar"/>
        </w:rPr>
        <w:t>3</w:t>
      </w:r>
      <w:r>
        <w:rPr>
          <w:rFonts w:hint="eastAsia" w:ascii="仿宋_GB2312" w:eastAsia="仿宋_GB2312"/>
          <w:sz w:val="32"/>
          <w:szCs w:val="22"/>
          <w:lang w:eastAsia="zh-CN" w:bidi="ar"/>
        </w:rPr>
        <w:t>）</w:t>
      </w:r>
      <w:r>
        <w:rPr>
          <w:rFonts w:hint="eastAsia" w:ascii="仿宋_GB2312" w:eastAsia="仿宋_GB2312"/>
          <w:sz w:val="32"/>
          <w:szCs w:val="22"/>
          <w:lang w:bidi="ar"/>
        </w:rPr>
        <w:t>输入参数</w:t>
      </w:r>
      <w:bookmarkEnd w:id="167"/>
      <w:bookmarkEnd w:id="168"/>
    </w:p>
    <w:p>
      <w:pPr>
        <w:spacing w:line="590" w:lineRule="exact"/>
        <w:jc w:val="center"/>
        <w:rPr>
          <w:rFonts w:ascii="仿宋_GB2312" w:hAnsi="黑体" w:eastAsia="仿宋_GB2312"/>
          <w:sz w:val="32"/>
          <w:szCs w:val="22"/>
        </w:rPr>
      </w:pPr>
      <w:r>
        <w:rPr>
          <w:rFonts w:hint="eastAsia" w:ascii="仿宋_GB2312" w:hAnsi="黑体" w:eastAsia="仿宋_GB2312"/>
          <w:sz w:val="32"/>
          <w:szCs w:val="22"/>
        </w:rPr>
        <w:t>表12 停车位状态信息推送输入参数表</w:t>
      </w:r>
    </w:p>
    <w:tbl>
      <w:tblPr>
        <w:tblStyle w:val="51"/>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1896"/>
        <w:gridCol w:w="1066"/>
        <w:gridCol w:w="2001"/>
        <w:gridCol w:w="2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315" w:type="dxa"/>
            <w:vAlign w:val="center"/>
          </w:tcPr>
          <w:p>
            <w:pPr>
              <w:spacing w:line="300" w:lineRule="exact"/>
              <w:jc w:val="center"/>
              <w:rPr>
                <w:rFonts w:ascii="黑体" w:hAnsi="黑体" w:eastAsia="黑体"/>
                <w:color w:val="000000"/>
                <w:szCs w:val="21"/>
              </w:rPr>
            </w:pPr>
            <w:r>
              <w:rPr>
                <w:rFonts w:hint="eastAsia" w:ascii="黑体" w:hAnsi="黑体" w:eastAsia="黑体"/>
                <w:color w:val="000000"/>
                <w:szCs w:val="21"/>
              </w:rPr>
              <w:t>参数名称</w:t>
            </w:r>
          </w:p>
        </w:tc>
        <w:tc>
          <w:tcPr>
            <w:tcW w:w="1896" w:type="dxa"/>
            <w:vAlign w:val="center"/>
          </w:tcPr>
          <w:p>
            <w:pPr>
              <w:spacing w:line="300" w:lineRule="exact"/>
              <w:jc w:val="center"/>
              <w:rPr>
                <w:rFonts w:ascii="黑体" w:hAnsi="黑体" w:eastAsia="黑体"/>
                <w:color w:val="000000"/>
                <w:szCs w:val="21"/>
              </w:rPr>
            </w:pPr>
            <w:r>
              <w:rPr>
                <w:rFonts w:hint="eastAsia" w:ascii="黑体" w:hAnsi="黑体" w:eastAsia="黑体"/>
                <w:color w:val="000000"/>
                <w:szCs w:val="21"/>
              </w:rPr>
              <w:t>定义</w:t>
            </w:r>
          </w:p>
        </w:tc>
        <w:tc>
          <w:tcPr>
            <w:tcW w:w="1066" w:type="dxa"/>
          </w:tcPr>
          <w:p>
            <w:pPr>
              <w:spacing w:line="300" w:lineRule="exact"/>
              <w:jc w:val="center"/>
              <w:rPr>
                <w:rFonts w:ascii="黑体" w:hAnsi="黑体" w:eastAsia="黑体"/>
                <w:color w:val="000000"/>
                <w:szCs w:val="21"/>
              </w:rPr>
            </w:pPr>
            <w:r>
              <w:rPr>
                <w:rFonts w:hint="eastAsia" w:ascii="黑体" w:hAnsi="黑体" w:eastAsia="黑体"/>
                <w:color w:val="000000"/>
                <w:szCs w:val="21"/>
              </w:rPr>
              <w:t>必填</w:t>
            </w:r>
          </w:p>
        </w:tc>
        <w:tc>
          <w:tcPr>
            <w:tcW w:w="2001" w:type="dxa"/>
            <w:vAlign w:val="center"/>
          </w:tcPr>
          <w:p>
            <w:pPr>
              <w:spacing w:line="300" w:lineRule="exact"/>
              <w:jc w:val="center"/>
              <w:rPr>
                <w:rFonts w:ascii="黑体" w:hAnsi="黑体" w:eastAsia="黑体"/>
                <w:color w:val="000000"/>
                <w:szCs w:val="21"/>
              </w:rPr>
            </w:pPr>
            <w:r>
              <w:rPr>
                <w:rFonts w:hint="eastAsia" w:ascii="黑体" w:hAnsi="黑体" w:eastAsia="黑体"/>
                <w:color w:val="000000"/>
                <w:szCs w:val="21"/>
              </w:rPr>
              <w:t>参数类型</w:t>
            </w:r>
          </w:p>
        </w:tc>
        <w:tc>
          <w:tcPr>
            <w:tcW w:w="2782" w:type="dxa"/>
            <w:vAlign w:val="center"/>
          </w:tcPr>
          <w:p>
            <w:pPr>
              <w:spacing w:line="300" w:lineRule="exact"/>
              <w:ind w:firstLine="900"/>
              <w:rPr>
                <w:rFonts w:ascii="黑体" w:hAnsi="黑体" w:eastAsia="黑体"/>
                <w:color w:val="000000"/>
                <w:szCs w:val="21"/>
              </w:rPr>
            </w:pPr>
            <w:r>
              <w:rPr>
                <w:rFonts w:hint="eastAsia" w:ascii="黑体" w:hAnsi="黑体" w:eastAsia="黑体"/>
                <w:color w:val="000000"/>
                <w:szCs w:val="21"/>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315"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停车位数量</w:t>
            </w:r>
          </w:p>
        </w:tc>
        <w:tc>
          <w:tcPr>
            <w:tcW w:w="1896"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ParkingCount</w:t>
            </w:r>
          </w:p>
        </w:tc>
        <w:tc>
          <w:tcPr>
            <w:tcW w:w="1066"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是</w:t>
            </w:r>
          </w:p>
        </w:tc>
        <w:tc>
          <w:tcPr>
            <w:tcW w:w="2001"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整型</w:t>
            </w:r>
          </w:p>
        </w:tc>
        <w:tc>
          <w:tcPr>
            <w:tcW w:w="2782"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停车位个数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315"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停车场编号</w:t>
            </w:r>
          </w:p>
        </w:tc>
        <w:tc>
          <w:tcPr>
            <w:tcW w:w="1896"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ParkingStationID</w:t>
            </w:r>
          </w:p>
        </w:tc>
        <w:tc>
          <w:tcPr>
            <w:tcW w:w="1066"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是</w:t>
            </w:r>
          </w:p>
        </w:tc>
        <w:tc>
          <w:tcPr>
            <w:tcW w:w="2001"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字符串</w:t>
            </w:r>
          </w:p>
        </w:tc>
        <w:tc>
          <w:tcPr>
            <w:tcW w:w="2782"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停车场唯一编码，20位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315"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停车位状态</w:t>
            </w:r>
          </w:p>
        </w:tc>
        <w:tc>
          <w:tcPr>
            <w:tcW w:w="1896"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ParkingNoS</w:t>
            </w:r>
          </w:p>
        </w:tc>
        <w:tc>
          <w:tcPr>
            <w:tcW w:w="1066"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是</w:t>
            </w:r>
          </w:p>
        </w:tc>
        <w:tc>
          <w:tcPr>
            <w:tcW w:w="2001"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ParkingNoStutas[</w:t>
            </w:r>
            <w:r>
              <w:rPr>
                <w:rFonts w:ascii="仿宋_GB2312" w:eastAsia="仿宋_GB2312"/>
                <w:color w:val="000000"/>
                <w:szCs w:val="21"/>
              </w:rPr>
              <w:t>]</w:t>
            </w:r>
          </w:p>
        </w:tc>
        <w:tc>
          <w:tcPr>
            <w:tcW w:w="2782"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停车位状态信息</w:t>
            </w:r>
          </w:p>
        </w:tc>
      </w:tr>
    </w:tbl>
    <w:p>
      <w:pPr>
        <w:spacing w:line="590" w:lineRule="exact"/>
        <w:jc w:val="center"/>
        <w:rPr>
          <w:rFonts w:ascii="仿宋_GB2312" w:hAnsi="黑体" w:eastAsia="仿宋_GB2312"/>
          <w:sz w:val="32"/>
          <w:szCs w:val="22"/>
        </w:rPr>
      </w:pPr>
      <w:r>
        <w:rPr>
          <w:rFonts w:hint="eastAsia" w:ascii="仿宋_GB2312" w:hAnsi="黑体" w:eastAsia="仿宋_GB2312"/>
          <w:sz w:val="32"/>
          <w:szCs w:val="22"/>
        </w:rPr>
        <w:t>表13 停车位状态信息表</w:t>
      </w:r>
    </w:p>
    <w:tbl>
      <w:tblPr>
        <w:tblStyle w:val="51"/>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1651"/>
        <w:gridCol w:w="1172"/>
        <w:gridCol w:w="1441"/>
        <w:gridCol w:w="2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310" w:type="dxa"/>
            <w:shd w:val="clear" w:color="auto" w:fill="auto"/>
            <w:vAlign w:val="center"/>
          </w:tcPr>
          <w:p>
            <w:pPr>
              <w:spacing w:line="300" w:lineRule="exact"/>
              <w:jc w:val="center"/>
              <w:rPr>
                <w:rFonts w:ascii="黑体" w:hAnsi="黑体" w:eastAsia="黑体"/>
                <w:color w:val="000000"/>
                <w:szCs w:val="21"/>
              </w:rPr>
            </w:pPr>
            <w:r>
              <w:rPr>
                <w:rFonts w:hint="eastAsia" w:ascii="黑体" w:hAnsi="黑体" w:eastAsia="黑体"/>
                <w:color w:val="000000"/>
                <w:szCs w:val="21"/>
              </w:rPr>
              <w:t>名称</w:t>
            </w:r>
          </w:p>
        </w:tc>
        <w:tc>
          <w:tcPr>
            <w:tcW w:w="1651" w:type="dxa"/>
            <w:shd w:val="clear" w:color="auto" w:fill="auto"/>
            <w:vAlign w:val="center"/>
          </w:tcPr>
          <w:p>
            <w:pPr>
              <w:spacing w:line="300" w:lineRule="exact"/>
              <w:jc w:val="center"/>
              <w:rPr>
                <w:rFonts w:ascii="黑体" w:hAnsi="黑体" w:eastAsia="黑体"/>
                <w:color w:val="000000"/>
                <w:szCs w:val="21"/>
              </w:rPr>
            </w:pPr>
            <w:r>
              <w:rPr>
                <w:rFonts w:hint="eastAsia" w:ascii="黑体" w:hAnsi="黑体" w:eastAsia="黑体"/>
                <w:color w:val="000000"/>
                <w:szCs w:val="21"/>
              </w:rPr>
              <w:t>字段</w:t>
            </w:r>
          </w:p>
        </w:tc>
        <w:tc>
          <w:tcPr>
            <w:tcW w:w="1172" w:type="dxa"/>
            <w:shd w:val="clear" w:color="auto" w:fill="auto"/>
            <w:vAlign w:val="center"/>
          </w:tcPr>
          <w:p>
            <w:pPr>
              <w:spacing w:line="300" w:lineRule="exact"/>
              <w:jc w:val="center"/>
              <w:rPr>
                <w:rFonts w:ascii="黑体" w:hAnsi="黑体" w:eastAsia="黑体"/>
                <w:color w:val="000000"/>
                <w:szCs w:val="21"/>
              </w:rPr>
            </w:pPr>
            <w:r>
              <w:rPr>
                <w:rFonts w:hint="eastAsia" w:ascii="黑体" w:hAnsi="黑体" w:eastAsia="黑体"/>
                <w:color w:val="000000"/>
                <w:szCs w:val="21"/>
              </w:rPr>
              <w:t>必填</w:t>
            </w:r>
          </w:p>
        </w:tc>
        <w:tc>
          <w:tcPr>
            <w:tcW w:w="1441" w:type="dxa"/>
            <w:shd w:val="clear" w:color="auto" w:fill="auto"/>
            <w:vAlign w:val="center"/>
          </w:tcPr>
          <w:p>
            <w:pPr>
              <w:spacing w:line="300" w:lineRule="exact"/>
              <w:jc w:val="center"/>
              <w:rPr>
                <w:rFonts w:ascii="黑体" w:hAnsi="黑体" w:eastAsia="黑体"/>
                <w:color w:val="000000"/>
                <w:szCs w:val="21"/>
              </w:rPr>
            </w:pPr>
            <w:r>
              <w:rPr>
                <w:rFonts w:hint="eastAsia" w:ascii="黑体" w:hAnsi="黑体" w:eastAsia="黑体"/>
                <w:color w:val="000000"/>
                <w:szCs w:val="21"/>
              </w:rPr>
              <w:t>类型</w:t>
            </w:r>
          </w:p>
        </w:tc>
        <w:tc>
          <w:tcPr>
            <w:tcW w:w="2486" w:type="dxa"/>
            <w:shd w:val="clear" w:color="auto" w:fill="auto"/>
            <w:vAlign w:val="center"/>
          </w:tcPr>
          <w:p>
            <w:pPr>
              <w:spacing w:line="300" w:lineRule="exact"/>
              <w:jc w:val="center"/>
              <w:rPr>
                <w:rFonts w:ascii="黑体" w:hAnsi="黑体" w:eastAsia="黑体"/>
                <w:color w:val="000000"/>
                <w:szCs w:val="21"/>
              </w:rPr>
            </w:pPr>
            <w:r>
              <w:rPr>
                <w:rFonts w:hint="eastAsia" w:ascii="黑体" w:hAnsi="黑体" w:eastAsia="黑体"/>
                <w:color w:val="000000"/>
                <w:szCs w:val="21"/>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310" w:type="dxa"/>
            <w:shd w:val="clear" w:color="auto" w:fill="auto"/>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车位号</w:t>
            </w:r>
          </w:p>
        </w:tc>
        <w:tc>
          <w:tcPr>
            <w:tcW w:w="1651" w:type="dxa"/>
            <w:shd w:val="clear" w:color="auto" w:fill="auto"/>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ParkNo</w:t>
            </w:r>
          </w:p>
        </w:tc>
        <w:tc>
          <w:tcPr>
            <w:tcW w:w="1172" w:type="dxa"/>
            <w:shd w:val="clear" w:color="auto" w:fill="auto"/>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是</w:t>
            </w:r>
          </w:p>
        </w:tc>
        <w:tc>
          <w:tcPr>
            <w:tcW w:w="1441" w:type="dxa"/>
            <w:shd w:val="clear" w:color="auto" w:fill="auto"/>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字符串</w:t>
            </w:r>
          </w:p>
        </w:tc>
        <w:tc>
          <w:tcPr>
            <w:tcW w:w="2486" w:type="dxa"/>
            <w:shd w:val="clear" w:color="auto" w:fill="auto"/>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车位号，10位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310" w:type="dxa"/>
            <w:shd w:val="clear" w:color="auto" w:fill="auto"/>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车位名称</w:t>
            </w:r>
          </w:p>
        </w:tc>
        <w:tc>
          <w:tcPr>
            <w:tcW w:w="1651" w:type="dxa"/>
            <w:shd w:val="clear" w:color="auto" w:fill="auto"/>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arkNoTitile</w:t>
            </w:r>
          </w:p>
        </w:tc>
        <w:tc>
          <w:tcPr>
            <w:tcW w:w="1172" w:type="dxa"/>
            <w:shd w:val="clear" w:color="auto" w:fill="auto"/>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是</w:t>
            </w:r>
          </w:p>
        </w:tc>
        <w:tc>
          <w:tcPr>
            <w:tcW w:w="1441" w:type="dxa"/>
            <w:shd w:val="clear" w:color="auto" w:fill="auto"/>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字符串</w:t>
            </w:r>
          </w:p>
        </w:tc>
        <w:tc>
          <w:tcPr>
            <w:tcW w:w="2486" w:type="dxa"/>
            <w:shd w:val="clear" w:color="auto" w:fill="auto"/>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车位名称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2310" w:type="dxa"/>
            <w:shd w:val="clear" w:color="auto" w:fill="auto"/>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停</w:t>
            </w:r>
            <w:r>
              <w:rPr>
                <w:rFonts w:ascii="仿宋_GB2312" w:eastAsia="仿宋_GB2312"/>
                <w:color w:val="000000"/>
                <w:szCs w:val="21"/>
              </w:rPr>
              <w:t>车位状态</w:t>
            </w:r>
          </w:p>
        </w:tc>
        <w:tc>
          <w:tcPr>
            <w:tcW w:w="1651" w:type="dxa"/>
            <w:shd w:val="clear" w:color="auto" w:fill="auto"/>
            <w:vAlign w:val="center"/>
          </w:tcPr>
          <w:p>
            <w:pPr>
              <w:spacing w:line="300" w:lineRule="exact"/>
              <w:jc w:val="center"/>
              <w:rPr>
                <w:rFonts w:ascii="仿宋_GB2312" w:eastAsia="仿宋_GB2312"/>
                <w:color w:val="000000"/>
                <w:szCs w:val="21"/>
              </w:rPr>
            </w:pPr>
            <w:r>
              <w:rPr>
                <w:rFonts w:ascii="仿宋_GB2312" w:eastAsia="仿宋_GB2312"/>
                <w:color w:val="000000"/>
                <w:szCs w:val="21"/>
              </w:rPr>
              <w:t>ParkStatus</w:t>
            </w:r>
          </w:p>
        </w:tc>
        <w:tc>
          <w:tcPr>
            <w:tcW w:w="1172" w:type="dxa"/>
            <w:shd w:val="clear" w:color="auto" w:fill="auto"/>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否</w:t>
            </w:r>
          </w:p>
        </w:tc>
        <w:tc>
          <w:tcPr>
            <w:tcW w:w="1441" w:type="dxa"/>
            <w:shd w:val="clear" w:color="auto" w:fill="auto"/>
            <w:vAlign w:val="center"/>
          </w:tcPr>
          <w:p>
            <w:pPr>
              <w:spacing w:line="300" w:lineRule="exact"/>
              <w:jc w:val="center"/>
              <w:rPr>
                <w:rFonts w:ascii="仿宋_GB2312" w:eastAsia="仿宋_GB2312"/>
                <w:color w:val="000000"/>
                <w:szCs w:val="21"/>
              </w:rPr>
            </w:pPr>
            <w:r>
              <w:rPr>
                <w:rFonts w:ascii="仿宋_GB2312" w:eastAsia="仿宋_GB2312"/>
                <w:color w:val="000000"/>
                <w:szCs w:val="21"/>
              </w:rPr>
              <w:t>整型</w:t>
            </w:r>
          </w:p>
        </w:tc>
        <w:tc>
          <w:tcPr>
            <w:tcW w:w="2486" w:type="dxa"/>
            <w:shd w:val="clear" w:color="auto" w:fill="auto"/>
            <w:vAlign w:val="center"/>
          </w:tcPr>
          <w:p>
            <w:pPr>
              <w:spacing w:line="300" w:lineRule="exact"/>
              <w:jc w:val="center"/>
              <w:rPr>
                <w:rFonts w:ascii="仿宋_GB2312" w:eastAsia="仿宋_GB2312"/>
                <w:color w:val="000000"/>
                <w:szCs w:val="21"/>
              </w:rPr>
            </w:pPr>
            <w:r>
              <w:rPr>
                <w:rFonts w:ascii="仿宋_GB2312" w:eastAsia="仿宋_GB2312"/>
                <w:color w:val="000000"/>
                <w:szCs w:val="21"/>
              </w:rPr>
              <w:t>0：</w:t>
            </w:r>
            <w:r>
              <w:rPr>
                <w:rFonts w:hint="eastAsia" w:ascii="仿宋_GB2312" w:eastAsia="仿宋_GB2312"/>
                <w:color w:val="000000"/>
                <w:szCs w:val="21"/>
              </w:rPr>
              <w:t>未知、1</w:t>
            </w:r>
            <w:r>
              <w:rPr>
                <w:rFonts w:ascii="仿宋_GB2312" w:eastAsia="仿宋_GB2312"/>
                <w:color w:val="000000"/>
                <w:szCs w:val="21"/>
              </w:rPr>
              <w:t>0</w:t>
            </w:r>
            <w:r>
              <w:rPr>
                <w:rFonts w:hint="eastAsia" w:ascii="仿宋_GB2312" w:eastAsia="仿宋_GB2312"/>
                <w:color w:val="000000"/>
                <w:szCs w:val="21"/>
              </w:rPr>
              <w:t>：空闲</w:t>
            </w:r>
          </w:p>
          <w:p>
            <w:pPr>
              <w:spacing w:line="300" w:lineRule="exact"/>
              <w:jc w:val="center"/>
              <w:rPr>
                <w:rFonts w:ascii="仿宋_GB2312" w:eastAsia="仿宋_GB2312"/>
                <w:color w:val="000000"/>
                <w:szCs w:val="21"/>
              </w:rPr>
            </w:pPr>
            <w:r>
              <w:rPr>
                <w:rFonts w:ascii="仿宋_GB2312" w:eastAsia="仿宋_GB2312"/>
                <w:color w:val="000000"/>
                <w:szCs w:val="21"/>
              </w:rPr>
              <w:t>50：</w:t>
            </w:r>
            <w:r>
              <w:rPr>
                <w:rFonts w:hint="eastAsia" w:ascii="仿宋_GB2312" w:eastAsia="仿宋_GB2312"/>
                <w:color w:val="000000"/>
                <w:szCs w:val="21"/>
              </w:rPr>
              <w:t>占用</w:t>
            </w:r>
          </w:p>
        </w:tc>
      </w:tr>
    </w:tbl>
    <w:p>
      <w:pPr>
        <w:spacing w:line="590" w:lineRule="exact"/>
        <w:ind w:firstLine="640" w:firstLineChars="200"/>
        <w:jc w:val="left"/>
        <w:rPr>
          <w:rFonts w:ascii="仿宋_GB2312" w:eastAsia="仿宋_GB2312"/>
          <w:sz w:val="32"/>
          <w:szCs w:val="22"/>
          <w:lang w:bidi="ar"/>
        </w:rPr>
      </w:pPr>
      <w:bookmarkStart w:id="169" w:name="_Toc73955393"/>
      <w:bookmarkStart w:id="170" w:name="_Toc73955532"/>
      <w:r>
        <w:rPr>
          <w:rFonts w:hint="eastAsia" w:ascii="仿宋_GB2312" w:eastAsia="仿宋_GB2312"/>
          <w:sz w:val="32"/>
          <w:szCs w:val="22"/>
          <w:lang w:bidi="ar"/>
        </w:rPr>
        <w:t>4)返回值</w:t>
      </w:r>
    </w:p>
    <w:p>
      <w:pPr>
        <w:spacing w:line="590" w:lineRule="exact"/>
        <w:jc w:val="center"/>
        <w:rPr>
          <w:rFonts w:ascii="仿宋_GB2312" w:hAnsi="黑体" w:eastAsia="仿宋_GB2312"/>
          <w:sz w:val="32"/>
          <w:szCs w:val="22"/>
        </w:rPr>
      </w:pPr>
      <w:r>
        <w:rPr>
          <w:rFonts w:hint="eastAsia" w:ascii="仿宋_GB2312" w:hAnsi="黑体" w:eastAsia="仿宋_GB2312"/>
          <w:sz w:val="32"/>
          <w:szCs w:val="22"/>
        </w:rPr>
        <w:t>表14 停车位状态信息推送的返回值表</w:t>
      </w:r>
    </w:p>
    <w:tbl>
      <w:tblPr>
        <w:tblStyle w:val="51"/>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1"/>
        <w:gridCol w:w="1614"/>
        <w:gridCol w:w="785"/>
        <w:gridCol w:w="1114"/>
        <w:gridCol w:w="3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211" w:type="dxa"/>
            <w:vAlign w:val="center"/>
          </w:tcPr>
          <w:p>
            <w:pPr>
              <w:spacing w:line="300" w:lineRule="exact"/>
              <w:jc w:val="center"/>
              <w:rPr>
                <w:rFonts w:ascii="黑体" w:hAnsi="黑体" w:eastAsia="黑体"/>
                <w:color w:val="000000"/>
                <w:szCs w:val="21"/>
              </w:rPr>
            </w:pPr>
            <w:r>
              <w:rPr>
                <w:rFonts w:hint="eastAsia" w:ascii="黑体" w:hAnsi="黑体" w:eastAsia="黑体"/>
                <w:color w:val="000000"/>
                <w:szCs w:val="21"/>
              </w:rPr>
              <w:t>参数名称</w:t>
            </w:r>
          </w:p>
        </w:tc>
        <w:tc>
          <w:tcPr>
            <w:tcW w:w="1614" w:type="dxa"/>
            <w:vAlign w:val="center"/>
          </w:tcPr>
          <w:p>
            <w:pPr>
              <w:spacing w:line="300" w:lineRule="exact"/>
              <w:jc w:val="center"/>
              <w:rPr>
                <w:rFonts w:ascii="黑体" w:hAnsi="黑体" w:eastAsia="黑体"/>
                <w:color w:val="000000"/>
                <w:szCs w:val="21"/>
              </w:rPr>
            </w:pPr>
            <w:r>
              <w:rPr>
                <w:rFonts w:hint="eastAsia" w:ascii="黑体" w:hAnsi="黑体" w:eastAsia="黑体"/>
                <w:color w:val="000000"/>
                <w:szCs w:val="21"/>
              </w:rPr>
              <w:t>定义</w:t>
            </w:r>
          </w:p>
        </w:tc>
        <w:tc>
          <w:tcPr>
            <w:tcW w:w="785" w:type="dxa"/>
          </w:tcPr>
          <w:p>
            <w:pPr>
              <w:spacing w:line="300" w:lineRule="exact"/>
              <w:jc w:val="center"/>
              <w:rPr>
                <w:rFonts w:ascii="黑体" w:hAnsi="黑体" w:eastAsia="黑体"/>
                <w:color w:val="000000"/>
                <w:szCs w:val="21"/>
              </w:rPr>
            </w:pPr>
            <w:r>
              <w:rPr>
                <w:rFonts w:hint="eastAsia" w:ascii="黑体" w:hAnsi="黑体" w:eastAsia="黑体"/>
                <w:color w:val="000000"/>
                <w:szCs w:val="21"/>
              </w:rPr>
              <w:t>必填</w:t>
            </w:r>
          </w:p>
        </w:tc>
        <w:tc>
          <w:tcPr>
            <w:tcW w:w="1114" w:type="dxa"/>
            <w:vAlign w:val="center"/>
          </w:tcPr>
          <w:p>
            <w:pPr>
              <w:spacing w:line="300" w:lineRule="exact"/>
              <w:jc w:val="center"/>
              <w:rPr>
                <w:rFonts w:ascii="黑体" w:hAnsi="黑体" w:eastAsia="黑体"/>
                <w:color w:val="000000"/>
                <w:szCs w:val="21"/>
              </w:rPr>
            </w:pPr>
            <w:r>
              <w:rPr>
                <w:rFonts w:hint="eastAsia" w:ascii="黑体" w:hAnsi="黑体" w:eastAsia="黑体"/>
                <w:color w:val="000000"/>
                <w:szCs w:val="21"/>
              </w:rPr>
              <w:t>参数类型</w:t>
            </w:r>
          </w:p>
        </w:tc>
        <w:tc>
          <w:tcPr>
            <w:tcW w:w="3336" w:type="dxa"/>
            <w:vAlign w:val="center"/>
          </w:tcPr>
          <w:p>
            <w:pPr>
              <w:spacing w:line="300" w:lineRule="exact"/>
              <w:jc w:val="center"/>
              <w:rPr>
                <w:rFonts w:ascii="黑体" w:hAnsi="黑体" w:eastAsia="黑体"/>
                <w:color w:val="000000"/>
                <w:szCs w:val="21"/>
              </w:rPr>
            </w:pPr>
            <w:r>
              <w:rPr>
                <w:rFonts w:hint="eastAsia" w:ascii="黑体" w:hAnsi="黑体" w:eastAsia="黑体"/>
                <w:color w:val="000000"/>
                <w:szCs w:val="21"/>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211"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确认结果</w:t>
            </w:r>
          </w:p>
        </w:tc>
        <w:tc>
          <w:tcPr>
            <w:tcW w:w="1614"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ConfirmResult</w:t>
            </w:r>
          </w:p>
        </w:tc>
        <w:tc>
          <w:tcPr>
            <w:tcW w:w="785"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是</w:t>
            </w:r>
          </w:p>
        </w:tc>
        <w:tc>
          <w:tcPr>
            <w:tcW w:w="1114"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整型</w:t>
            </w:r>
          </w:p>
        </w:tc>
        <w:tc>
          <w:tcPr>
            <w:tcW w:w="3336"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0</w:t>
            </w:r>
            <w:r>
              <w:rPr>
                <w:rFonts w:ascii="仿宋_GB2312" w:eastAsia="仿宋_GB2312"/>
                <w:color w:val="000000"/>
                <w:szCs w:val="21"/>
              </w:rPr>
              <w:t>:</w:t>
            </w:r>
            <w:r>
              <w:rPr>
                <w:rFonts w:hint="eastAsia" w:ascii="仿宋_GB2312" w:eastAsia="仿宋_GB2312"/>
                <w:color w:val="000000"/>
                <w:szCs w:val="21"/>
              </w:rPr>
              <w:t>成功</w:t>
            </w:r>
          </w:p>
          <w:p>
            <w:pPr>
              <w:spacing w:line="300" w:lineRule="exact"/>
              <w:jc w:val="center"/>
              <w:rPr>
                <w:rFonts w:ascii="仿宋_GB2312" w:eastAsia="仿宋_GB2312"/>
                <w:color w:val="000000"/>
                <w:szCs w:val="21"/>
              </w:rPr>
            </w:pPr>
            <w:r>
              <w:rPr>
                <w:rFonts w:ascii="仿宋_GB2312" w:eastAsia="仿宋_GB2312"/>
                <w:color w:val="000000"/>
                <w:szCs w:val="21"/>
              </w:rPr>
              <w:t>1:</w:t>
            </w:r>
            <w:r>
              <w:rPr>
                <w:rFonts w:hint="eastAsia" w:ascii="仿宋_GB2312" w:eastAsia="仿宋_GB2312"/>
                <w:color w:val="000000"/>
                <w:szCs w:val="21"/>
              </w:rPr>
              <w:t>失败</w:t>
            </w:r>
          </w:p>
        </w:tc>
      </w:tr>
    </w:tbl>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11.充电设备接入充电平台技术要求</w:t>
      </w:r>
    </w:p>
    <w:p>
      <w:pPr>
        <w:spacing w:line="590" w:lineRule="exact"/>
        <w:ind w:firstLine="640" w:firstLineChars="200"/>
        <w:jc w:val="left"/>
        <w:outlineLvl w:val="3"/>
        <w:rPr>
          <w:rFonts w:ascii="仿宋_GB2312" w:eastAsia="仿宋_GB2312"/>
          <w:sz w:val="32"/>
          <w:szCs w:val="22"/>
          <w:lang w:bidi="ar"/>
        </w:rPr>
      </w:pPr>
      <w:r>
        <w:rPr>
          <w:rFonts w:hint="eastAsia" w:ascii="仿宋_GB2312" w:eastAsia="仿宋_GB2312"/>
          <w:sz w:val="32"/>
          <w:szCs w:val="22"/>
          <w:lang w:bidi="ar"/>
        </w:rPr>
        <w:t>（1）充电设备接入条件</w:t>
      </w:r>
    </w:p>
    <w:p>
      <w:pPr>
        <w:spacing w:line="590" w:lineRule="exact"/>
        <w:ind w:firstLine="640" w:firstLineChars="200"/>
        <w:rPr>
          <w:rFonts w:ascii="仿宋_GB2312" w:eastAsia="仿宋_GB2312"/>
          <w:sz w:val="32"/>
          <w:szCs w:val="22"/>
          <w:lang w:bidi="ar"/>
        </w:rPr>
      </w:pPr>
      <w:r>
        <w:rPr>
          <w:rFonts w:ascii="仿宋_GB2312" w:eastAsia="仿宋_GB2312"/>
          <w:sz w:val="32"/>
          <w:szCs w:val="22"/>
          <w:lang w:bidi="ar"/>
        </w:rPr>
        <w:t>充电设备在接入</w:t>
      </w:r>
      <w:r>
        <w:rPr>
          <w:rFonts w:hint="eastAsia" w:ascii="仿宋_GB2312" w:eastAsia="仿宋_GB2312"/>
          <w:sz w:val="32"/>
          <w:szCs w:val="22"/>
          <w:lang w:bidi="ar"/>
        </w:rPr>
        <w:t>充电</w:t>
      </w:r>
      <w:r>
        <w:rPr>
          <w:rFonts w:ascii="仿宋_GB2312" w:eastAsia="仿宋_GB2312"/>
          <w:sz w:val="32"/>
          <w:szCs w:val="22"/>
          <w:lang w:bidi="ar"/>
        </w:rPr>
        <w:t>平台前，应满足以下条件</w:t>
      </w:r>
      <w:r>
        <w:rPr>
          <w:rFonts w:hint="eastAsia" w:ascii="仿宋_GB2312" w:eastAsia="仿宋_GB2312"/>
          <w:sz w:val="32"/>
          <w:szCs w:val="22"/>
          <w:lang w:bidi="ar"/>
        </w:rPr>
        <w:t>：</w:t>
      </w:r>
    </w:p>
    <w:p>
      <w:pPr>
        <w:spacing w:line="590" w:lineRule="exact"/>
        <w:ind w:firstLine="640" w:firstLineChars="200"/>
        <w:rPr>
          <w:rFonts w:ascii="仿宋_GB2312" w:eastAsia="仿宋_GB2312"/>
          <w:sz w:val="32"/>
          <w:szCs w:val="22"/>
          <w:lang w:bidi="ar"/>
        </w:rPr>
      </w:pPr>
      <w:r>
        <w:rPr>
          <w:rFonts w:hint="eastAsia" w:ascii="仿宋_GB2312" w:eastAsia="仿宋_GB2312"/>
          <w:sz w:val="32"/>
          <w:szCs w:val="22"/>
          <w:lang w:bidi="ar"/>
        </w:rPr>
        <w:t>a.</w:t>
      </w:r>
      <w:r>
        <w:rPr>
          <w:rFonts w:ascii="仿宋_GB2312" w:eastAsia="仿宋_GB2312"/>
          <w:sz w:val="32"/>
          <w:szCs w:val="22"/>
          <w:lang w:bidi="ar"/>
        </w:rPr>
        <w:t>需</w:t>
      </w:r>
      <w:r>
        <w:rPr>
          <w:rFonts w:hint="eastAsia" w:ascii="仿宋_GB2312" w:eastAsia="仿宋_GB2312"/>
          <w:sz w:val="32"/>
          <w:szCs w:val="22"/>
          <w:lang w:bidi="ar"/>
        </w:rPr>
        <w:t>通过</w:t>
      </w:r>
      <w:r>
        <w:rPr>
          <w:rFonts w:ascii="仿宋_GB2312" w:eastAsia="仿宋_GB2312"/>
          <w:sz w:val="32"/>
          <w:szCs w:val="22"/>
          <w:lang w:bidi="ar"/>
        </w:rPr>
        <w:t>型式试验；</w:t>
      </w:r>
    </w:p>
    <w:p>
      <w:pPr>
        <w:spacing w:line="590" w:lineRule="exact"/>
        <w:ind w:firstLine="640" w:firstLineChars="200"/>
        <w:rPr>
          <w:rFonts w:ascii="仿宋_GB2312" w:eastAsia="仿宋_GB2312"/>
          <w:sz w:val="32"/>
          <w:szCs w:val="22"/>
          <w:lang w:bidi="ar"/>
        </w:rPr>
      </w:pPr>
      <w:r>
        <w:rPr>
          <w:rFonts w:hint="eastAsia" w:ascii="仿宋_GB2312" w:eastAsia="仿宋_GB2312"/>
          <w:sz w:val="32"/>
          <w:szCs w:val="22"/>
          <w:lang w:bidi="ar"/>
        </w:rPr>
        <w:t>b.</w:t>
      </w:r>
      <w:r>
        <w:rPr>
          <w:rFonts w:ascii="仿宋_GB2312" w:eastAsia="仿宋_GB2312"/>
          <w:sz w:val="32"/>
          <w:szCs w:val="22"/>
          <w:lang w:bidi="ar"/>
        </w:rPr>
        <w:t>运营商的入网检测</w:t>
      </w:r>
      <w:r>
        <w:rPr>
          <w:rFonts w:hint="eastAsia" w:ascii="仿宋_GB2312" w:eastAsia="仿宋_GB2312"/>
          <w:sz w:val="32"/>
          <w:szCs w:val="22"/>
          <w:lang w:bidi="ar"/>
        </w:rPr>
        <w:t>；</w:t>
      </w:r>
    </w:p>
    <w:p>
      <w:pPr>
        <w:spacing w:line="590" w:lineRule="exact"/>
        <w:ind w:firstLine="640" w:firstLineChars="200"/>
        <w:rPr>
          <w:rFonts w:ascii="仿宋_GB2312" w:eastAsia="仿宋_GB2312"/>
          <w:sz w:val="32"/>
          <w:szCs w:val="22"/>
          <w:lang w:bidi="ar"/>
        </w:rPr>
      </w:pPr>
      <w:r>
        <w:rPr>
          <w:rFonts w:hint="eastAsia" w:ascii="仿宋_GB2312" w:eastAsia="仿宋_GB2312"/>
          <w:sz w:val="32"/>
          <w:szCs w:val="22"/>
          <w:lang w:bidi="ar"/>
        </w:rPr>
        <w:t>c.</w:t>
      </w:r>
      <w:r>
        <w:rPr>
          <w:rFonts w:ascii="仿宋_GB2312" w:eastAsia="仿宋_GB2312"/>
          <w:sz w:val="32"/>
          <w:szCs w:val="22"/>
          <w:lang w:bidi="ar"/>
        </w:rPr>
        <w:t>设备运行正常</w:t>
      </w:r>
      <w:r>
        <w:rPr>
          <w:rFonts w:hint="eastAsia" w:ascii="仿宋_GB2312" w:eastAsia="仿宋_GB2312"/>
          <w:sz w:val="32"/>
          <w:szCs w:val="22"/>
          <w:lang w:bidi="ar"/>
        </w:rPr>
        <w:t>；</w:t>
      </w:r>
    </w:p>
    <w:p>
      <w:pPr>
        <w:spacing w:line="590" w:lineRule="exact"/>
        <w:ind w:firstLine="640" w:firstLineChars="200"/>
        <w:rPr>
          <w:rFonts w:ascii="仿宋_GB2312" w:eastAsia="仿宋_GB2312"/>
          <w:sz w:val="32"/>
          <w:szCs w:val="22"/>
          <w:lang w:bidi="ar"/>
        </w:rPr>
      </w:pPr>
      <w:r>
        <w:rPr>
          <w:rFonts w:hint="eastAsia" w:ascii="仿宋_GB2312" w:eastAsia="仿宋_GB2312"/>
          <w:sz w:val="32"/>
          <w:szCs w:val="22"/>
          <w:lang w:bidi="ar"/>
        </w:rPr>
        <w:t>d.</w:t>
      </w:r>
      <w:r>
        <w:rPr>
          <w:rFonts w:ascii="仿宋_GB2312" w:eastAsia="仿宋_GB2312"/>
          <w:sz w:val="32"/>
          <w:szCs w:val="22"/>
          <w:lang w:bidi="ar"/>
        </w:rPr>
        <w:t>获得</w:t>
      </w:r>
      <w:r>
        <w:rPr>
          <w:rFonts w:hint="eastAsia" w:ascii="仿宋_GB2312" w:eastAsia="仿宋_GB2312"/>
          <w:sz w:val="32"/>
          <w:szCs w:val="22"/>
          <w:lang w:bidi="ar"/>
        </w:rPr>
        <w:t>充电</w:t>
      </w:r>
      <w:r>
        <w:rPr>
          <w:rFonts w:ascii="仿宋_GB2312" w:eastAsia="仿宋_GB2312"/>
          <w:sz w:val="32"/>
          <w:szCs w:val="22"/>
          <w:lang w:bidi="ar"/>
        </w:rPr>
        <w:t>平台授权的资产注册码（可选）</w:t>
      </w:r>
      <w:r>
        <w:rPr>
          <w:rFonts w:hint="eastAsia" w:ascii="仿宋_GB2312" w:eastAsia="仿宋_GB2312"/>
          <w:sz w:val="32"/>
          <w:szCs w:val="22"/>
          <w:lang w:bidi="ar"/>
        </w:rPr>
        <w:t>。</w:t>
      </w:r>
    </w:p>
    <w:p>
      <w:pPr>
        <w:spacing w:line="590" w:lineRule="exact"/>
        <w:ind w:firstLine="640" w:firstLineChars="200"/>
        <w:jc w:val="left"/>
        <w:outlineLvl w:val="3"/>
        <w:rPr>
          <w:rFonts w:ascii="仿宋_GB2312" w:eastAsia="仿宋_GB2312"/>
          <w:sz w:val="32"/>
          <w:szCs w:val="22"/>
          <w:lang w:bidi="ar"/>
        </w:rPr>
      </w:pPr>
      <w:r>
        <w:rPr>
          <w:rFonts w:hint="eastAsia" w:ascii="仿宋_GB2312" w:eastAsia="仿宋_GB2312"/>
          <w:sz w:val="32"/>
          <w:szCs w:val="22"/>
          <w:lang w:bidi="ar"/>
        </w:rPr>
        <w:t>（2）充电设备技术要求</w:t>
      </w:r>
    </w:p>
    <w:p>
      <w:pPr>
        <w:spacing w:line="590" w:lineRule="exact"/>
        <w:ind w:firstLine="640" w:firstLineChars="200"/>
        <w:outlineLvl w:val="4"/>
        <w:rPr>
          <w:rFonts w:ascii="仿宋_GB2312" w:eastAsia="仿宋_GB2312"/>
          <w:sz w:val="32"/>
          <w:szCs w:val="22"/>
          <w:lang w:bidi="ar"/>
        </w:rPr>
      </w:pPr>
      <w:r>
        <w:rPr>
          <w:rFonts w:hint="eastAsia" w:ascii="仿宋_GB2312" w:eastAsia="仿宋_GB2312"/>
          <w:sz w:val="32"/>
          <w:szCs w:val="22"/>
          <w:lang w:bidi="ar"/>
        </w:rPr>
        <w:t>a.</w:t>
      </w:r>
      <w:r>
        <w:rPr>
          <w:rFonts w:ascii="仿宋_GB2312" w:eastAsia="仿宋_GB2312"/>
          <w:sz w:val="32"/>
          <w:szCs w:val="22"/>
          <w:lang w:bidi="ar"/>
        </w:rPr>
        <w:t>充电设备应满足的技术要求</w:t>
      </w:r>
    </w:p>
    <w:p>
      <w:pPr>
        <w:spacing w:line="590" w:lineRule="exact"/>
        <w:ind w:firstLine="640" w:firstLineChars="200"/>
        <w:rPr>
          <w:rFonts w:ascii="仿宋_GB2312" w:eastAsia="仿宋_GB2312"/>
          <w:sz w:val="32"/>
          <w:szCs w:val="22"/>
          <w:lang w:bidi="ar"/>
        </w:rPr>
      </w:pPr>
      <w:r>
        <w:rPr>
          <w:rFonts w:ascii="仿宋_GB2312" w:eastAsia="仿宋_GB2312"/>
          <w:sz w:val="32"/>
          <w:szCs w:val="22"/>
          <w:lang w:bidi="ar"/>
        </w:rPr>
        <w:t>GB/T 18487.1-2015 电动汽车传导充电系统 第1部分：通用要求</w:t>
      </w:r>
    </w:p>
    <w:p>
      <w:pPr>
        <w:spacing w:line="590" w:lineRule="exact"/>
        <w:ind w:firstLine="640" w:firstLineChars="200"/>
        <w:rPr>
          <w:rFonts w:ascii="仿宋_GB2312" w:eastAsia="仿宋_GB2312"/>
          <w:sz w:val="32"/>
          <w:szCs w:val="22"/>
          <w:lang w:bidi="ar"/>
        </w:rPr>
      </w:pPr>
      <w:r>
        <w:rPr>
          <w:rFonts w:ascii="仿宋_GB2312" w:eastAsia="仿宋_GB2312"/>
          <w:sz w:val="32"/>
          <w:szCs w:val="22"/>
          <w:lang w:bidi="ar"/>
        </w:rPr>
        <w:t>GB/T 22239-2008 信息安全技术信息系统安全等级保护基本要求</w:t>
      </w:r>
    </w:p>
    <w:p>
      <w:pPr>
        <w:spacing w:line="590" w:lineRule="exact"/>
        <w:ind w:firstLine="640" w:firstLineChars="200"/>
        <w:rPr>
          <w:rFonts w:ascii="仿宋_GB2312" w:eastAsia="仿宋_GB2312"/>
          <w:sz w:val="32"/>
          <w:szCs w:val="22"/>
          <w:lang w:bidi="ar"/>
        </w:rPr>
      </w:pPr>
      <w:r>
        <w:rPr>
          <w:rFonts w:ascii="仿宋_GB2312" w:eastAsia="仿宋_GB2312"/>
          <w:sz w:val="32"/>
          <w:szCs w:val="22"/>
          <w:lang w:bidi="ar"/>
        </w:rPr>
        <w:t>GB/T 25070-2010 信息安全技术信息系统等级保护安全设计技术要求</w:t>
      </w:r>
    </w:p>
    <w:p>
      <w:pPr>
        <w:spacing w:line="590" w:lineRule="exact"/>
        <w:ind w:firstLine="640" w:firstLineChars="200"/>
        <w:rPr>
          <w:rFonts w:ascii="仿宋_GB2312" w:eastAsia="仿宋_GB2312"/>
          <w:sz w:val="32"/>
          <w:szCs w:val="22"/>
          <w:lang w:bidi="ar"/>
        </w:rPr>
      </w:pPr>
      <w:r>
        <w:rPr>
          <w:rFonts w:ascii="仿宋_GB2312" w:eastAsia="仿宋_GB2312"/>
          <w:sz w:val="32"/>
          <w:szCs w:val="22"/>
          <w:lang w:bidi="ar"/>
        </w:rPr>
        <w:t>JJG 1148-2018电动汽车交流充电桩检定规程</w:t>
      </w:r>
    </w:p>
    <w:p>
      <w:pPr>
        <w:spacing w:line="590" w:lineRule="exact"/>
        <w:ind w:firstLine="640" w:firstLineChars="200"/>
        <w:rPr>
          <w:rFonts w:ascii="仿宋_GB2312" w:eastAsia="仿宋_GB2312"/>
          <w:sz w:val="32"/>
          <w:szCs w:val="22"/>
          <w:lang w:bidi="ar"/>
        </w:rPr>
      </w:pPr>
      <w:r>
        <w:rPr>
          <w:rFonts w:ascii="仿宋_GB2312" w:eastAsia="仿宋_GB2312"/>
          <w:sz w:val="32"/>
          <w:szCs w:val="22"/>
          <w:lang w:bidi="ar"/>
        </w:rPr>
        <w:t>JJG 1149-2018电动汽车非车载充电机检定规程</w:t>
      </w:r>
    </w:p>
    <w:p>
      <w:pPr>
        <w:spacing w:line="590" w:lineRule="exact"/>
        <w:ind w:firstLine="640" w:firstLineChars="200"/>
        <w:rPr>
          <w:rFonts w:ascii="仿宋_GB2312" w:eastAsia="仿宋_GB2312"/>
          <w:sz w:val="32"/>
          <w:szCs w:val="22"/>
          <w:lang w:bidi="ar"/>
        </w:rPr>
      </w:pPr>
      <w:r>
        <w:rPr>
          <w:rFonts w:ascii="仿宋_GB2312" w:eastAsia="仿宋_GB2312"/>
          <w:sz w:val="32"/>
          <w:szCs w:val="22"/>
          <w:lang w:bidi="ar"/>
        </w:rPr>
        <w:t>DL/T 698-2016 电能信息采集与管理系统</w:t>
      </w:r>
    </w:p>
    <w:p>
      <w:pPr>
        <w:spacing w:line="590" w:lineRule="exact"/>
        <w:ind w:firstLine="640" w:firstLineChars="200"/>
        <w:rPr>
          <w:rFonts w:ascii="仿宋_GB2312" w:eastAsia="仿宋_GB2312"/>
          <w:sz w:val="32"/>
          <w:szCs w:val="22"/>
          <w:lang w:bidi="ar"/>
        </w:rPr>
      </w:pPr>
      <w:r>
        <w:rPr>
          <w:rFonts w:ascii="仿宋_GB2312" w:eastAsia="仿宋_GB2312"/>
          <w:sz w:val="32"/>
          <w:szCs w:val="22"/>
          <w:lang w:bidi="ar"/>
        </w:rPr>
        <w:t>NB/T 33001-20</w:t>
      </w:r>
      <w:r>
        <w:rPr>
          <w:rFonts w:hint="eastAsia" w:ascii="仿宋_GB2312" w:eastAsia="仿宋_GB2312"/>
          <w:sz w:val="32"/>
          <w:szCs w:val="22"/>
          <w:lang w:bidi="ar"/>
        </w:rPr>
        <w:t>18</w:t>
      </w:r>
      <w:r>
        <w:rPr>
          <w:rFonts w:ascii="仿宋_GB2312" w:eastAsia="仿宋_GB2312"/>
          <w:sz w:val="32"/>
          <w:szCs w:val="22"/>
          <w:lang w:bidi="ar"/>
        </w:rPr>
        <w:t xml:space="preserve"> 电动汽车非车载传导式充电机技术条件</w:t>
      </w:r>
    </w:p>
    <w:p>
      <w:pPr>
        <w:spacing w:line="590" w:lineRule="exact"/>
        <w:ind w:firstLine="640" w:firstLineChars="200"/>
        <w:rPr>
          <w:rFonts w:ascii="仿宋_GB2312" w:eastAsia="仿宋_GB2312"/>
          <w:sz w:val="32"/>
          <w:szCs w:val="22"/>
          <w:lang w:bidi="ar"/>
        </w:rPr>
      </w:pPr>
      <w:r>
        <w:rPr>
          <w:rFonts w:ascii="仿宋_GB2312" w:eastAsia="仿宋_GB2312"/>
          <w:sz w:val="32"/>
          <w:szCs w:val="22"/>
          <w:lang w:bidi="ar"/>
        </w:rPr>
        <w:t>NB/T 33002-20</w:t>
      </w:r>
      <w:r>
        <w:rPr>
          <w:rFonts w:hint="eastAsia" w:ascii="仿宋_GB2312" w:eastAsia="仿宋_GB2312"/>
          <w:sz w:val="32"/>
          <w:szCs w:val="22"/>
          <w:lang w:bidi="ar"/>
        </w:rPr>
        <w:t>18</w:t>
      </w:r>
      <w:r>
        <w:rPr>
          <w:rFonts w:ascii="仿宋_GB2312" w:eastAsia="仿宋_GB2312"/>
          <w:sz w:val="32"/>
          <w:szCs w:val="22"/>
          <w:lang w:bidi="ar"/>
        </w:rPr>
        <w:t xml:space="preserve"> 电动汽车交流充电桩技术条件</w:t>
      </w:r>
    </w:p>
    <w:p>
      <w:pPr>
        <w:spacing w:line="590" w:lineRule="exact"/>
        <w:ind w:firstLine="640" w:firstLineChars="200"/>
        <w:outlineLvl w:val="4"/>
        <w:rPr>
          <w:rFonts w:ascii="仿宋_GB2312" w:eastAsia="仿宋_GB2312"/>
          <w:sz w:val="32"/>
          <w:szCs w:val="22"/>
          <w:lang w:bidi="ar"/>
        </w:rPr>
      </w:pPr>
      <w:r>
        <w:rPr>
          <w:rFonts w:hint="eastAsia" w:ascii="仿宋_GB2312" w:eastAsia="仿宋_GB2312"/>
          <w:sz w:val="32"/>
          <w:szCs w:val="22"/>
          <w:lang w:bidi="ar"/>
        </w:rPr>
        <w:t>b.</w:t>
      </w:r>
      <w:r>
        <w:rPr>
          <w:rFonts w:ascii="仿宋_GB2312" w:eastAsia="仿宋_GB2312"/>
          <w:sz w:val="32"/>
          <w:szCs w:val="22"/>
          <w:lang w:bidi="ar"/>
        </w:rPr>
        <w:t>充电设备</w:t>
      </w:r>
      <w:r>
        <w:rPr>
          <w:rFonts w:hint="eastAsia" w:ascii="仿宋_GB2312" w:eastAsia="仿宋_GB2312"/>
          <w:sz w:val="32"/>
          <w:szCs w:val="22"/>
          <w:lang w:bidi="ar"/>
        </w:rPr>
        <w:t>通信接口的</w:t>
      </w:r>
      <w:r>
        <w:rPr>
          <w:rFonts w:ascii="仿宋_GB2312" w:eastAsia="仿宋_GB2312"/>
          <w:sz w:val="32"/>
          <w:szCs w:val="22"/>
          <w:lang w:bidi="ar"/>
        </w:rPr>
        <w:t>要求</w:t>
      </w:r>
    </w:p>
    <w:p>
      <w:pPr>
        <w:spacing w:line="590" w:lineRule="exact"/>
        <w:ind w:firstLine="640" w:firstLineChars="200"/>
        <w:rPr>
          <w:rFonts w:ascii="仿宋_GB2312" w:eastAsia="仿宋_GB2312"/>
          <w:sz w:val="32"/>
          <w:szCs w:val="22"/>
          <w:lang w:bidi="ar"/>
        </w:rPr>
      </w:pPr>
      <w:r>
        <w:rPr>
          <w:rFonts w:ascii="仿宋_GB2312" w:eastAsia="仿宋_GB2312"/>
          <w:sz w:val="32"/>
          <w:szCs w:val="22"/>
          <w:lang w:bidi="ar"/>
        </w:rPr>
        <w:t>充电设备应具备与</w:t>
      </w:r>
      <w:r>
        <w:rPr>
          <w:rFonts w:hint="eastAsia" w:ascii="仿宋_GB2312" w:eastAsia="仿宋_GB2312"/>
          <w:sz w:val="32"/>
          <w:szCs w:val="22"/>
          <w:lang w:bidi="ar"/>
        </w:rPr>
        <w:t>充电</w:t>
      </w:r>
      <w:r>
        <w:rPr>
          <w:rFonts w:ascii="仿宋_GB2312" w:eastAsia="仿宋_GB2312"/>
          <w:sz w:val="32"/>
          <w:szCs w:val="22"/>
          <w:lang w:bidi="ar"/>
        </w:rPr>
        <w:t>平台通信的能力，</w:t>
      </w:r>
      <w:r>
        <w:rPr>
          <w:rFonts w:hint="eastAsia" w:ascii="仿宋_GB2312" w:eastAsia="仿宋_GB2312"/>
          <w:sz w:val="32"/>
          <w:szCs w:val="22"/>
          <w:lang w:bidi="ar"/>
        </w:rPr>
        <w:t>充电设备支持在纯IPv6网络环境下工作，并</w:t>
      </w:r>
      <w:r>
        <w:rPr>
          <w:rFonts w:ascii="仿宋_GB2312" w:eastAsia="仿宋_GB2312"/>
          <w:sz w:val="32"/>
          <w:szCs w:val="22"/>
          <w:lang w:bidi="ar"/>
        </w:rPr>
        <w:t>具备以下一种或多种接口：</w:t>
      </w:r>
    </w:p>
    <w:p>
      <w:pPr>
        <w:tabs>
          <w:tab w:val="left" w:pos="3119"/>
        </w:tabs>
        <w:spacing w:line="590" w:lineRule="exact"/>
        <w:ind w:firstLine="640" w:firstLineChars="200"/>
        <w:rPr>
          <w:rFonts w:ascii="仿宋_GB2312" w:eastAsia="仿宋_GB2312"/>
          <w:sz w:val="32"/>
          <w:szCs w:val="22"/>
          <w:lang w:bidi="ar"/>
        </w:rPr>
      </w:pPr>
      <w:r>
        <w:rPr>
          <w:rFonts w:ascii="仿宋_GB2312" w:eastAsia="仿宋_GB2312"/>
          <w:sz w:val="32"/>
          <w:szCs w:val="22"/>
          <w:lang w:bidi="ar"/>
        </w:rPr>
        <w:t>光纤</w:t>
      </w:r>
      <w:r>
        <w:rPr>
          <w:rFonts w:hint="eastAsia" w:ascii="仿宋_GB2312" w:eastAsia="仿宋_GB2312"/>
          <w:sz w:val="32"/>
          <w:szCs w:val="22"/>
          <w:lang w:bidi="ar"/>
        </w:rPr>
        <w:t>；</w:t>
      </w:r>
    </w:p>
    <w:p>
      <w:pPr>
        <w:tabs>
          <w:tab w:val="left" w:pos="3119"/>
        </w:tabs>
        <w:spacing w:line="590" w:lineRule="exact"/>
        <w:ind w:firstLine="640" w:firstLineChars="200"/>
        <w:rPr>
          <w:rFonts w:ascii="仿宋_GB2312" w:eastAsia="仿宋_GB2312"/>
          <w:sz w:val="32"/>
          <w:szCs w:val="22"/>
          <w:lang w:bidi="ar"/>
        </w:rPr>
      </w:pPr>
      <w:r>
        <w:rPr>
          <w:rFonts w:ascii="仿宋_GB2312" w:eastAsia="仿宋_GB2312"/>
          <w:sz w:val="32"/>
          <w:szCs w:val="22"/>
          <w:lang w:bidi="ar"/>
        </w:rPr>
        <w:t>WIFI；</w:t>
      </w:r>
    </w:p>
    <w:p>
      <w:pPr>
        <w:spacing w:line="590" w:lineRule="exact"/>
        <w:ind w:firstLine="640" w:firstLineChars="200"/>
        <w:rPr>
          <w:rFonts w:ascii="仿宋_GB2312" w:eastAsia="仿宋_GB2312"/>
          <w:sz w:val="32"/>
          <w:szCs w:val="22"/>
          <w:lang w:bidi="ar"/>
        </w:rPr>
      </w:pPr>
      <w:r>
        <w:rPr>
          <w:rFonts w:ascii="仿宋_GB2312" w:eastAsia="仿宋_GB2312"/>
          <w:sz w:val="32"/>
          <w:szCs w:val="22"/>
          <w:lang w:bidi="ar"/>
        </w:rPr>
        <w:t>4G/5G</w:t>
      </w:r>
      <w:r>
        <w:rPr>
          <w:rFonts w:hint="eastAsia" w:ascii="仿宋_GB2312" w:eastAsia="仿宋_GB2312"/>
          <w:sz w:val="32"/>
          <w:szCs w:val="22"/>
          <w:lang w:bidi="ar"/>
        </w:rPr>
        <w:t>。</w:t>
      </w:r>
    </w:p>
    <w:p>
      <w:pPr>
        <w:spacing w:line="590" w:lineRule="exact"/>
        <w:ind w:firstLine="640" w:firstLineChars="200"/>
        <w:outlineLvl w:val="4"/>
        <w:rPr>
          <w:rFonts w:ascii="仿宋_GB2312" w:eastAsia="仿宋_GB2312"/>
          <w:sz w:val="32"/>
          <w:szCs w:val="22"/>
          <w:lang w:bidi="ar"/>
        </w:rPr>
      </w:pPr>
      <w:r>
        <w:rPr>
          <w:rFonts w:hint="eastAsia" w:ascii="仿宋_GB2312" w:eastAsia="仿宋_GB2312"/>
          <w:sz w:val="32"/>
          <w:szCs w:val="22"/>
          <w:lang w:bidi="ar"/>
        </w:rPr>
        <w:t>c.充电平台与充电设备通信规约</w:t>
      </w:r>
    </w:p>
    <w:p>
      <w:pPr>
        <w:spacing w:line="590" w:lineRule="exact"/>
        <w:ind w:firstLine="640" w:firstLineChars="200"/>
        <w:rPr>
          <w:rFonts w:ascii="仿宋_GB2312" w:eastAsia="仿宋_GB2312"/>
          <w:sz w:val="32"/>
          <w:szCs w:val="22"/>
          <w:lang w:bidi="ar"/>
        </w:rPr>
      </w:pPr>
      <w:r>
        <w:rPr>
          <w:rFonts w:hint="eastAsia" w:ascii="仿宋_GB2312" w:eastAsia="仿宋_GB2312"/>
          <w:sz w:val="32"/>
          <w:szCs w:val="22"/>
          <w:lang w:bidi="ar"/>
        </w:rPr>
        <w:t>1）通信接口</w:t>
      </w:r>
    </w:p>
    <w:p>
      <w:pPr>
        <w:spacing w:line="590" w:lineRule="exact"/>
        <w:ind w:firstLine="640" w:firstLineChars="200"/>
        <w:rPr>
          <w:rFonts w:ascii="仿宋_GB2312" w:eastAsia="仿宋_GB2312"/>
          <w:sz w:val="32"/>
          <w:szCs w:val="22"/>
          <w:lang w:bidi="ar"/>
        </w:rPr>
      </w:pPr>
      <w:r>
        <w:rPr>
          <w:rFonts w:hint="eastAsia" w:ascii="仿宋_GB2312" w:eastAsia="仿宋_GB2312"/>
          <w:sz w:val="32"/>
          <w:szCs w:val="22"/>
          <w:lang w:bidi="ar"/>
        </w:rPr>
        <w:t>充电平台与充电设备之间通信采用TCP/IP协议，网络层采用IPv6协议，传输层采用TCP协议。</w:t>
      </w:r>
    </w:p>
    <w:p>
      <w:pPr>
        <w:spacing w:line="590" w:lineRule="exact"/>
        <w:ind w:firstLine="640" w:firstLineChars="200"/>
        <w:rPr>
          <w:rFonts w:ascii="仿宋_GB2312" w:eastAsia="仿宋_GB2312"/>
          <w:sz w:val="32"/>
          <w:szCs w:val="22"/>
          <w:lang w:bidi="ar"/>
        </w:rPr>
      </w:pPr>
      <w:r>
        <w:rPr>
          <w:rFonts w:hint="eastAsia" w:ascii="仿宋_GB2312" w:eastAsia="仿宋_GB2312"/>
          <w:sz w:val="32"/>
          <w:szCs w:val="22"/>
          <w:lang w:bidi="ar"/>
        </w:rPr>
        <w:t>2)端口号</w:t>
      </w:r>
    </w:p>
    <w:p>
      <w:pPr>
        <w:spacing w:line="590" w:lineRule="exact"/>
        <w:ind w:firstLine="640" w:firstLineChars="200"/>
        <w:rPr>
          <w:rFonts w:ascii="仿宋_GB2312" w:eastAsia="仿宋_GB2312"/>
          <w:sz w:val="32"/>
          <w:szCs w:val="22"/>
          <w:lang w:bidi="ar"/>
        </w:rPr>
      </w:pPr>
      <w:r>
        <w:rPr>
          <w:rFonts w:hint="eastAsia" w:ascii="仿宋_GB2312" w:eastAsia="仿宋_GB2312"/>
          <w:sz w:val="32"/>
          <w:szCs w:val="22"/>
          <w:lang w:bidi="ar"/>
        </w:rPr>
        <w:t>端口号宜采用2407。</w:t>
      </w:r>
    </w:p>
    <w:p>
      <w:pPr>
        <w:spacing w:line="590" w:lineRule="exact"/>
        <w:ind w:firstLine="640" w:firstLineChars="200"/>
        <w:rPr>
          <w:rFonts w:ascii="仿宋_GB2312" w:eastAsia="仿宋_GB2312"/>
          <w:sz w:val="32"/>
          <w:szCs w:val="22"/>
          <w:lang w:bidi="ar"/>
        </w:rPr>
      </w:pPr>
      <w:r>
        <w:rPr>
          <w:rFonts w:hint="eastAsia" w:ascii="仿宋_GB2312" w:eastAsia="仿宋_GB2312"/>
          <w:sz w:val="32"/>
          <w:szCs w:val="22"/>
          <w:lang w:bidi="ar"/>
        </w:rPr>
        <w:t>3）</w:t>
      </w:r>
      <w:r>
        <w:rPr>
          <w:rFonts w:ascii="仿宋_GB2312" w:eastAsia="仿宋_GB2312"/>
          <w:sz w:val="32"/>
          <w:szCs w:val="22"/>
          <w:lang w:bidi="ar"/>
        </w:rPr>
        <w:t>通信连接的建立与关闭</w:t>
      </w:r>
    </w:p>
    <w:p>
      <w:pPr>
        <w:spacing w:line="590" w:lineRule="exact"/>
        <w:ind w:firstLine="640" w:firstLineChars="200"/>
        <w:rPr>
          <w:rFonts w:ascii="仿宋_GB2312" w:eastAsia="仿宋_GB2312"/>
          <w:sz w:val="32"/>
          <w:szCs w:val="22"/>
          <w:lang w:bidi="ar"/>
        </w:rPr>
      </w:pPr>
      <w:r>
        <w:rPr>
          <w:rFonts w:hint="eastAsia" w:ascii="仿宋_GB2312" w:eastAsia="仿宋_GB2312"/>
          <w:sz w:val="32"/>
          <w:szCs w:val="22"/>
          <w:lang w:bidi="ar"/>
        </w:rPr>
        <w:t>充电</w:t>
      </w:r>
      <w:r>
        <w:rPr>
          <w:rFonts w:ascii="仿宋_GB2312" w:eastAsia="仿宋_GB2312"/>
          <w:sz w:val="32"/>
          <w:szCs w:val="22"/>
          <w:lang w:bidi="ar"/>
        </w:rPr>
        <w:t>平台与充电</w:t>
      </w:r>
      <w:r>
        <w:rPr>
          <w:rFonts w:hint="eastAsia" w:ascii="仿宋_GB2312" w:eastAsia="仿宋_GB2312"/>
          <w:sz w:val="32"/>
          <w:szCs w:val="22"/>
          <w:lang w:bidi="ar"/>
        </w:rPr>
        <w:t>设备</w:t>
      </w:r>
      <w:r>
        <w:rPr>
          <w:rFonts w:ascii="仿宋_GB2312" w:eastAsia="仿宋_GB2312"/>
          <w:sz w:val="32"/>
          <w:szCs w:val="22"/>
          <w:lang w:bidi="ar"/>
        </w:rPr>
        <w:t>通信应采用网络传输层的可靠传输协议TCP，</w:t>
      </w:r>
      <w:r>
        <w:rPr>
          <w:rFonts w:hint="eastAsia" w:ascii="仿宋_GB2312" w:eastAsia="仿宋_GB2312"/>
          <w:sz w:val="32"/>
          <w:szCs w:val="22"/>
          <w:lang w:bidi="ar"/>
        </w:rPr>
        <w:t>充电</w:t>
      </w:r>
      <w:r>
        <w:rPr>
          <w:rFonts w:ascii="仿宋_GB2312" w:eastAsia="仿宋_GB2312"/>
          <w:sz w:val="32"/>
          <w:szCs w:val="22"/>
          <w:lang w:bidi="ar"/>
        </w:rPr>
        <w:t>平台为TCP服务器端，充电</w:t>
      </w:r>
      <w:r>
        <w:rPr>
          <w:rFonts w:hint="eastAsia" w:ascii="仿宋_GB2312" w:eastAsia="仿宋_GB2312"/>
          <w:sz w:val="32"/>
          <w:szCs w:val="22"/>
          <w:lang w:bidi="ar"/>
        </w:rPr>
        <w:t>设备</w:t>
      </w:r>
      <w:r>
        <w:rPr>
          <w:rFonts w:ascii="仿宋_GB2312" w:eastAsia="仿宋_GB2312"/>
          <w:sz w:val="32"/>
          <w:szCs w:val="22"/>
          <w:lang w:bidi="ar"/>
        </w:rPr>
        <w:t>为TCP客户端， 充电</w:t>
      </w:r>
      <w:r>
        <w:rPr>
          <w:rFonts w:hint="eastAsia" w:ascii="仿宋_GB2312" w:eastAsia="仿宋_GB2312"/>
          <w:sz w:val="32"/>
          <w:szCs w:val="22"/>
          <w:lang w:bidi="ar"/>
        </w:rPr>
        <w:t>设备</w:t>
      </w:r>
      <w:r>
        <w:rPr>
          <w:rFonts w:ascii="仿宋_GB2312" w:eastAsia="仿宋_GB2312"/>
          <w:sz w:val="32"/>
          <w:szCs w:val="22"/>
          <w:lang w:bidi="ar"/>
        </w:rPr>
        <w:t>主动进行TCP连接，</w:t>
      </w:r>
      <w:r>
        <w:rPr>
          <w:rFonts w:hint="eastAsia" w:ascii="仿宋_GB2312" w:eastAsia="仿宋_GB2312"/>
          <w:sz w:val="32"/>
          <w:szCs w:val="22"/>
          <w:lang w:bidi="ar"/>
        </w:rPr>
        <w:t>充电</w:t>
      </w:r>
      <w:r>
        <w:rPr>
          <w:rFonts w:ascii="仿宋_GB2312" w:eastAsia="仿宋_GB2312"/>
          <w:sz w:val="32"/>
          <w:szCs w:val="22"/>
          <w:lang w:bidi="ar"/>
        </w:rPr>
        <w:t>平台被动响应TCP连接。</w:t>
      </w:r>
    </w:p>
    <w:p>
      <w:pPr>
        <w:spacing w:line="590" w:lineRule="exact"/>
        <w:ind w:firstLine="640" w:firstLineChars="200"/>
        <w:rPr>
          <w:rFonts w:ascii="仿宋_GB2312" w:eastAsia="仿宋_GB2312"/>
          <w:sz w:val="32"/>
          <w:szCs w:val="22"/>
          <w:lang w:bidi="ar"/>
        </w:rPr>
      </w:pPr>
      <w:r>
        <w:rPr>
          <w:rFonts w:hint="eastAsia" w:ascii="仿宋_GB2312" w:eastAsia="仿宋_GB2312"/>
          <w:sz w:val="32"/>
          <w:szCs w:val="22"/>
          <w:lang w:bidi="ar"/>
        </w:rPr>
        <w:t>4）</w:t>
      </w:r>
      <w:r>
        <w:rPr>
          <w:rFonts w:ascii="仿宋_GB2312" w:eastAsia="仿宋_GB2312"/>
          <w:sz w:val="32"/>
          <w:szCs w:val="22"/>
          <w:lang w:bidi="ar"/>
        </w:rPr>
        <w:t>通信协议结构</w:t>
      </w:r>
    </w:p>
    <w:p>
      <w:pPr>
        <w:spacing w:line="590" w:lineRule="exact"/>
        <w:ind w:firstLine="640" w:firstLineChars="200"/>
        <w:rPr>
          <w:rFonts w:ascii="仿宋_GB2312" w:eastAsia="仿宋_GB2312"/>
          <w:sz w:val="32"/>
          <w:szCs w:val="22"/>
          <w:lang w:bidi="ar"/>
        </w:rPr>
      </w:pPr>
      <w:r>
        <w:rPr>
          <w:rFonts w:ascii="仿宋_GB2312" w:eastAsia="仿宋_GB2312"/>
          <w:sz w:val="32"/>
          <w:szCs w:val="22"/>
          <w:lang w:bidi="ar"/>
        </w:rPr>
        <w:t>本标准的通信协议结构应符合</w:t>
      </w:r>
      <w:r>
        <w:rPr>
          <w:rFonts w:hint="eastAsia" w:ascii="仿宋_GB2312" w:eastAsia="仿宋_GB2312"/>
          <w:sz w:val="32"/>
          <w:szCs w:val="22"/>
          <w:lang w:bidi="ar"/>
        </w:rPr>
        <w:t>表15</w:t>
      </w:r>
      <w:r>
        <w:rPr>
          <w:rFonts w:ascii="仿宋_GB2312" w:eastAsia="仿宋_GB2312"/>
          <w:sz w:val="32"/>
          <w:szCs w:val="22"/>
          <w:lang w:bidi="ar"/>
        </w:rPr>
        <w:t>的要求。</w:t>
      </w:r>
    </w:p>
    <w:p>
      <w:pPr>
        <w:spacing w:line="590" w:lineRule="exact"/>
        <w:ind w:firstLine="200"/>
        <w:jc w:val="center"/>
        <w:rPr>
          <w:rFonts w:ascii="仿宋_GB2312" w:hAnsi="黑体" w:eastAsia="仿宋_GB2312"/>
          <w:sz w:val="32"/>
          <w:szCs w:val="22"/>
        </w:rPr>
      </w:pPr>
      <w:r>
        <w:rPr>
          <w:rFonts w:hint="eastAsia" w:ascii="仿宋_GB2312" w:hAnsi="黑体" w:eastAsia="仿宋_GB2312"/>
          <w:sz w:val="32"/>
          <w:szCs w:val="22"/>
        </w:rPr>
        <w:t>表15</w:t>
      </w:r>
      <w:r>
        <w:rPr>
          <w:rFonts w:ascii="仿宋_GB2312" w:hAnsi="黑体" w:eastAsia="仿宋_GB2312"/>
          <w:sz w:val="32"/>
          <w:szCs w:val="22"/>
        </w:rPr>
        <w:t xml:space="preserve"> 通信协议结构</w:t>
      </w:r>
    </w:p>
    <w:tbl>
      <w:tblPr>
        <w:tblStyle w:val="51"/>
        <w:tblW w:w="64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1"/>
        <w:gridCol w:w="1650"/>
        <w:gridCol w:w="2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311" w:type="dxa"/>
            <w:shd w:val="clear" w:color="auto" w:fill="auto"/>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应用功能</w:t>
            </w:r>
          </w:p>
        </w:tc>
        <w:tc>
          <w:tcPr>
            <w:tcW w:w="1650" w:type="dxa"/>
            <w:shd w:val="clear" w:color="auto" w:fill="auto"/>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初始化</w:t>
            </w:r>
          </w:p>
        </w:tc>
        <w:tc>
          <w:tcPr>
            <w:tcW w:w="2486" w:type="dxa"/>
            <w:shd w:val="clear" w:color="auto" w:fill="auto"/>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用户进程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961" w:type="dxa"/>
            <w:gridSpan w:val="2"/>
            <w:shd w:val="clear" w:color="auto" w:fill="auto"/>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ASDU（应用服务数据单元）</w:t>
            </w:r>
          </w:p>
        </w:tc>
        <w:tc>
          <w:tcPr>
            <w:tcW w:w="2486" w:type="dxa"/>
            <w:vMerge w:val="restart"/>
            <w:shd w:val="clear" w:color="auto" w:fill="auto"/>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应用层</w:t>
            </w:r>
          </w:p>
          <w:p>
            <w:pPr>
              <w:spacing w:line="300" w:lineRule="exact"/>
              <w:jc w:val="center"/>
              <w:rPr>
                <w:rFonts w:ascii="仿宋_GB2312" w:eastAsia="仿宋_GB2312"/>
                <w:color w:val="000000"/>
                <w:szCs w:val="21"/>
              </w:rPr>
            </w:pPr>
            <w:r>
              <w:rPr>
                <w:rFonts w:hint="eastAsia" w:ascii="仿宋_GB2312" w:eastAsia="仿宋_GB2312"/>
                <w:color w:val="000000"/>
                <w:szCs w:val="21"/>
              </w:rPr>
              <w:t>（第7层）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961" w:type="dxa"/>
            <w:gridSpan w:val="2"/>
            <w:shd w:val="clear" w:color="auto" w:fill="auto"/>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APCI(应用规约控制信息)</w:t>
            </w:r>
          </w:p>
        </w:tc>
        <w:tc>
          <w:tcPr>
            <w:tcW w:w="2486" w:type="dxa"/>
            <w:vMerge w:val="continue"/>
            <w:shd w:val="clear" w:color="auto" w:fill="auto"/>
            <w:vAlign w:val="center"/>
          </w:tcPr>
          <w:p>
            <w:pPr>
              <w:spacing w:line="300" w:lineRule="exact"/>
              <w:jc w:val="center"/>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961" w:type="dxa"/>
            <w:gridSpan w:val="2"/>
            <w:shd w:val="clear" w:color="auto" w:fill="auto"/>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TCP</w:t>
            </w:r>
          </w:p>
        </w:tc>
        <w:tc>
          <w:tcPr>
            <w:tcW w:w="2486" w:type="dxa"/>
            <w:shd w:val="clear" w:color="auto" w:fill="auto"/>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传输层（第4层）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961" w:type="dxa"/>
            <w:gridSpan w:val="2"/>
            <w:shd w:val="clear" w:color="auto" w:fill="auto"/>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IPv6</w:t>
            </w:r>
          </w:p>
        </w:tc>
        <w:tc>
          <w:tcPr>
            <w:tcW w:w="2486" w:type="dxa"/>
            <w:shd w:val="clear" w:color="auto" w:fill="auto"/>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网络层（第3层）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961" w:type="dxa"/>
            <w:gridSpan w:val="2"/>
            <w:shd w:val="clear" w:color="auto" w:fill="auto"/>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以太网协议</w:t>
            </w:r>
          </w:p>
        </w:tc>
        <w:tc>
          <w:tcPr>
            <w:tcW w:w="2486" w:type="dxa"/>
            <w:shd w:val="clear" w:color="auto" w:fill="auto"/>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链路层（第2层）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961" w:type="dxa"/>
            <w:gridSpan w:val="2"/>
            <w:shd w:val="clear" w:color="auto" w:fill="auto"/>
            <w:vAlign w:val="center"/>
          </w:tcPr>
          <w:p>
            <w:pPr>
              <w:spacing w:line="300" w:lineRule="exact"/>
              <w:jc w:val="center"/>
              <w:rPr>
                <w:rFonts w:ascii="仿宋_GB2312" w:eastAsia="仿宋_GB2312"/>
                <w:color w:val="000000"/>
                <w:szCs w:val="21"/>
              </w:rPr>
            </w:pPr>
            <w:r>
              <w:rPr>
                <w:rFonts w:ascii="仿宋_GB2312" w:eastAsia="仿宋_GB2312"/>
                <w:color w:val="000000"/>
                <w:szCs w:val="21"/>
              </w:rPr>
              <w:t>光纤、WIFI、</w:t>
            </w:r>
            <w:r>
              <w:rPr>
                <w:rFonts w:hint="eastAsia" w:ascii="仿宋_GB2312" w:eastAsia="仿宋_GB2312"/>
                <w:color w:val="000000"/>
                <w:szCs w:val="21"/>
              </w:rPr>
              <w:t>4G、5G</w:t>
            </w:r>
          </w:p>
        </w:tc>
        <w:tc>
          <w:tcPr>
            <w:tcW w:w="2486" w:type="dxa"/>
            <w:shd w:val="clear" w:color="auto" w:fill="auto"/>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物理层（第1层）</w:t>
            </w:r>
          </w:p>
        </w:tc>
      </w:tr>
    </w:tbl>
    <w:p>
      <w:pPr>
        <w:spacing w:line="590" w:lineRule="exact"/>
        <w:ind w:firstLine="640" w:firstLineChars="200"/>
        <w:rPr>
          <w:rFonts w:ascii="仿宋_GB2312" w:eastAsia="仿宋_GB2312"/>
          <w:sz w:val="32"/>
          <w:szCs w:val="22"/>
          <w:lang w:bidi="ar"/>
        </w:rPr>
      </w:pPr>
      <w:r>
        <w:rPr>
          <w:rFonts w:hint="eastAsia" w:ascii="仿宋_GB2312" w:eastAsia="仿宋_GB2312"/>
          <w:sz w:val="32"/>
          <w:szCs w:val="22"/>
          <w:lang w:bidi="ar"/>
        </w:rPr>
        <w:t>5）应用层数据</w:t>
      </w:r>
      <w:r>
        <w:rPr>
          <w:rFonts w:ascii="仿宋_GB2312" w:eastAsia="仿宋_GB2312"/>
          <w:sz w:val="32"/>
          <w:szCs w:val="22"/>
          <w:lang w:bidi="ar"/>
        </w:rPr>
        <w:t>结构</w:t>
      </w:r>
    </w:p>
    <w:p>
      <w:pPr>
        <w:spacing w:line="520" w:lineRule="exact"/>
        <w:ind w:firstLine="640" w:firstLineChars="200"/>
        <w:rPr>
          <w:rFonts w:ascii="仿宋_GB2312" w:eastAsia="仿宋_GB2312"/>
          <w:sz w:val="32"/>
          <w:szCs w:val="22"/>
          <w:lang w:bidi="ar"/>
        </w:rPr>
      </w:pPr>
      <w:r>
        <w:rPr>
          <w:rFonts w:hint="eastAsia" w:ascii="仿宋_GB2312" w:eastAsia="仿宋_GB2312"/>
          <w:sz w:val="32"/>
          <w:szCs w:val="22"/>
          <w:lang w:bidi="ar"/>
        </w:rPr>
        <w:t>应用规约数据单元（APDU）为一个传输单元，由应用规约控</w:t>
      </w:r>
      <w:r>
        <w:rPr>
          <w:rFonts w:hint="eastAsia" w:ascii="仿宋_GB2312" w:eastAsia="仿宋_GB2312"/>
          <w:sz w:val="32"/>
          <w:szCs w:val="22"/>
          <w:lang w:bidi="ar"/>
        </w:rPr>
        <w:cr/>
      </w:r>
      <w:r>
        <w:rPr>
          <w:rFonts w:hint="eastAsia" w:ascii="仿宋_GB2312" w:eastAsia="仿宋_GB2312"/>
          <w:sz w:val="32"/>
          <w:szCs w:val="22"/>
          <w:lang w:bidi="ar"/>
        </w:rPr>
        <w:t>制信息（APCI）和应用服务数据单元（ASDU）两部分组成。</w:t>
      </w:r>
    </w:p>
    <w:p>
      <w:pPr>
        <w:spacing w:line="520" w:lineRule="exact"/>
        <w:ind w:firstLine="640" w:firstLineChars="200"/>
        <w:rPr>
          <w:rFonts w:ascii="仿宋_GB2312" w:eastAsia="仿宋_GB2312"/>
          <w:sz w:val="32"/>
          <w:szCs w:val="22"/>
          <w:lang w:bidi="ar"/>
        </w:rPr>
      </w:pPr>
      <w:r>
        <w:rPr>
          <w:rFonts w:hint="eastAsia" w:ascii="仿宋_GB2312" w:eastAsia="仿宋_GB2312"/>
          <w:sz w:val="32"/>
          <w:szCs w:val="22"/>
          <w:lang w:bidi="ar"/>
        </w:rPr>
        <w:t>应用规约控制信息（APCI)：每个APCI包括下列的定界元素：一个启动字符，APDU的长度，以及控制域，可以传送一个完整的APDU（或者，出于控制目的，仅仅是传送APCI域）。</w:t>
      </w:r>
    </w:p>
    <w:p>
      <w:pPr>
        <w:spacing w:line="52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12.充电平台中充换电站及充电设施编码要求</w:t>
      </w:r>
    </w:p>
    <w:p>
      <w:pPr>
        <w:spacing w:line="520" w:lineRule="exact"/>
        <w:ind w:firstLine="640" w:firstLineChars="200"/>
        <w:jc w:val="left"/>
        <w:outlineLvl w:val="3"/>
        <w:rPr>
          <w:rFonts w:ascii="仿宋_GB2312" w:eastAsia="仿宋_GB2312"/>
          <w:sz w:val="32"/>
          <w:szCs w:val="22"/>
          <w:lang w:bidi="ar"/>
        </w:rPr>
      </w:pPr>
      <w:bookmarkStart w:id="171" w:name="_Toc399402845"/>
      <w:r>
        <w:rPr>
          <w:rFonts w:hint="eastAsia" w:ascii="仿宋_GB2312" w:eastAsia="仿宋_GB2312"/>
          <w:sz w:val="32"/>
          <w:szCs w:val="22"/>
          <w:lang w:bidi="ar"/>
        </w:rPr>
        <w:t>（1）充换电站编码要求</w:t>
      </w:r>
    </w:p>
    <w:p>
      <w:pPr>
        <w:spacing w:line="520" w:lineRule="exact"/>
        <w:ind w:firstLine="640" w:firstLineChars="200"/>
        <w:jc w:val="left"/>
        <w:outlineLvl w:val="3"/>
        <w:rPr>
          <w:rFonts w:ascii="仿宋_GB2312" w:eastAsia="仿宋_GB2312"/>
          <w:sz w:val="32"/>
          <w:szCs w:val="22"/>
          <w:lang w:bidi="ar"/>
        </w:rPr>
      </w:pPr>
      <w:r>
        <w:rPr>
          <w:rFonts w:hint="eastAsia" w:ascii="仿宋_GB2312" w:eastAsia="仿宋_GB2312"/>
          <w:sz w:val="32"/>
          <w:szCs w:val="22"/>
          <w:lang w:bidi="ar"/>
        </w:rPr>
        <w:t>a.编码方法</w:t>
      </w:r>
      <w:bookmarkEnd w:id="171"/>
    </w:p>
    <w:p>
      <w:pPr>
        <w:spacing w:line="52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根据</w:t>
      </w:r>
      <w:bookmarkStart w:id="172" w:name="OLE_LINK5"/>
      <w:bookmarkStart w:id="173" w:name="OLE_LINK3"/>
      <w:bookmarkStart w:id="174" w:name="OLE_LINK4"/>
      <w:r>
        <w:rPr>
          <w:rFonts w:hint="eastAsia" w:ascii="仿宋_GB2312" w:eastAsia="仿宋_GB2312"/>
          <w:sz w:val="32"/>
          <w:szCs w:val="22"/>
          <w:lang w:bidi="ar"/>
        </w:rPr>
        <w:t>分类编码通用原则</w:t>
      </w:r>
      <w:bookmarkEnd w:id="172"/>
      <w:bookmarkEnd w:id="173"/>
      <w:bookmarkEnd w:id="174"/>
      <w:r>
        <w:rPr>
          <w:rFonts w:hint="eastAsia" w:ascii="仿宋_GB2312" w:eastAsia="仿宋_GB2312"/>
          <w:sz w:val="32"/>
          <w:szCs w:val="22"/>
          <w:lang w:bidi="ar"/>
        </w:rPr>
        <w:t>，将充电站依次按大类、区域、一级子类、二级子类划分，其结构如下：</w:t>
      </w:r>
    </w:p>
    <w:p>
      <w:pPr>
        <w:spacing w:line="480" w:lineRule="exact"/>
        <w:jc w:val="center"/>
        <w:rPr>
          <w:rFonts w:ascii="仿宋_GB2312" w:eastAsia="仿宋_GB2312"/>
          <w:sz w:val="32"/>
          <w:szCs w:val="22"/>
          <w:lang w:bidi="ar"/>
        </w:rPr>
      </w:pPr>
      <w:r>
        <w:rPr>
          <w:rFonts w:hint="eastAsia" w:ascii="仿宋_GB2312" w:eastAsia="仿宋_GB2312"/>
          <w:sz w:val="32"/>
          <w:szCs w:val="22"/>
          <w:lang w:bidi="ar"/>
        </w:rPr>
        <w:t xml:space="preserve">XX   XXXX   XX   XX </w:t>
      </w:r>
    </w:p>
    <w:p>
      <w:pPr>
        <w:spacing w:line="480" w:lineRule="exact"/>
        <w:jc w:val="center"/>
        <w:rPr>
          <w:rFonts w:ascii="仿宋_GB2312" w:eastAsia="仿宋_GB2312"/>
          <w:sz w:val="32"/>
          <w:szCs w:val="22"/>
          <w:lang w:bidi="ar"/>
        </w:rPr>
      </w:pPr>
      <w:r>
        <w:rPr>
          <w:rFonts w:hint="eastAsia" w:ascii="仿宋_GB2312" w:eastAsia="仿宋_GB2312"/>
          <w:sz w:val="32"/>
          <w:szCs w:val="22"/>
          <w:lang w:bidi="ar"/>
        </w:rPr>
        <w:t>｜    ｜    ｜   ｜</w:t>
      </w:r>
    </w:p>
    <w:p>
      <w:pPr>
        <w:spacing w:line="480" w:lineRule="exact"/>
        <w:jc w:val="center"/>
        <w:rPr>
          <w:rFonts w:ascii="仿宋_GB2312" w:eastAsia="仿宋_GB2312"/>
          <w:sz w:val="32"/>
          <w:szCs w:val="22"/>
          <w:lang w:bidi="ar"/>
        </w:rPr>
      </w:pPr>
      <w:r>
        <w:rPr>
          <w:rFonts w:hint="eastAsia" w:ascii="仿宋_GB2312" w:eastAsia="仿宋_GB2312"/>
          <w:sz w:val="32"/>
          <w:szCs w:val="22"/>
          <w:lang w:bidi="ar"/>
        </w:rPr>
        <w:t>大    区    一   二</w:t>
      </w:r>
    </w:p>
    <w:p>
      <w:pPr>
        <w:spacing w:line="480" w:lineRule="exact"/>
        <w:jc w:val="center"/>
        <w:rPr>
          <w:rFonts w:ascii="仿宋_GB2312" w:eastAsia="仿宋_GB2312"/>
          <w:sz w:val="32"/>
          <w:szCs w:val="22"/>
          <w:lang w:bidi="ar"/>
        </w:rPr>
      </w:pPr>
      <w:r>
        <w:rPr>
          <w:rFonts w:hint="eastAsia" w:ascii="仿宋_GB2312" w:eastAsia="仿宋_GB2312"/>
          <w:sz w:val="32"/>
          <w:szCs w:val="22"/>
          <w:lang w:bidi="ar"/>
        </w:rPr>
        <w:t>类    域    级   级</w:t>
      </w:r>
    </w:p>
    <w:p>
      <w:pPr>
        <w:spacing w:line="480" w:lineRule="exact"/>
        <w:jc w:val="center"/>
        <w:rPr>
          <w:rFonts w:ascii="仿宋_GB2312" w:eastAsia="仿宋_GB2312"/>
          <w:sz w:val="32"/>
          <w:szCs w:val="22"/>
          <w:lang w:bidi="ar"/>
        </w:rPr>
      </w:pPr>
      <w:r>
        <w:rPr>
          <w:rFonts w:hint="eastAsia" w:ascii="仿宋_GB2312" w:eastAsia="仿宋_GB2312"/>
          <w:sz w:val="32"/>
          <w:szCs w:val="22"/>
          <w:lang w:bidi="ar"/>
        </w:rPr>
        <w:t>代    代    子   子</w:t>
      </w:r>
    </w:p>
    <w:p>
      <w:pPr>
        <w:spacing w:line="480" w:lineRule="exact"/>
        <w:jc w:val="center"/>
        <w:rPr>
          <w:rFonts w:ascii="仿宋_GB2312" w:eastAsia="仿宋_GB2312"/>
          <w:sz w:val="32"/>
          <w:szCs w:val="22"/>
          <w:lang w:bidi="ar"/>
        </w:rPr>
      </w:pPr>
      <w:r>
        <w:rPr>
          <w:rFonts w:hint="eastAsia" w:ascii="仿宋_GB2312" w:eastAsia="仿宋_GB2312"/>
          <w:sz w:val="32"/>
          <w:szCs w:val="22"/>
          <w:lang w:bidi="ar"/>
        </w:rPr>
        <w:t>码    码    类   类</w:t>
      </w:r>
    </w:p>
    <w:p>
      <w:pPr>
        <w:spacing w:line="480" w:lineRule="exact"/>
        <w:jc w:val="center"/>
        <w:rPr>
          <w:rFonts w:ascii="仿宋_GB2312" w:eastAsia="仿宋_GB2312"/>
          <w:sz w:val="32"/>
          <w:szCs w:val="22"/>
          <w:lang w:bidi="ar"/>
        </w:rPr>
      </w:pPr>
      <w:r>
        <w:rPr>
          <w:rFonts w:hint="eastAsia" w:ascii="仿宋_GB2312" w:eastAsia="仿宋_GB2312"/>
          <w:sz w:val="32"/>
          <w:szCs w:val="22"/>
          <w:lang w:bidi="ar"/>
        </w:rPr>
        <w:t xml:space="preserve">            代   代</w:t>
      </w:r>
    </w:p>
    <w:p>
      <w:pPr>
        <w:spacing w:line="480" w:lineRule="exact"/>
        <w:jc w:val="center"/>
        <w:rPr>
          <w:rFonts w:ascii="仿宋_GB2312" w:eastAsia="仿宋_GB2312"/>
          <w:sz w:val="32"/>
          <w:szCs w:val="22"/>
          <w:lang w:bidi="ar"/>
        </w:rPr>
      </w:pPr>
      <w:r>
        <w:rPr>
          <w:rFonts w:hint="eastAsia" w:ascii="仿宋_GB2312" w:eastAsia="仿宋_GB2312"/>
          <w:sz w:val="32"/>
          <w:szCs w:val="22"/>
          <w:lang w:bidi="ar"/>
        </w:rPr>
        <w:t xml:space="preserve">            码   码</w:t>
      </w:r>
    </w:p>
    <w:p>
      <w:pPr>
        <w:spacing w:line="590" w:lineRule="exact"/>
        <w:ind w:firstLine="640" w:firstLineChars="200"/>
        <w:jc w:val="left"/>
        <w:outlineLvl w:val="3"/>
        <w:rPr>
          <w:rFonts w:ascii="仿宋_GB2312" w:eastAsia="仿宋_GB2312"/>
          <w:sz w:val="32"/>
          <w:szCs w:val="22"/>
          <w:lang w:bidi="ar"/>
        </w:rPr>
      </w:pPr>
    </w:p>
    <w:p>
      <w:pPr>
        <w:spacing w:line="590" w:lineRule="exact"/>
        <w:ind w:firstLine="640" w:firstLineChars="200"/>
        <w:jc w:val="left"/>
        <w:outlineLvl w:val="3"/>
        <w:rPr>
          <w:rFonts w:ascii="仿宋_GB2312" w:eastAsia="仿宋_GB2312"/>
          <w:sz w:val="32"/>
          <w:szCs w:val="22"/>
          <w:lang w:bidi="ar"/>
        </w:rPr>
      </w:pPr>
      <w:r>
        <w:rPr>
          <w:rFonts w:hint="eastAsia" w:ascii="仿宋_GB2312" w:eastAsia="仿宋_GB2312"/>
          <w:sz w:val="32"/>
          <w:szCs w:val="22"/>
          <w:lang w:bidi="ar"/>
        </w:rPr>
        <w:t>b.大类编码</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大类码为两位大写字母，其中：充电站代码为其英文C</w:t>
      </w:r>
      <w:r>
        <w:rPr>
          <w:rFonts w:ascii="仿宋_GB2312" w:eastAsia="仿宋_GB2312"/>
          <w:sz w:val="32"/>
          <w:szCs w:val="22"/>
          <w:lang w:bidi="ar"/>
        </w:rPr>
        <w:t xml:space="preserve">harging </w:t>
      </w:r>
      <w:r>
        <w:rPr>
          <w:rFonts w:hint="eastAsia" w:ascii="仿宋_GB2312" w:eastAsia="仿宋_GB2312"/>
          <w:sz w:val="32"/>
          <w:szCs w:val="22"/>
          <w:lang w:bidi="ar"/>
        </w:rPr>
        <w:t>S</w:t>
      </w:r>
      <w:r>
        <w:rPr>
          <w:rFonts w:ascii="仿宋_GB2312" w:eastAsia="仿宋_GB2312"/>
          <w:sz w:val="32"/>
          <w:szCs w:val="22"/>
          <w:lang w:bidi="ar"/>
        </w:rPr>
        <w:t>tation</w:t>
      </w:r>
      <w:r>
        <w:rPr>
          <w:rFonts w:hint="eastAsia" w:ascii="仿宋_GB2312" w:eastAsia="仿宋_GB2312"/>
          <w:sz w:val="32"/>
          <w:szCs w:val="22"/>
          <w:lang w:bidi="ar"/>
        </w:rPr>
        <w:t>的缩写CS，换电站代码为其英文B</w:t>
      </w:r>
      <w:r>
        <w:rPr>
          <w:rFonts w:ascii="仿宋_GB2312" w:eastAsia="仿宋_GB2312"/>
          <w:sz w:val="32"/>
          <w:szCs w:val="22"/>
          <w:lang w:bidi="ar"/>
        </w:rPr>
        <w:t xml:space="preserve">attery </w:t>
      </w:r>
      <w:r>
        <w:rPr>
          <w:rFonts w:hint="eastAsia" w:ascii="仿宋_GB2312" w:eastAsia="仿宋_GB2312"/>
          <w:sz w:val="32"/>
          <w:szCs w:val="22"/>
          <w:lang w:bidi="ar"/>
        </w:rPr>
        <w:t xml:space="preserve"> S</w:t>
      </w:r>
      <w:r>
        <w:rPr>
          <w:rFonts w:ascii="仿宋_GB2312" w:eastAsia="仿宋_GB2312"/>
          <w:sz w:val="32"/>
          <w:szCs w:val="22"/>
          <w:lang w:bidi="ar"/>
        </w:rPr>
        <w:t>wap</w:t>
      </w:r>
      <w:r>
        <w:rPr>
          <w:rFonts w:hint="eastAsia" w:ascii="仿宋_GB2312" w:eastAsia="仿宋_GB2312"/>
          <w:sz w:val="32"/>
          <w:szCs w:val="22"/>
          <w:lang w:bidi="ar"/>
        </w:rPr>
        <w:t xml:space="preserve"> Station的缩写BS。</w:t>
      </w:r>
    </w:p>
    <w:p>
      <w:pPr>
        <w:spacing w:line="590" w:lineRule="exact"/>
        <w:ind w:firstLine="640" w:firstLineChars="200"/>
        <w:jc w:val="left"/>
        <w:outlineLvl w:val="3"/>
        <w:rPr>
          <w:rFonts w:ascii="仿宋_GB2312" w:eastAsia="仿宋_GB2312"/>
          <w:sz w:val="32"/>
          <w:szCs w:val="22"/>
          <w:lang w:bidi="ar"/>
        </w:rPr>
      </w:pPr>
      <w:r>
        <w:rPr>
          <w:rFonts w:hint="eastAsia" w:ascii="仿宋_GB2312" w:eastAsia="仿宋_GB2312"/>
          <w:sz w:val="32"/>
          <w:szCs w:val="22"/>
          <w:lang w:bidi="ar"/>
        </w:rPr>
        <w:t>c.区域编码</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区域编码设定为四位大写字母，前两位按雄安新区行政区划分，其对应关系如下：</w:t>
      </w:r>
    </w:p>
    <w:p>
      <w:pPr>
        <w:spacing w:line="590" w:lineRule="exact"/>
        <w:jc w:val="center"/>
        <w:rPr>
          <w:rFonts w:ascii="仿宋_GB2312" w:hAnsi="黑体" w:eastAsia="仿宋_GB2312"/>
          <w:sz w:val="32"/>
          <w:szCs w:val="22"/>
        </w:rPr>
      </w:pPr>
      <w:r>
        <w:rPr>
          <w:rFonts w:hint="eastAsia" w:ascii="仿宋_GB2312" w:hAnsi="黑体" w:eastAsia="仿宋_GB2312"/>
          <w:sz w:val="32"/>
          <w:szCs w:val="22"/>
        </w:rPr>
        <w:t>表16区域编码描述表</w:t>
      </w:r>
    </w:p>
    <w:tbl>
      <w:tblPr>
        <w:tblStyle w:val="51"/>
        <w:tblW w:w="3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Pr>
          <w:p>
            <w:pPr>
              <w:spacing w:line="300" w:lineRule="exact"/>
              <w:jc w:val="center"/>
              <w:rPr>
                <w:rFonts w:ascii="黑体" w:hAnsi="黑体" w:eastAsia="黑体"/>
                <w:color w:val="000000"/>
                <w:szCs w:val="21"/>
              </w:rPr>
            </w:pPr>
            <w:r>
              <w:rPr>
                <w:rFonts w:hint="eastAsia" w:ascii="黑体" w:hAnsi="黑体" w:eastAsia="黑体"/>
                <w:color w:val="000000"/>
                <w:szCs w:val="21"/>
              </w:rPr>
              <w:t>行政区</w:t>
            </w:r>
          </w:p>
        </w:tc>
        <w:tc>
          <w:tcPr>
            <w:tcW w:w="1561" w:type="dxa"/>
          </w:tcPr>
          <w:p>
            <w:pPr>
              <w:spacing w:line="300" w:lineRule="exact"/>
              <w:jc w:val="center"/>
              <w:rPr>
                <w:rFonts w:ascii="黑体" w:hAnsi="黑体" w:eastAsia="黑体"/>
                <w:color w:val="000000"/>
                <w:szCs w:val="21"/>
              </w:rPr>
            </w:pPr>
            <w:r>
              <w:rPr>
                <w:rFonts w:hint="eastAsia" w:ascii="黑体" w:hAnsi="黑体" w:eastAsia="黑体"/>
                <w:color w:val="000000"/>
                <w:szCs w:val="21"/>
              </w:rPr>
              <w:t>区域编码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容东片区</w:t>
            </w:r>
          </w:p>
        </w:tc>
        <w:tc>
          <w:tcPr>
            <w:tcW w:w="1561"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RDXX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容西片区</w:t>
            </w:r>
          </w:p>
        </w:tc>
        <w:tc>
          <w:tcPr>
            <w:tcW w:w="1561"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RXXX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雄东片区</w:t>
            </w:r>
          </w:p>
        </w:tc>
        <w:tc>
          <w:tcPr>
            <w:tcW w:w="1561"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XDXX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高铁片区</w:t>
            </w:r>
          </w:p>
        </w:tc>
        <w:tc>
          <w:tcPr>
            <w:tcW w:w="1561"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GTXX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昝岗片区</w:t>
            </w:r>
          </w:p>
        </w:tc>
        <w:tc>
          <w:tcPr>
            <w:tcW w:w="1561"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ZGXX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寨里片区</w:t>
            </w:r>
          </w:p>
        </w:tc>
        <w:tc>
          <w:tcPr>
            <w:tcW w:w="1561"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ZLXX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起步区</w:t>
            </w:r>
          </w:p>
        </w:tc>
        <w:tc>
          <w:tcPr>
            <w:tcW w:w="1561"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QBXX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启动区</w:t>
            </w:r>
          </w:p>
        </w:tc>
        <w:tc>
          <w:tcPr>
            <w:tcW w:w="1561"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QDXX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安新县城</w:t>
            </w:r>
          </w:p>
        </w:tc>
        <w:tc>
          <w:tcPr>
            <w:tcW w:w="1561"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AXXX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容城县城</w:t>
            </w:r>
          </w:p>
        </w:tc>
        <w:tc>
          <w:tcPr>
            <w:tcW w:w="1561"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RCXX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雄县县城</w:t>
            </w:r>
          </w:p>
        </w:tc>
        <w:tc>
          <w:tcPr>
            <w:tcW w:w="1561"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特色小镇</w:t>
            </w:r>
          </w:p>
        </w:tc>
        <w:tc>
          <w:tcPr>
            <w:tcW w:w="1561"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TSXX</w:t>
            </w:r>
          </w:p>
        </w:tc>
      </w:tr>
    </w:tbl>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后两位以街道为单位进行细致划分，以容东片区乐安街为例，该区域内的充换电站区域编码为RDLA。</w:t>
      </w:r>
    </w:p>
    <w:p>
      <w:pPr>
        <w:spacing w:line="590" w:lineRule="exact"/>
        <w:ind w:firstLine="640" w:firstLineChars="200"/>
        <w:jc w:val="left"/>
        <w:outlineLvl w:val="3"/>
        <w:rPr>
          <w:rFonts w:ascii="仿宋_GB2312" w:eastAsia="仿宋_GB2312"/>
          <w:sz w:val="32"/>
          <w:szCs w:val="22"/>
          <w:lang w:bidi="ar"/>
        </w:rPr>
      </w:pPr>
      <w:r>
        <w:rPr>
          <w:rFonts w:hint="eastAsia" w:ascii="仿宋_GB2312" w:eastAsia="仿宋_GB2312"/>
          <w:sz w:val="32"/>
          <w:szCs w:val="22"/>
          <w:lang w:bidi="ar"/>
        </w:rPr>
        <w:t>d.一级子类编码</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1）充电站一级子类代码为两位数字码，按其等级划分，具体描述见表17。</w:t>
      </w:r>
    </w:p>
    <w:p>
      <w:pPr>
        <w:spacing w:line="590" w:lineRule="exact"/>
        <w:jc w:val="center"/>
        <w:rPr>
          <w:rFonts w:ascii="仿宋_GB2312" w:eastAsia="仿宋_GB2312"/>
          <w:sz w:val="32"/>
          <w:szCs w:val="22"/>
          <w:lang w:bidi="ar"/>
        </w:rPr>
      </w:pPr>
      <w:r>
        <w:rPr>
          <w:rFonts w:hint="eastAsia" w:ascii="仿宋_GB2312" w:eastAsia="仿宋_GB2312"/>
          <w:sz w:val="32"/>
          <w:szCs w:val="22"/>
          <w:lang w:bidi="ar"/>
        </w:rPr>
        <w:t>表17 充电站一级子类代码描述表</w:t>
      </w:r>
    </w:p>
    <w:tbl>
      <w:tblPr>
        <w:tblStyle w:val="51"/>
        <w:tblW w:w="3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1"/>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1" w:type="dxa"/>
          </w:tcPr>
          <w:p>
            <w:pPr>
              <w:spacing w:line="300" w:lineRule="exact"/>
              <w:jc w:val="center"/>
              <w:rPr>
                <w:rFonts w:ascii="黑体" w:hAnsi="黑体" w:eastAsia="黑体"/>
                <w:color w:val="000000"/>
                <w:szCs w:val="21"/>
              </w:rPr>
            </w:pPr>
            <w:r>
              <w:rPr>
                <w:rFonts w:hint="eastAsia" w:ascii="黑体" w:hAnsi="黑体" w:eastAsia="黑体"/>
                <w:color w:val="000000"/>
                <w:szCs w:val="21"/>
              </w:rPr>
              <w:t>充电站等级</w:t>
            </w:r>
          </w:p>
        </w:tc>
        <w:tc>
          <w:tcPr>
            <w:tcW w:w="1844" w:type="dxa"/>
          </w:tcPr>
          <w:p>
            <w:pPr>
              <w:spacing w:line="300" w:lineRule="exact"/>
              <w:jc w:val="center"/>
              <w:rPr>
                <w:rFonts w:ascii="黑体" w:hAnsi="黑体" w:eastAsia="黑体"/>
                <w:color w:val="000000"/>
                <w:szCs w:val="21"/>
              </w:rPr>
            </w:pPr>
            <w:r>
              <w:rPr>
                <w:rFonts w:hint="eastAsia" w:ascii="黑体" w:hAnsi="黑体" w:eastAsia="黑体"/>
                <w:color w:val="000000"/>
                <w:szCs w:val="21"/>
              </w:rPr>
              <w:t>一级子类代码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1"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一级充电站</w:t>
            </w:r>
          </w:p>
        </w:tc>
        <w:tc>
          <w:tcPr>
            <w:tcW w:w="1844"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1"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二级充电站</w:t>
            </w:r>
          </w:p>
        </w:tc>
        <w:tc>
          <w:tcPr>
            <w:tcW w:w="1844"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1"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三级充电站</w:t>
            </w:r>
          </w:p>
        </w:tc>
        <w:tc>
          <w:tcPr>
            <w:tcW w:w="1844"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1"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四级充电站</w:t>
            </w:r>
          </w:p>
        </w:tc>
        <w:tc>
          <w:tcPr>
            <w:tcW w:w="1844"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04</w:t>
            </w:r>
          </w:p>
        </w:tc>
      </w:tr>
    </w:tbl>
    <w:p>
      <w:pPr>
        <w:spacing w:line="590" w:lineRule="exact"/>
        <w:jc w:val="center"/>
        <w:rPr>
          <w:rFonts w:ascii="仿宋_GB2312" w:hAnsi="黑体" w:eastAsia="仿宋_GB2312"/>
          <w:sz w:val="32"/>
          <w:szCs w:val="22"/>
        </w:rPr>
      </w:pPr>
      <w:r>
        <w:rPr>
          <w:rFonts w:hint="eastAsia" w:ascii="仿宋_GB2312" w:hAnsi="黑体" w:eastAsia="仿宋_GB2312"/>
          <w:sz w:val="32"/>
          <w:szCs w:val="22"/>
        </w:rPr>
        <w:t>表18 充电站分级表</w:t>
      </w:r>
    </w:p>
    <w:tbl>
      <w:tblPr>
        <w:tblStyle w:val="51"/>
        <w:tblW w:w="74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7"/>
        <w:gridCol w:w="1857"/>
        <w:gridCol w:w="185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857" w:type="dxa"/>
            <w:vMerge w:val="restart"/>
            <w:vAlign w:val="center"/>
          </w:tcPr>
          <w:p>
            <w:pPr>
              <w:spacing w:line="300" w:lineRule="exact"/>
              <w:jc w:val="center"/>
              <w:rPr>
                <w:rFonts w:ascii="黑体" w:hAnsi="黑体" w:eastAsia="黑体"/>
                <w:color w:val="000000"/>
                <w:szCs w:val="21"/>
              </w:rPr>
            </w:pPr>
            <w:r>
              <w:rPr>
                <w:rFonts w:hint="eastAsia" w:ascii="黑体" w:hAnsi="黑体" w:eastAsia="黑体"/>
                <w:color w:val="000000"/>
                <w:szCs w:val="21"/>
              </w:rPr>
              <w:t>充电站等级</w:t>
            </w:r>
          </w:p>
        </w:tc>
        <w:tc>
          <w:tcPr>
            <w:tcW w:w="1857" w:type="dxa"/>
            <w:vMerge w:val="restart"/>
            <w:vAlign w:val="center"/>
          </w:tcPr>
          <w:p>
            <w:pPr>
              <w:spacing w:line="300" w:lineRule="exact"/>
              <w:jc w:val="center"/>
              <w:rPr>
                <w:rFonts w:ascii="黑体" w:hAnsi="黑体" w:eastAsia="黑体"/>
                <w:color w:val="000000"/>
                <w:szCs w:val="21"/>
              </w:rPr>
            </w:pPr>
            <w:r>
              <w:rPr>
                <w:rFonts w:hint="eastAsia" w:ascii="黑体" w:hAnsi="黑体" w:eastAsia="黑体"/>
                <w:color w:val="000000"/>
                <w:szCs w:val="21"/>
              </w:rPr>
              <w:t>单路配电容量</w:t>
            </w:r>
          </w:p>
          <w:p>
            <w:pPr>
              <w:spacing w:line="300" w:lineRule="exact"/>
              <w:jc w:val="center"/>
              <w:rPr>
                <w:rFonts w:ascii="黑体" w:hAnsi="黑体" w:eastAsia="黑体"/>
                <w:color w:val="000000"/>
                <w:szCs w:val="21"/>
              </w:rPr>
            </w:pPr>
            <w:r>
              <w:rPr>
                <w:rFonts w:hint="eastAsia" w:ascii="黑体" w:hAnsi="黑体" w:eastAsia="黑体"/>
                <w:color w:val="000000"/>
                <w:szCs w:val="21"/>
              </w:rPr>
              <w:t>/kVA</w:t>
            </w:r>
          </w:p>
        </w:tc>
        <w:tc>
          <w:tcPr>
            <w:tcW w:w="3715" w:type="dxa"/>
            <w:gridSpan w:val="2"/>
            <w:vAlign w:val="center"/>
          </w:tcPr>
          <w:p>
            <w:pPr>
              <w:spacing w:line="300" w:lineRule="exact"/>
              <w:jc w:val="center"/>
              <w:rPr>
                <w:rFonts w:ascii="黑体" w:hAnsi="黑体" w:eastAsia="黑体"/>
                <w:color w:val="000000"/>
                <w:szCs w:val="21"/>
              </w:rPr>
            </w:pPr>
            <w:r>
              <w:rPr>
                <w:rFonts w:hint="eastAsia" w:ascii="黑体" w:hAnsi="黑体" w:eastAsia="黑体"/>
                <w:color w:val="000000"/>
                <w:szCs w:val="21"/>
              </w:rPr>
              <w:t>日服务车辆数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857" w:type="dxa"/>
            <w:vMerge w:val="continue"/>
            <w:vAlign w:val="center"/>
          </w:tcPr>
          <w:p>
            <w:pPr>
              <w:jc w:val="center"/>
              <w:rPr>
                <w:szCs w:val="21"/>
              </w:rPr>
            </w:pPr>
          </w:p>
        </w:tc>
        <w:tc>
          <w:tcPr>
            <w:tcW w:w="1857" w:type="dxa"/>
            <w:vMerge w:val="continue"/>
            <w:vAlign w:val="center"/>
          </w:tcPr>
          <w:p>
            <w:pPr>
              <w:jc w:val="center"/>
              <w:rPr>
                <w:szCs w:val="21"/>
              </w:rPr>
            </w:pPr>
          </w:p>
        </w:tc>
        <w:tc>
          <w:tcPr>
            <w:tcW w:w="1857" w:type="dxa"/>
            <w:vAlign w:val="center"/>
          </w:tcPr>
          <w:p>
            <w:pPr>
              <w:spacing w:line="300" w:lineRule="exact"/>
              <w:jc w:val="center"/>
              <w:rPr>
                <w:rFonts w:ascii="黑体" w:hAnsi="黑体" w:eastAsia="黑体"/>
                <w:color w:val="000000"/>
                <w:szCs w:val="21"/>
              </w:rPr>
            </w:pPr>
            <w:r>
              <w:rPr>
                <w:rFonts w:hint="eastAsia" w:ascii="黑体" w:hAnsi="黑体" w:eastAsia="黑体"/>
                <w:color w:val="000000"/>
                <w:szCs w:val="21"/>
              </w:rPr>
              <w:t>大、中型商用车</w:t>
            </w:r>
          </w:p>
        </w:tc>
        <w:tc>
          <w:tcPr>
            <w:tcW w:w="1858" w:type="dxa"/>
            <w:vAlign w:val="center"/>
          </w:tcPr>
          <w:p>
            <w:pPr>
              <w:spacing w:line="300" w:lineRule="exact"/>
              <w:jc w:val="center"/>
              <w:rPr>
                <w:rFonts w:ascii="黑体" w:hAnsi="黑体" w:eastAsia="黑体"/>
                <w:color w:val="000000"/>
                <w:szCs w:val="21"/>
              </w:rPr>
            </w:pPr>
            <w:r>
              <w:rPr>
                <w:rFonts w:hint="eastAsia" w:ascii="黑体" w:hAnsi="黑体" w:eastAsia="黑体"/>
                <w:color w:val="000000"/>
                <w:szCs w:val="21"/>
              </w:rPr>
              <w:t>乘用车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一级</w:t>
            </w:r>
          </w:p>
        </w:tc>
        <w:tc>
          <w:tcPr>
            <w:tcW w:w="185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5000以上</w:t>
            </w:r>
          </w:p>
        </w:tc>
        <w:tc>
          <w:tcPr>
            <w:tcW w:w="185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200以上</w:t>
            </w:r>
          </w:p>
        </w:tc>
        <w:tc>
          <w:tcPr>
            <w:tcW w:w="1858"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500以上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二级</w:t>
            </w:r>
          </w:p>
        </w:tc>
        <w:tc>
          <w:tcPr>
            <w:tcW w:w="185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3000-5000</w:t>
            </w:r>
          </w:p>
        </w:tc>
        <w:tc>
          <w:tcPr>
            <w:tcW w:w="185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100-200</w:t>
            </w:r>
          </w:p>
        </w:tc>
        <w:tc>
          <w:tcPr>
            <w:tcW w:w="1858"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200-500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三级</w:t>
            </w:r>
          </w:p>
        </w:tc>
        <w:tc>
          <w:tcPr>
            <w:tcW w:w="185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1000-3000</w:t>
            </w:r>
          </w:p>
        </w:tc>
        <w:tc>
          <w:tcPr>
            <w:tcW w:w="185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40-100</w:t>
            </w:r>
          </w:p>
        </w:tc>
        <w:tc>
          <w:tcPr>
            <w:tcW w:w="1858"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100-200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四级</w:t>
            </w:r>
          </w:p>
        </w:tc>
        <w:tc>
          <w:tcPr>
            <w:tcW w:w="185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1000以下</w:t>
            </w:r>
          </w:p>
        </w:tc>
        <w:tc>
          <w:tcPr>
            <w:tcW w:w="185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40以下</w:t>
            </w:r>
          </w:p>
        </w:tc>
        <w:tc>
          <w:tcPr>
            <w:tcW w:w="1858"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100以下</w:t>
            </w:r>
          </w:p>
        </w:tc>
      </w:tr>
    </w:tbl>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2）换电站一级子类代码为两位数字码，按其等级划分，具体描述见表19。</w:t>
      </w:r>
    </w:p>
    <w:p>
      <w:pPr>
        <w:spacing w:line="590" w:lineRule="exact"/>
        <w:jc w:val="center"/>
        <w:rPr>
          <w:rFonts w:ascii="仿宋_GB2312" w:eastAsia="仿宋_GB2312"/>
          <w:sz w:val="32"/>
          <w:szCs w:val="22"/>
          <w:lang w:bidi="ar"/>
        </w:rPr>
      </w:pPr>
      <w:r>
        <w:rPr>
          <w:rFonts w:hint="eastAsia" w:ascii="仿宋_GB2312" w:eastAsia="仿宋_GB2312"/>
          <w:sz w:val="32"/>
          <w:szCs w:val="22"/>
          <w:lang w:bidi="ar"/>
        </w:rPr>
        <w:t>表19 换电站一级子类代码描述表</w:t>
      </w:r>
    </w:p>
    <w:tbl>
      <w:tblPr>
        <w:tblStyle w:val="51"/>
        <w:tblW w:w="3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1"/>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1" w:type="dxa"/>
          </w:tcPr>
          <w:p>
            <w:pPr>
              <w:spacing w:line="300" w:lineRule="exact"/>
              <w:jc w:val="center"/>
              <w:rPr>
                <w:rFonts w:ascii="黑体" w:hAnsi="黑体" w:eastAsia="黑体"/>
                <w:color w:val="000000"/>
                <w:szCs w:val="21"/>
              </w:rPr>
            </w:pPr>
            <w:r>
              <w:rPr>
                <w:rFonts w:hint="eastAsia" w:ascii="黑体" w:hAnsi="黑体" w:eastAsia="黑体"/>
                <w:color w:val="000000"/>
                <w:szCs w:val="21"/>
              </w:rPr>
              <w:t>换电站等级</w:t>
            </w:r>
          </w:p>
        </w:tc>
        <w:tc>
          <w:tcPr>
            <w:tcW w:w="1844" w:type="dxa"/>
          </w:tcPr>
          <w:p>
            <w:pPr>
              <w:spacing w:line="300" w:lineRule="exact"/>
              <w:jc w:val="center"/>
              <w:rPr>
                <w:rFonts w:ascii="黑体" w:hAnsi="黑体" w:eastAsia="黑体"/>
                <w:color w:val="000000"/>
                <w:szCs w:val="21"/>
              </w:rPr>
            </w:pPr>
            <w:r>
              <w:rPr>
                <w:rFonts w:hint="eastAsia" w:ascii="黑体" w:hAnsi="黑体" w:eastAsia="黑体"/>
                <w:color w:val="000000"/>
                <w:szCs w:val="21"/>
              </w:rPr>
              <w:t>一级子类代码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1"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一级换电站</w:t>
            </w:r>
          </w:p>
        </w:tc>
        <w:tc>
          <w:tcPr>
            <w:tcW w:w="1844"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1"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二级换电站</w:t>
            </w:r>
          </w:p>
        </w:tc>
        <w:tc>
          <w:tcPr>
            <w:tcW w:w="1844"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1"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三级换电站</w:t>
            </w:r>
          </w:p>
        </w:tc>
        <w:tc>
          <w:tcPr>
            <w:tcW w:w="1844"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1"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四级换电站</w:t>
            </w:r>
          </w:p>
        </w:tc>
        <w:tc>
          <w:tcPr>
            <w:tcW w:w="1844"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04</w:t>
            </w:r>
          </w:p>
        </w:tc>
      </w:tr>
    </w:tbl>
    <w:p>
      <w:pPr>
        <w:spacing w:line="590" w:lineRule="exact"/>
        <w:jc w:val="center"/>
        <w:rPr>
          <w:rFonts w:ascii="仿宋_GB2312" w:eastAsia="仿宋_GB2312"/>
          <w:sz w:val="32"/>
          <w:szCs w:val="22"/>
          <w:lang w:bidi="ar"/>
        </w:rPr>
      </w:pPr>
      <w:r>
        <w:rPr>
          <w:rFonts w:hint="eastAsia" w:ascii="仿宋_GB2312" w:eastAsia="仿宋_GB2312"/>
          <w:sz w:val="32"/>
          <w:szCs w:val="22"/>
          <w:lang w:bidi="ar"/>
        </w:rPr>
        <w:t>表20 换电站分级表</w:t>
      </w:r>
    </w:p>
    <w:tbl>
      <w:tblPr>
        <w:tblStyle w:val="51"/>
        <w:tblW w:w="74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7"/>
        <w:gridCol w:w="1857"/>
        <w:gridCol w:w="185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857" w:type="dxa"/>
            <w:vMerge w:val="restart"/>
            <w:vAlign w:val="center"/>
          </w:tcPr>
          <w:p>
            <w:pPr>
              <w:spacing w:line="300" w:lineRule="exact"/>
              <w:jc w:val="center"/>
              <w:rPr>
                <w:rFonts w:ascii="黑体" w:hAnsi="黑体" w:eastAsia="黑体"/>
                <w:color w:val="000000"/>
                <w:szCs w:val="21"/>
              </w:rPr>
            </w:pPr>
            <w:r>
              <w:rPr>
                <w:rFonts w:hint="eastAsia" w:ascii="黑体" w:hAnsi="黑体" w:eastAsia="黑体"/>
                <w:color w:val="000000"/>
                <w:szCs w:val="21"/>
              </w:rPr>
              <w:t>换电站等级</w:t>
            </w:r>
          </w:p>
        </w:tc>
        <w:tc>
          <w:tcPr>
            <w:tcW w:w="1857" w:type="dxa"/>
            <w:vMerge w:val="restart"/>
            <w:vAlign w:val="center"/>
          </w:tcPr>
          <w:p>
            <w:pPr>
              <w:spacing w:line="300" w:lineRule="exact"/>
              <w:jc w:val="center"/>
              <w:rPr>
                <w:rFonts w:ascii="黑体" w:hAnsi="黑体" w:eastAsia="黑体"/>
                <w:color w:val="000000"/>
                <w:szCs w:val="21"/>
              </w:rPr>
            </w:pPr>
            <w:r>
              <w:rPr>
                <w:rFonts w:hint="eastAsia" w:ascii="黑体" w:hAnsi="黑体" w:eastAsia="黑体"/>
                <w:color w:val="000000"/>
                <w:szCs w:val="21"/>
              </w:rPr>
              <w:t>电池容量/kWh</w:t>
            </w:r>
          </w:p>
        </w:tc>
        <w:tc>
          <w:tcPr>
            <w:tcW w:w="3715" w:type="dxa"/>
            <w:gridSpan w:val="2"/>
            <w:vAlign w:val="center"/>
          </w:tcPr>
          <w:p>
            <w:pPr>
              <w:spacing w:line="300" w:lineRule="exact"/>
              <w:jc w:val="center"/>
              <w:rPr>
                <w:rFonts w:ascii="黑体" w:hAnsi="黑体" w:eastAsia="黑体"/>
                <w:color w:val="000000"/>
                <w:szCs w:val="21"/>
              </w:rPr>
            </w:pPr>
            <w:r>
              <w:rPr>
                <w:rFonts w:hint="eastAsia" w:ascii="黑体" w:hAnsi="黑体" w:eastAsia="黑体"/>
                <w:color w:val="000000"/>
                <w:szCs w:val="21"/>
              </w:rPr>
              <w:t>日服务车辆数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857" w:type="dxa"/>
            <w:vMerge w:val="continue"/>
            <w:vAlign w:val="center"/>
          </w:tcPr>
          <w:p>
            <w:pPr>
              <w:spacing w:line="300" w:lineRule="exact"/>
              <w:jc w:val="center"/>
              <w:rPr>
                <w:rFonts w:ascii="黑体" w:hAnsi="黑体" w:eastAsia="黑体"/>
                <w:color w:val="000000"/>
                <w:szCs w:val="21"/>
              </w:rPr>
            </w:pPr>
          </w:p>
        </w:tc>
        <w:tc>
          <w:tcPr>
            <w:tcW w:w="1857" w:type="dxa"/>
            <w:vMerge w:val="continue"/>
            <w:vAlign w:val="center"/>
          </w:tcPr>
          <w:p>
            <w:pPr>
              <w:spacing w:line="300" w:lineRule="exact"/>
              <w:jc w:val="center"/>
              <w:rPr>
                <w:rFonts w:ascii="黑体" w:hAnsi="黑体" w:eastAsia="黑体"/>
                <w:color w:val="000000"/>
                <w:szCs w:val="21"/>
              </w:rPr>
            </w:pPr>
          </w:p>
        </w:tc>
        <w:tc>
          <w:tcPr>
            <w:tcW w:w="1857" w:type="dxa"/>
            <w:vAlign w:val="center"/>
          </w:tcPr>
          <w:p>
            <w:pPr>
              <w:spacing w:line="300" w:lineRule="exact"/>
              <w:jc w:val="center"/>
              <w:rPr>
                <w:rFonts w:ascii="黑体" w:hAnsi="黑体" w:eastAsia="黑体"/>
                <w:color w:val="000000"/>
                <w:szCs w:val="21"/>
              </w:rPr>
            </w:pPr>
            <w:r>
              <w:rPr>
                <w:rFonts w:hint="eastAsia" w:ascii="黑体" w:hAnsi="黑体" w:eastAsia="黑体"/>
                <w:color w:val="000000"/>
                <w:szCs w:val="21"/>
              </w:rPr>
              <w:t>大、中型商用车</w:t>
            </w:r>
          </w:p>
        </w:tc>
        <w:tc>
          <w:tcPr>
            <w:tcW w:w="1858" w:type="dxa"/>
            <w:vAlign w:val="center"/>
          </w:tcPr>
          <w:p>
            <w:pPr>
              <w:spacing w:line="300" w:lineRule="exact"/>
              <w:jc w:val="center"/>
              <w:rPr>
                <w:rFonts w:ascii="黑体" w:hAnsi="黑体" w:eastAsia="黑体"/>
                <w:color w:val="000000"/>
                <w:szCs w:val="21"/>
              </w:rPr>
            </w:pPr>
            <w:r>
              <w:rPr>
                <w:rFonts w:hint="eastAsia" w:ascii="黑体" w:hAnsi="黑体" w:eastAsia="黑体"/>
                <w:color w:val="000000"/>
                <w:szCs w:val="21"/>
              </w:rPr>
              <w:t>乘用车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一级</w:t>
            </w:r>
          </w:p>
        </w:tc>
        <w:tc>
          <w:tcPr>
            <w:tcW w:w="185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6800以上</w:t>
            </w:r>
          </w:p>
        </w:tc>
        <w:tc>
          <w:tcPr>
            <w:tcW w:w="185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200以上</w:t>
            </w:r>
          </w:p>
        </w:tc>
        <w:tc>
          <w:tcPr>
            <w:tcW w:w="1858"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500以上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二级</w:t>
            </w:r>
          </w:p>
        </w:tc>
        <w:tc>
          <w:tcPr>
            <w:tcW w:w="185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3400-6800</w:t>
            </w:r>
          </w:p>
        </w:tc>
        <w:tc>
          <w:tcPr>
            <w:tcW w:w="185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100-200</w:t>
            </w:r>
          </w:p>
        </w:tc>
        <w:tc>
          <w:tcPr>
            <w:tcW w:w="1858"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200-500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三级</w:t>
            </w:r>
          </w:p>
        </w:tc>
        <w:tc>
          <w:tcPr>
            <w:tcW w:w="185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1700-3400</w:t>
            </w:r>
          </w:p>
        </w:tc>
        <w:tc>
          <w:tcPr>
            <w:tcW w:w="185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40-100</w:t>
            </w:r>
          </w:p>
        </w:tc>
        <w:tc>
          <w:tcPr>
            <w:tcW w:w="1858"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100-200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四级</w:t>
            </w:r>
          </w:p>
        </w:tc>
        <w:tc>
          <w:tcPr>
            <w:tcW w:w="185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1700以下</w:t>
            </w:r>
          </w:p>
        </w:tc>
        <w:tc>
          <w:tcPr>
            <w:tcW w:w="1857"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40以下</w:t>
            </w:r>
          </w:p>
        </w:tc>
        <w:tc>
          <w:tcPr>
            <w:tcW w:w="1858"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100以下</w:t>
            </w:r>
          </w:p>
        </w:tc>
      </w:tr>
    </w:tbl>
    <w:p>
      <w:pPr>
        <w:spacing w:line="590" w:lineRule="exact"/>
        <w:ind w:firstLine="640" w:firstLineChars="200"/>
        <w:jc w:val="left"/>
        <w:outlineLvl w:val="3"/>
        <w:rPr>
          <w:rFonts w:ascii="仿宋_GB2312" w:eastAsia="仿宋_GB2312"/>
          <w:sz w:val="32"/>
          <w:szCs w:val="22"/>
          <w:lang w:bidi="ar"/>
        </w:rPr>
      </w:pPr>
      <w:r>
        <w:rPr>
          <w:rFonts w:hint="eastAsia" w:ascii="仿宋_GB2312" w:eastAsia="仿宋_GB2312"/>
          <w:sz w:val="32"/>
          <w:szCs w:val="22"/>
          <w:lang w:bidi="ar"/>
        </w:rPr>
        <w:t>e.二级子类代码</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1）充电站二级子类代码为两位数字码，按其职能类型划分（后续如职能类型增加，数字码依次增加），具体描述见表21。</w:t>
      </w:r>
    </w:p>
    <w:p>
      <w:pPr>
        <w:spacing w:line="590" w:lineRule="exact"/>
        <w:ind w:firstLine="640" w:firstLineChars="200"/>
        <w:jc w:val="center"/>
        <w:rPr>
          <w:rFonts w:ascii="仿宋_GB2312" w:eastAsia="仿宋_GB2312"/>
          <w:sz w:val="32"/>
          <w:szCs w:val="22"/>
          <w:lang w:bidi="ar"/>
        </w:rPr>
      </w:pPr>
      <w:r>
        <w:rPr>
          <w:rFonts w:hint="eastAsia" w:ascii="仿宋_GB2312" w:eastAsia="仿宋_GB2312"/>
          <w:sz w:val="32"/>
          <w:szCs w:val="22"/>
          <w:lang w:bidi="ar"/>
        </w:rPr>
        <w:t>表21 充电站二级子类代码描述表</w:t>
      </w:r>
    </w:p>
    <w:tbl>
      <w:tblPr>
        <w:tblStyle w:val="51"/>
        <w:tblW w:w="42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8"/>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Pr>
          <w:p>
            <w:pPr>
              <w:spacing w:line="300" w:lineRule="exact"/>
              <w:jc w:val="center"/>
              <w:rPr>
                <w:rFonts w:ascii="黑体" w:hAnsi="黑体" w:eastAsia="黑体"/>
                <w:color w:val="000000"/>
                <w:szCs w:val="21"/>
              </w:rPr>
            </w:pPr>
            <w:r>
              <w:rPr>
                <w:rFonts w:hint="eastAsia" w:ascii="黑体" w:hAnsi="黑体" w:eastAsia="黑体"/>
                <w:color w:val="000000"/>
                <w:szCs w:val="21"/>
              </w:rPr>
              <w:t>充电站类型</w:t>
            </w:r>
          </w:p>
        </w:tc>
        <w:tc>
          <w:tcPr>
            <w:tcW w:w="1844" w:type="dxa"/>
          </w:tcPr>
          <w:p>
            <w:pPr>
              <w:spacing w:line="300" w:lineRule="exact"/>
              <w:jc w:val="center"/>
              <w:rPr>
                <w:rFonts w:ascii="黑体" w:hAnsi="黑体" w:eastAsia="黑体"/>
                <w:color w:val="000000"/>
                <w:szCs w:val="21"/>
              </w:rPr>
            </w:pPr>
            <w:r>
              <w:rPr>
                <w:rFonts w:hint="eastAsia" w:ascii="黑体" w:hAnsi="黑体" w:eastAsia="黑体"/>
                <w:color w:val="000000"/>
                <w:szCs w:val="21"/>
              </w:rPr>
              <w:t>二级子类代码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出租车</w:t>
            </w:r>
            <w:r>
              <w:rPr>
                <w:rFonts w:hint="eastAsia" w:ascii="仿宋_GB2312" w:eastAsia="仿宋_GB2312"/>
                <w:color w:val="000000"/>
                <w:szCs w:val="21"/>
              </w:rPr>
              <w:t>专用充电站</w:t>
            </w:r>
          </w:p>
        </w:tc>
        <w:tc>
          <w:tcPr>
            <w:tcW w:w="1844"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物流</w:t>
            </w:r>
            <w:r>
              <w:rPr>
                <w:rFonts w:hint="eastAsia" w:ascii="仿宋_GB2312" w:eastAsia="仿宋_GB2312"/>
                <w:color w:val="000000"/>
                <w:szCs w:val="21"/>
              </w:rPr>
              <w:t>专用充电站</w:t>
            </w:r>
          </w:p>
        </w:tc>
        <w:tc>
          <w:tcPr>
            <w:tcW w:w="1844"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环卫</w:t>
            </w:r>
            <w:r>
              <w:rPr>
                <w:rFonts w:hint="eastAsia" w:ascii="仿宋_GB2312" w:eastAsia="仿宋_GB2312"/>
                <w:color w:val="000000"/>
                <w:szCs w:val="21"/>
              </w:rPr>
              <w:t>专用充电站</w:t>
            </w:r>
          </w:p>
        </w:tc>
        <w:tc>
          <w:tcPr>
            <w:tcW w:w="1844"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公交</w:t>
            </w:r>
            <w:r>
              <w:rPr>
                <w:rFonts w:hint="eastAsia" w:ascii="仿宋_GB2312" w:eastAsia="仿宋_GB2312"/>
                <w:color w:val="000000"/>
                <w:szCs w:val="21"/>
              </w:rPr>
              <w:t>专用充电站</w:t>
            </w:r>
          </w:p>
        </w:tc>
        <w:tc>
          <w:tcPr>
            <w:tcW w:w="1844"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换乘中心</w:t>
            </w:r>
            <w:r>
              <w:rPr>
                <w:rFonts w:hint="eastAsia" w:ascii="仿宋_GB2312" w:eastAsia="仿宋_GB2312"/>
                <w:color w:val="000000"/>
                <w:szCs w:val="21"/>
              </w:rPr>
              <w:t>专用充电站</w:t>
            </w:r>
          </w:p>
        </w:tc>
        <w:tc>
          <w:tcPr>
            <w:tcW w:w="1844"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码头</w:t>
            </w:r>
            <w:r>
              <w:rPr>
                <w:rFonts w:hint="eastAsia" w:ascii="仿宋_GB2312" w:eastAsia="仿宋_GB2312"/>
                <w:color w:val="000000"/>
                <w:szCs w:val="21"/>
              </w:rPr>
              <w:t>专用充电站</w:t>
            </w:r>
          </w:p>
        </w:tc>
        <w:tc>
          <w:tcPr>
            <w:tcW w:w="1844"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公共</w:t>
            </w:r>
            <w:r>
              <w:rPr>
                <w:rFonts w:hint="eastAsia" w:ascii="仿宋_GB2312" w:eastAsia="仿宋_GB2312"/>
                <w:color w:val="000000"/>
                <w:szCs w:val="21"/>
              </w:rPr>
              <w:t>充电站</w:t>
            </w:r>
          </w:p>
        </w:tc>
        <w:tc>
          <w:tcPr>
            <w:tcW w:w="1844"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居民用充电站</w:t>
            </w:r>
          </w:p>
        </w:tc>
        <w:tc>
          <w:tcPr>
            <w:tcW w:w="1844"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08</w:t>
            </w:r>
          </w:p>
        </w:tc>
      </w:tr>
    </w:tbl>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2）换电站二级子类代码为两位数字码，按其职能类型划分（后续如职能类型增加，数字码依次增加），具体描述见表22。</w:t>
      </w:r>
    </w:p>
    <w:p>
      <w:pPr>
        <w:spacing w:line="590" w:lineRule="exact"/>
        <w:ind w:firstLine="640" w:firstLineChars="200"/>
        <w:jc w:val="center"/>
        <w:rPr>
          <w:rFonts w:ascii="仿宋_GB2312" w:eastAsia="仿宋_GB2312"/>
          <w:sz w:val="32"/>
          <w:szCs w:val="22"/>
          <w:lang w:bidi="ar"/>
        </w:rPr>
      </w:pPr>
      <w:r>
        <w:rPr>
          <w:rFonts w:hint="eastAsia" w:ascii="仿宋_GB2312" w:eastAsia="仿宋_GB2312"/>
          <w:sz w:val="32"/>
          <w:szCs w:val="22"/>
          <w:lang w:bidi="ar"/>
        </w:rPr>
        <w:t>表22 换电站二级子类代码描述表</w:t>
      </w:r>
    </w:p>
    <w:tbl>
      <w:tblPr>
        <w:tblStyle w:val="51"/>
        <w:tblW w:w="42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8"/>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Pr>
          <w:p>
            <w:pPr>
              <w:spacing w:line="300" w:lineRule="exact"/>
              <w:jc w:val="center"/>
              <w:rPr>
                <w:rFonts w:ascii="黑体" w:hAnsi="黑体" w:eastAsia="黑体"/>
                <w:color w:val="000000"/>
                <w:szCs w:val="21"/>
              </w:rPr>
            </w:pPr>
            <w:r>
              <w:rPr>
                <w:rFonts w:hint="eastAsia" w:ascii="黑体" w:hAnsi="黑体" w:eastAsia="黑体"/>
                <w:color w:val="000000"/>
                <w:szCs w:val="21"/>
              </w:rPr>
              <w:t>换电站类型</w:t>
            </w:r>
          </w:p>
        </w:tc>
        <w:tc>
          <w:tcPr>
            <w:tcW w:w="1844" w:type="dxa"/>
          </w:tcPr>
          <w:p>
            <w:pPr>
              <w:spacing w:line="300" w:lineRule="exact"/>
              <w:jc w:val="center"/>
              <w:rPr>
                <w:rFonts w:ascii="黑体" w:hAnsi="黑体" w:eastAsia="黑体"/>
                <w:color w:val="000000"/>
                <w:szCs w:val="21"/>
              </w:rPr>
            </w:pPr>
            <w:r>
              <w:rPr>
                <w:rFonts w:hint="eastAsia" w:ascii="黑体" w:hAnsi="黑体" w:eastAsia="黑体"/>
                <w:color w:val="000000"/>
                <w:szCs w:val="21"/>
              </w:rPr>
              <w:t>二级子类代码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vAlign w:val="center"/>
          </w:tcPr>
          <w:p>
            <w:pPr>
              <w:spacing w:line="300" w:lineRule="exact"/>
              <w:jc w:val="center"/>
              <w:rPr>
                <w:rFonts w:ascii="仿宋_GB2312" w:eastAsia="仿宋_GB2312"/>
                <w:color w:val="000000"/>
                <w:szCs w:val="21"/>
              </w:rPr>
            </w:pPr>
            <w:r>
              <w:rPr>
                <w:rFonts w:ascii="仿宋_GB2312" w:eastAsia="仿宋_GB2312"/>
                <w:color w:val="000000"/>
                <w:szCs w:val="21"/>
              </w:rPr>
              <w:t>出租车</w:t>
            </w:r>
            <w:r>
              <w:rPr>
                <w:rFonts w:hint="eastAsia" w:ascii="仿宋_GB2312" w:eastAsia="仿宋_GB2312"/>
                <w:color w:val="000000"/>
                <w:szCs w:val="21"/>
              </w:rPr>
              <w:t>专用换电站</w:t>
            </w:r>
          </w:p>
        </w:tc>
        <w:tc>
          <w:tcPr>
            <w:tcW w:w="1844"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电动重卡专用换电站</w:t>
            </w:r>
          </w:p>
        </w:tc>
        <w:tc>
          <w:tcPr>
            <w:tcW w:w="1844"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02</w:t>
            </w:r>
          </w:p>
        </w:tc>
      </w:tr>
    </w:tbl>
    <w:p>
      <w:pPr>
        <w:spacing w:line="590" w:lineRule="exact"/>
        <w:ind w:firstLine="640" w:firstLineChars="200"/>
        <w:jc w:val="left"/>
        <w:outlineLvl w:val="3"/>
        <w:rPr>
          <w:rFonts w:ascii="仿宋_GB2312" w:eastAsia="仿宋_GB2312"/>
          <w:sz w:val="32"/>
          <w:szCs w:val="22"/>
          <w:lang w:bidi="ar"/>
        </w:rPr>
      </w:pPr>
      <w:r>
        <w:rPr>
          <w:rFonts w:hint="eastAsia" w:ascii="仿宋_GB2312" w:eastAsia="仿宋_GB2312"/>
          <w:sz w:val="32"/>
          <w:szCs w:val="22"/>
          <w:lang w:bidi="ar"/>
        </w:rPr>
        <w:t>（2）充电设施编码要求</w:t>
      </w:r>
    </w:p>
    <w:p>
      <w:pPr>
        <w:spacing w:line="460" w:lineRule="exact"/>
        <w:ind w:firstLine="640" w:firstLineChars="200"/>
        <w:jc w:val="left"/>
        <w:outlineLvl w:val="3"/>
        <w:rPr>
          <w:rFonts w:ascii="仿宋_GB2312" w:eastAsia="仿宋_GB2312"/>
          <w:sz w:val="32"/>
          <w:szCs w:val="22"/>
          <w:lang w:bidi="ar"/>
        </w:rPr>
      </w:pPr>
      <w:r>
        <w:rPr>
          <w:rFonts w:hint="eastAsia" w:ascii="仿宋_GB2312" w:eastAsia="仿宋_GB2312"/>
          <w:sz w:val="32"/>
          <w:szCs w:val="22"/>
          <w:lang w:bidi="ar"/>
        </w:rPr>
        <w:t>a.编码方法</w:t>
      </w:r>
    </w:p>
    <w:p>
      <w:pPr>
        <w:spacing w:line="46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在充电站编码方法基础上，将充电设施增加三级、四级、五级和六级子类划分，其结构如下：</w:t>
      </w:r>
    </w:p>
    <w:p>
      <w:pPr>
        <w:spacing w:line="460" w:lineRule="exact"/>
        <w:jc w:val="center"/>
        <w:rPr>
          <w:rFonts w:ascii="仿宋_GB2312" w:eastAsia="仿宋_GB2312"/>
          <w:sz w:val="32"/>
          <w:szCs w:val="22"/>
          <w:lang w:bidi="ar"/>
        </w:rPr>
      </w:pPr>
      <w:r>
        <w:rPr>
          <w:rFonts w:hint="eastAsia" w:ascii="仿宋_GB2312" w:eastAsia="仿宋_GB2312"/>
          <w:sz w:val="32"/>
          <w:szCs w:val="22"/>
          <w:lang w:bidi="ar"/>
        </w:rPr>
        <w:t xml:space="preserve"> XX   XXXX   XX   XX   XX   XX   XX   XXX</w:t>
      </w:r>
    </w:p>
    <w:p>
      <w:pPr>
        <w:spacing w:line="460" w:lineRule="exact"/>
        <w:ind w:firstLine="1440" w:firstLineChars="450"/>
        <w:rPr>
          <w:rFonts w:ascii="仿宋_GB2312" w:eastAsia="仿宋_GB2312"/>
          <w:sz w:val="32"/>
          <w:szCs w:val="22"/>
          <w:lang w:bidi="ar"/>
        </w:rPr>
      </w:pPr>
      <w:r>
        <w:rPr>
          <w:rFonts w:hint="eastAsia" w:ascii="仿宋_GB2312" w:eastAsia="仿宋_GB2312"/>
          <w:sz w:val="32"/>
          <w:szCs w:val="22"/>
          <w:lang w:bidi="ar"/>
        </w:rPr>
        <w:t>｜    ｜    ｜   ｜   ｜   ｜   ｜   ｜</w:t>
      </w:r>
    </w:p>
    <w:p>
      <w:pPr>
        <w:spacing w:line="460" w:lineRule="exact"/>
        <w:ind w:firstLine="1440" w:firstLineChars="450"/>
        <w:rPr>
          <w:rFonts w:ascii="仿宋_GB2312" w:eastAsia="仿宋_GB2312"/>
          <w:sz w:val="32"/>
          <w:szCs w:val="22"/>
          <w:lang w:bidi="ar"/>
        </w:rPr>
      </w:pPr>
      <w:r>
        <w:rPr>
          <w:rFonts w:hint="eastAsia" w:ascii="仿宋_GB2312" w:eastAsia="仿宋_GB2312"/>
          <w:sz w:val="32"/>
          <w:szCs w:val="22"/>
          <w:lang w:bidi="ar"/>
        </w:rPr>
        <w:t>大    区    一   二   三   四   五   六</w:t>
      </w:r>
    </w:p>
    <w:p>
      <w:pPr>
        <w:spacing w:line="460" w:lineRule="exact"/>
        <w:ind w:firstLine="1440" w:firstLineChars="450"/>
        <w:rPr>
          <w:rFonts w:ascii="仿宋_GB2312" w:eastAsia="仿宋_GB2312"/>
          <w:sz w:val="32"/>
          <w:szCs w:val="22"/>
          <w:lang w:bidi="ar"/>
        </w:rPr>
      </w:pPr>
      <w:r>
        <w:rPr>
          <w:rFonts w:hint="eastAsia" w:ascii="仿宋_GB2312" w:eastAsia="仿宋_GB2312"/>
          <w:sz w:val="32"/>
          <w:szCs w:val="22"/>
          <w:lang w:bidi="ar"/>
        </w:rPr>
        <w:t>类    域    级   级   级   级   级   级</w:t>
      </w:r>
    </w:p>
    <w:p>
      <w:pPr>
        <w:spacing w:line="460" w:lineRule="exact"/>
        <w:ind w:firstLine="1440" w:firstLineChars="450"/>
        <w:rPr>
          <w:rFonts w:ascii="仿宋_GB2312" w:eastAsia="仿宋_GB2312"/>
          <w:sz w:val="32"/>
          <w:szCs w:val="22"/>
          <w:lang w:bidi="ar"/>
        </w:rPr>
      </w:pPr>
      <w:r>
        <w:rPr>
          <w:rFonts w:hint="eastAsia" w:ascii="仿宋_GB2312" w:eastAsia="仿宋_GB2312"/>
          <w:sz w:val="32"/>
          <w:szCs w:val="22"/>
          <w:lang w:bidi="ar"/>
        </w:rPr>
        <w:t>代    代    子   子   子   子   子   子</w:t>
      </w:r>
    </w:p>
    <w:p>
      <w:pPr>
        <w:spacing w:line="460" w:lineRule="exact"/>
        <w:ind w:firstLine="1440" w:firstLineChars="450"/>
        <w:rPr>
          <w:rFonts w:ascii="仿宋_GB2312" w:eastAsia="仿宋_GB2312"/>
          <w:sz w:val="32"/>
          <w:szCs w:val="22"/>
          <w:lang w:bidi="ar"/>
        </w:rPr>
      </w:pPr>
      <w:r>
        <w:rPr>
          <w:rFonts w:hint="eastAsia" w:ascii="仿宋_GB2312" w:eastAsia="仿宋_GB2312"/>
          <w:sz w:val="32"/>
          <w:szCs w:val="22"/>
          <w:lang w:bidi="ar"/>
        </w:rPr>
        <w:t>码    码    类   类   类   类   类   类</w:t>
      </w:r>
    </w:p>
    <w:p>
      <w:pPr>
        <w:spacing w:line="460" w:lineRule="exact"/>
        <w:ind w:firstLine="3360" w:firstLineChars="1050"/>
        <w:rPr>
          <w:rFonts w:ascii="仿宋_GB2312" w:eastAsia="仿宋_GB2312"/>
          <w:sz w:val="32"/>
          <w:szCs w:val="22"/>
          <w:lang w:bidi="ar"/>
        </w:rPr>
      </w:pPr>
      <w:r>
        <w:rPr>
          <w:rFonts w:hint="eastAsia" w:ascii="仿宋_GB2312" w:eastAsia="仿宋_GB2312"/>
          <w:sz w:val="32"/>
          <w:szCs w:val="22"/>
          <w:lang w:bidi="ar"/>
        </w:rPr>
        <w:t>代   代   代   代   代   代</w:t>
      </w:r>
    </w:p>
    <w:p>
      <w:pPr>
        <w:spacing w:line="460" w:lineRule="exact"/>
        <w:ind w:firstLine="3360" w:firstLineChars="1050"/>
        <w:rPr>
          <w:rFonts w:ascii="仿宋_GB2312" w:eastAsia="仿宋_GB2312"/>
          <w:sz w:val="32"/>
          <w:szCs w:val="22"/>
          <w:lang w:bidi="ar"/>
        </w:rPr>
      </w:pPr>
      <w:r>
        <w:rPr>
          <w:rFonts w:hint="eastAsia" w:ascii="仿宋_GB2312" w:eastAsia="仿宋_GB2312"/>
          <w:sz w:val="32"/>
          <w:szCs w:val="22"/>
          <w:lang w:bidi="ar"/>
        </w:rPr>
        <w:t>码   码   码   码   码   码</w:t>
      </w:r>
    </w:p>
    <w:p>
      <w:pPr>
        <w:spacing w:line="590" w:lineRule="exact"/>
        <w:ind w:firstLine="640" w:firstLineChars="200"/>
        <w:jc w:val="left"/>
        <w:outlineLvl w:val="3"/>
        <w:rPr>
          <w:rFonts w:ascii="仿宋_GB2312" w:eastAsia="仿宋_GB2312"/>
          <w:sz w:val="32"/>
          <w:szCs w:val="22"/>
          <w:lang w:bidi="ar"/>
        </w:rPr>
      </w:pPr>
      <w:r>
        <w:rPr>
          <w:rFonts w:hint="eastAsia" w:ascii="仿宋_GB2312" w:eastAsia="仿宋_GB2312"/>
          <w:sz w:val="32"/>
          <w:szCs w:val="22"/>
          <w:lang w:bidi="ar"/>
        </w:rPr>
        <w:t>b.三级子类代码</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充电设施三级子类代码为两位数字码，按其类型划分，具体描述见表23。</w:t>
      </w:r>
    </w:p>
    <w:p>
      <w:pPr>
        <w:spacing w:line="590" w:lineRule="exact"/>
        <w:jc w:val="center"/>
        <w:rPr>
          <w:rFonts w:ascii="仿宋_GB2312" w:eastAsia="仿宋_GB2312"/>
          <w:sz w:val="32"/>
          <w:szCs w:val="22"/>
          <w:lang w:bidi="ar"/>
        </w:rPr>
      </w:pPr>
      <w:r>
        <w:rPr>
          <w:rFonts w:hint="eastAsia" w:ascii="仿宋_GB2312" w:eastAsia="仿宋_GB2312"/>
          <w:sz w:val="32"/>
          <w:szCs w:val="22"/>
          <w:lang w:bidi="ar"/>
        </w:rPr>
        <w:t>表23 充电设施三级子类代码描述表</w:t>
      </w:r>
    </w:p>
    <w:tbl>
      <w:tblPr>
        <w:tblStyle w:val="51"/>
        <w:tblW w:w="3685" w:type="dxa"/>
        <w:tblInd w:w="28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1"/>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1" w:type="dxa"/>
          </w:tcPr>
          <w:p>
            <w:pPr>
              <w:spacing w:line="300" w:lineRule="exact"/>
              <w:jc w:val="center"/>
              <w:rPr>
                <w:rFonts w:ascii="黑体" w:hAnsi="黑体" w:eastAsia="黑体"/>
                <w:color w:val="000000"/>
                <w:szCs w:val="21"/>
              </w:rPr>
            </w:pPr>
            <w:r>
              <w:rPr>
                <w:rFonts w:hint="eastAsia" w:ascii="黑体" w:hAnsi="黑体" w:eastAsia="黑体"/>
                <w:color w:val="000000"/>
                <w:szCs w:val="21"/>
              </w:rPr>
              <w:t>类型</w:t>
            </w:r>
          </w:p>
        </w:tc>
        <w:tc>
          <w:tcPr>
            <w:tcW w:w="1844" w:type="dxa"/>
          </w:tcPr>
          <w:p>
            <w:pPr>
              <w:spacing w:line="300" w:lineRule="exact"/>
              <w:jc w:val="center"/>
              <w:rPr>
                <w:rFonts w:ascii="黑体" w:hAnsi="黑体" w:eastAsia="黑体"/>
                <w:color w:val="000000"/>
                <w:szCs w:val="21"/>
              </w:rPr>
            </w:pPr>
            <w:r>
              <w:rPr>
                <w:rFonts w:hint="eastAsia" w:ascii="黑体" w:hAnsi="黑体" w:eastAsia="黑体"/>
                <w:color w:val="000000"/>
                <w:szCs w:val="21"/>
              </w:rPr>
              <w:t>三级子类代码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1"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交流充电桩</w:t>
            </w:r>
          </w:p>
        </w:tc>
        <w:tc>
          <w:tcPr>
            <w:tcW w:w="1844"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1"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直流充电桩</w:t>
            </w:r>
          </w:p>
        </w:tc>
        <w:tc>
          <w:tcPr>
            <w:tcW w:w="1844"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02</w:t>
            </w:r>
          </w:p>
        </w:tc>
      </w:tr>
    </w:tbl>
    <w:p>
      <w:pPr>
        <w:spacing w:line="590" w:lineRule="exact"/>
        <w:ind w:firstLine="640" w:firstLineChars="200"/>
        <w:jc w:val="left"/>
        <w:outlineLvl w:val="3"/>
        <w:rPr>
          <w:rFonts w:ascii="仿宋_GB2312" w:eastAsia="仿宋_GB2312"/>
          <w:sz w:val="32"/>
          <w:szCs w:val="22"/>
          <w:lang w:bidi="ar"/>
        </w:rPr>
      </w:pPr>
      <w:r>
        <w:rPr>
          <w:rFonts w:hint="eastAsia" w:ascii="仿宋_GB2312" w:eastAsia="仿宋_GB2312"/>
          <w:sz w:val="32"/>
          <w:szCs w:val="22"/>
          <w:lang w:bidi="ar"/>
        </w:rPr>
        <w:t>c.四级子类代码</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充电设施四级子类代码为两位数字码，按其领域划分（后续如领域增加，数字码依次增加），具体描述见表24。</w:t>
      </w:r>
    </w:p>
    <w:p>
      <w:pPr>
        <w:spacing w:line="590" w:lineRule="exact"/>
        <w:jc w:val="center"/>
        <w:rPr>
          <w:rFonts w:ascii="仿宋_GB2312" w:eastAsia="仿宋_GB2312"/>
          <w:sz w:val="32"/>
          <w:szCs w:val="22"/>
          <w:lang w:bidi="ar"/>
        </w:rPr>
      </w:pPr>
      <w:r>
        <w:rPr>
          <w:rFonts w:hint="eastAsia" w:ascii="仿宋_GB2312" w:eastAsia="仿宋_GB2312"/>
          <w:sz w:val="32"/>
          <w:szCs w:val="22"/>
          <w:lang w:bidi="ar"/>
        </w:rPr>
        <w:t>表24 充电设施四级子类代码描述表</w:t>
      </w:r>
    </w:p>
    <w:tbl>
      <w:tblPr>
        <w:tblStyle w:val="51"/>
        <w:tblW w:w="3685" w:type="dxa"/>
        <w:tblInd w:w="28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1"/>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1" w:type="dxa"/>
          </w:tcPr>
          <w:p>
            <w:pPr>
              <w:spacing w:line="300" w:lineRule="exact"/>
              <w:jc w:val="center"/>
              <w:rPr>
                <w:rFonts w:ascii="黑体" w:hAnsi="黑体" w:eastAsia="黑体"/>
                <w:color w:val="000000"/>
                <w:szCs w:val="21"/>
              </w:rPr>
            </w:pPr>
            <w:r>
              <w:rPr>
                <w:rFonts w:hint="eastAsia" w:ascii="黑体" w:hAnsi="黑体" w:eastAsia="黑体"/>
                <w:color w:val="000000"/>
                <w:szCs w:val="21"/>
              </w:rPr>
              <w:t>领域</w:t>
            </w:r>
          </w:p>
        </w:tc>
        <w:tc>
          <w:tcPr>
            <w:tcW w:w="1844" w:type="dxa"/>
          </w:tcPr>
          <w:p>
            <w:pPr>
              <w:spacing w:line="300" w:lineRule="exact"/>
              <w:jc w:val="center"/>
              <w:rPr>
                <w:rFonts w:ascii="黑体" w:hAnsi="黑体" w:eastAsia="黑体"/>
                <w:color w:val="000000"/>
                <w:szCs w:val="21"/>
              </w:rPr>
            </w:pPr>
            <w:r>
              <w:rPr>
                <w:rFonts w:hint="eastAsia" w:ascii="黑体" w:hAnsi="黑体" w:eastAsia="黑体"/>
                <w:color w:val="000000"/>
                <w:szCs w:val="21"/>
              </w:rPr>
              <w:t>四级子类代码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1"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普通充电桩</w:t>
            </w:r>
          </w:p>
        </w:tc>
        <w:tc>
          <w:tcPr>
            <w:tcW w:w="1844"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1"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有序充电桩</w:t>
            </w:r>
          </w:p>
        </w:tc>
        <w:tc>
          <w:tcPr>
            <w:tcW w:w="1844"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1"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数字货币充电桩</w:t>
            </w:r>
          </w:p>
        </w:tc>
        <w:tc>
          <w:tcPr>
            <w:tcW w:w="1844"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1"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V2G充电桩</w:t>
            </w:r>
          </w:p>
        </w:tc>
        <w:tc>
          <w:tcPr>
            <w:tcW w:w="1844"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04</w:t>
            </w:r>
          </w:p>
        </w:tc>
      </w:tr>
    </w:tbl>
    <w:p>
      <w:pPr>
        <w:spacing w:line="590" w:lineRule="exact"/>
        <w:ind w:firstLine="640" w:firstLineChars="200"/>
        <w:jc w:val="left"/>
        <w:outlineLvl w:val="3"/>
        <w:rPr>
          <w:rFonts w:ascii="仿宋_GB2312" w:eastAsia="仿宋_GB2312"/>
          <w:sz w:val="32"/>
          <w:szCs w:val="22"/>
          <w:lang w:bidi="ar"/>
        </w:rPr>
      </w:pPr>
      <w:r>
        <w:rPr>
          <w:rFonts w:hint="eastAsia" w:ascii="仿宋_GB2312" w:eastAsia="仿宋_GB2312"/>
          <w:sz w:val="32"/>
          <w:szCs w:val="22"/>
          <w:lang w:bidi="ar"/>
        </w:rPr>
        <w:t>d.五级子类代码</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充电设施五级子类代码为两位数字码，按其功率划分（后续如功率提升，数字码依次增加），具体描述见表25。</w:t>
      </w:r>
    </w:p>
    <w:p>
      <w:pPr>
        <w:spacing w:line="590" w:lineRule="exact"/>
        <w:jc w:val="center"/>
        <w:rPr>
          <w:rFonts w:ascii="仿宋_GB2312" w:eastAsia="仿宋_GB2312"/>
          <w:sz w:val="32"/>
          <w:szCs w:val="22"/>
          <w:lang w:bidi="ar"/>
        </w:rPr>
      </w:pPr>
      <w:r>
        <w:rPr>
          <w:rFonts w:hint="eastAsia" w:ascii="仿宋_GB2312" w:eastAsia="仿宋_GB2312"/>
          <w:sz w:val="32"/>
          <w:szCs w:val="22"/>
          <w:lang w:bidi="ar"/>
        </w:rPr>
        <w:t>表25 充电设施五级子类代码描述表</w:t>
      </w:r>
    </w:p>
    <w:tbl>
      <w:tblPr>
        <w:tblStyle w:val="51"/>
        <w:tblW w:w="4253" w:type="dxa"/>
        <w:tblInd w:w="23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7" w:type="dxa"/>
          </w:tcPr>
          <w:p>
            <w:pPr>
              <w:spacing w:line="300" w:lineRule="exact"/>
              <w:jc w:val="center"/>
              <w:rPr>
                <w:rFonts w:ascii="黑体" w:hAnsi="黑体" w:eastAsia="黑体"/>
                <w:color w:val="000000"/>
                <w:szCs w:val="21"/>
              </w:rPr>
            </w:pPr>
            <w:r>
              <w:rPr>
                <w:rFonts w:hint="eastAsia" w:ascii="黑体" w:hAnsi="黑体" w:eastAsia="黑体"/>
                <w:color w:val="000000"/>
                <w:szCs w:val="21"/>
              </w:rPr>
              <w:t>类型</w:t>
            </w:r>
          </w:p>
        </w:tc>
        <w:tc>
          <w:tcPr>
            <w:tcW w:w="1986" w:type="dxa"/>
          </w:tcPr>
          <w:p>
            <w:pPr>
              <w:spacing w:line="300" w:lineRule="exact"/>
              <w:jc w:val="center"/>
              <w:rPr>
                <w:rFonts w:ascii="黑体" w:hAnsi="黑体" w:eastAsia="黑体"/>
                <w:color w:val="000000"/>
                <w:szCs w:val="21"/>
              </w:rPr>
            </w:pPr>
            <w:r>
              <w:rPr>
                <w:rFonts w:hint="eastAsia" w:ascii="黑体" w:hAnsi="黑体" w:eastAsia="黑体"/>
                <w:color w:val="000000"/>
                <w:szCs w:val="21"/>
              </w:rPr>
              <w:t>五级子类代码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7"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X≤7kW</w:t>
            </w:r>
          </w:p>
        </w:tc>
        <w:tc>
          <w:tcPr>
            <w:tcW w:w="1986"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7"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7kW＜X≤60kW</w:t>
            </w:r>
          </w:p>
        </w:tc>
        <w:tc>
          <w:tcPr>
            <w:tcW w:w="1986"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7"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60kW＜X≤120kW</w:t>
            </w:r>
          </w:p>
        </w:tc>
        <w:tc>
          <w:tcPr>
            <w:tcW w:w="1986"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7"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120kW＜X≤180kW</w:t>
            </w:r>
          </w:p>
        </w:tc>
        <w:tc>
          <w:tcPr>
            <w:tcW w:w="1986"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7"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180kW＜X≤240kW</w:t>
            </w:r>
          </w:p>
        </w:tc>
        <w:tc>
          <w:tcPr>
            <w:tcW w:w="1986"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7"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240kW＜X≤360kW</w:t>
            </w:r>
          </w:p>
        </w:tc>
        <w:tc>
          <w:tcPr>
            <w:tcW w:w="1986"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7"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360kW＜X≤480kW</w:t>
            </w:r>
          </w:p>
        </w:tc>
        <w:tc>
          <w:tcPr>
            <w:tcW w:w="1986"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7"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X＞480kW</w:t>
            </w:r>
          </w:p>
        </w:tc>
        <w:tc>
          <w:tcPr>
            <w:tcW w:w="1986" w:type="dxa"/>
          </w:tcPr>
          <w:p>
            <w:pPr>
              <w:spacing w:line="300" w:lineRule="exact"/>
              <w:jc w:val="center"/>
              <w:rPr>
                <w:rFonts w:ascii="仿宋_GB2312" w:eastAsia="仿宋_GB2312"/>
                <w:color w:val="000000"/>
                <w:szCs w:val="21"/>
              </w:rPr>
            </w:pPr>
            <w:r>
              <w:rPr>
                <w:rFonts w:hint="eastAsia" w:ascii="仿宋_GB2312" w:eastAsia="仿宋_GB2312"/>
                <w:color w:val="000000"/>
                <w:szCs w:val="21"/>
              </w:rPr>
              <w:t>08</w:t>
            </w:r>
          </w:p>
        </w:tc>
      </w:tr>
    </w:tbl>
    <w:p>
      <w:pPr>
        <w:spacing w:line="590" w:lineRule="exact"/>
        <w:ind w:firstLine="640" w:firstLineChars="200"/>
        <w:jc w:val="left"/>
        <w:outlineLvl w:val="3"/>
        <w:rPr>
          <w:rFonts w:ascii="仿宋_GB2312" w:eastAsia="仿宋_GB2312"/>
          <w:sz w:val="32"/>
          <w:szCs w:val="22"/>
          <w:highlight w:val="yellow"/>
          <w:lang w:bidi="ar"/>
        </w:rPr>
      </w:pPr>
    </w:p>
    <w:p>
      <w:pPr>
        <w:spacing w:line="590" w:lineRule="exact"/>
        <w:ind w:firstLine="640" w:firstLineChars="200"/>
        <w:jc w:val="left"/>
        <w:outlineLvl w:val="3"/>
        <w:rPr>
          <w:rFonts w:ascii="仿宋_GB2312" w:eastAsia="仿宋_GB2312"/>
          <w:sz w:val="32"/>
          <w:szCs w:val="22"/>
          <w:lang w:bidi="ar"/>
        </w:rPr>
      </w:pPr>
      <w:r>
        <w:rPr>
          <w:rFonts w:hint="eastAsia" w:ascii="仿宋_GB2312" w:eastAsia="仿宋_GB2312"/>
          <w:sz w:val="32"/>
          <w:szCs w:val="22"/>
          <w:lang w:bidi="ar"/>
        </w:rPr>
        <w:t>e.六级子类代码</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充电设施六级子类代码为叁位数字码，按其出厂编号顺序从001到XXX依次划分。</w:t>
      </w:r>
    </w:p>
    <w:bookmarkEnd w:id="169"/>
    <w:bookmarkEnd w:id="170"/>
    <w:p>
      <w:pPr>
        <w:pStyle w:val="3"/>
        <w:spacing w:before="0" w:after="0" w:line="590" w:lineRule="exact"/>
        <w:ind w:firstLine="640" w:firstLineChars="200"/>
        <w:jc w:val="left"/>
        <w:rPr>
          <w:rFonts w:ascii="Times New Roman" w:hAnsi="Times New Roman" w:eastAsia="楷体_GB2312"/>
          <w:b w:val="0"/>
          <w:bCs w:val="0"/>
          <w:lang w:bidi="ar"/>
        </w:rPr>
      </w:pPr>
      <w:bookmarkStart w:id="175" w:name="_Toc78835300"/>
      <w:bookmarkStart w:id="176" w:name="_Toc6135"/>
      <w:bookmarkStart w:id="177" w:name="_Toc78835204"/>
      <w:r>
        <w:rPr>
          <w:rFonts w:hint="eastAsia" w:ascii="Times New Roman" w:hAnsi="Times New Roman" w:eastAsia="楷体_GB2312"/>
          <w:b w:val="0"/>
          <w:bCs w:val="0"/>
          <w:lang w:bidi="ar"/>
        </w:rPr>
        <w:t>（七）智慧充电</w:t>
      </w:r>
      <w:bookmarkEnd w:id="175"/>
      <w:bookmarkEnd w:id="176"/>
      <w:bookmarkEnd w:id="177"/>
      <w:bookmarkStart w:id="178" w:name="_Toc530339682"/>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1.</w:t>
      </w:r>
      <w:r>
        <w:rPr>
          <w:rFonts w:ascii="仿宋_GB2312" w:eastAsia="仿宋_GB2312"/>
          <w:b/>
          <w:sz w:val="32"/>
          <w:szCs w:val="22"/>
          <w:lang w:bidi="ar"/>
        </w:rPr>
        <w:t>智</w:t>
      </w:r>
      <w:r>
        <w:rPr>
          <w:rFonts w:ascii="仿宋_GB2312" w:eastAsia="仿宋_GB2312"/>
          <w:sz w:val="32"/>
          <w:szCs w:val="22"/>
          <w:lang w:bidi="ar"/>
        </w:rPr>
        <w:t>慧充电功能</w:t>
      </w:r>
      <w:bookmarkEnd w:id="178"/>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在充分考虑用户充电需求的前提下，采用硬件设备及配套软件对电动汽车充电过程进行调控，改善充电负荷特性，避免电网负荷叠加，提高电网运行经济性和可靠性。</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2.</w:t>
      </w:r>
      <w:r>
        <w:rPr>
          <w:rFonts w:ascii="仿宋_GB2312" w:eastAsia="仿宋_GB2312"/>
          <w:sz w:val="32"/>
          <w:szCs w:val="22"/>
          <w:lang w:bidi="ar"/>
        </w:rPr>
        <w:t>智慧充电流程</w:t>
      </w:r>
    </w:p>
    <w:p>
      <w:pPr>
        <w:spacing w:line="590" w:lineRule="exact"/>
        <w:ind w:firstLine="640" w:firstLineChars="200"/>
        <w:jc w:val="left"/>
        <w:rPr>
          <w:rFonts w:ascii="仿宋_GB2312" w:eastAsia="仿宋_GB2312"/>
          <w:sz w:val="32"/>
          <w:szCs w:val="22"/>
          <w:lang w:bidi="ar"/>
        </w:rPr>
      </w:pPr>
      <w:bookmarkStart w:id="179" w:name="_Toc3518"/>
      <w:r>
        <w:rPr>
          <w:rFonts w:ascii="仿宋_GB2312" w:eastAsia="仿宋_GB2312"/>
          <w:sz w:val="32"/>
          <w:szCs w:val="22"/>
          <w:lang w:bidi="ar"/>
        </w:rPr>
        <w:t>智慧充电模式分为远程控制和本地控制两种模式。在通信网络正常情况下远程控制模式为默认模式，本地控制模式为备用模式。当通信网络异常时启动本地控制模式。</w:t>
      </w:r>
      <w:r>
        <w:rPr>
          <w:rFonts w:hint="eastAsia" w:ascii="仿宋_GB2312" w:eastAsia="仿宋_GB2312"/>
          <w:sz w:val="32"/>
          <w:szCs w:val="22"/>
          <w:lang w:bidi="ar"/>
        </w:rPr>
        <w:t>充电桩可实现本地组网，可通过集中控制器</w:t>
      </w:r>
      <w:r>
        <w:rPr>
          <w:rFonts w:ascii="仿宋_GB2312" w:eastAsia="仿宋_GB2312"/>
          <w:sz w:val="32"/>
          <w:szCs w:val="22"/>
          <w:lang w:bidi="ar"/>
        </w:rPr>
        <w:t>或等效装置</w:t>
      </w:r>
      <w:r>
        <w:rPr>
          <w:rFonts w:hint="eastAsia" w:ascii="仿宋_GB2312" w:eastAsia="仿宋_GB2312"/>
          <w:sz w:val="32"/>
          <w:szCs w:val="22"/>
          <w:lang w:bidi="ar"/>
        </w:rPr>
        <w:t>连接到自有主站平台或其他主站平台。</w:t>
      </w:r>
      <w:bookmarkEnd w:id="179"/>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采用远程控制模式时，用户发起充电请求；充电平台收到充电申请后，结合充电实时数据，生成智慧充电计划，下发到能源控制器或等效装置；能源控制器或等效装置收到充电计划后，充电桩执行智慧充电；充电结束后，充电平台负责计量计费结算。</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采用本地控制模式时，充电平台需预先将智慧充电策略下发到能源控制器或等效装置；用户发起充电请求，能源路由器或等效装置根据日前充电负荷预测模型和当前各充电桩实时充电情况，生成智慧充电计划，下发给能源路由器或等效装置，执行智慧充电；充电结束后，能源控制器或等效装置形成本地订单，网络恢复时向充电平台上传本地订单。</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3.智慧充电</w:t>
      </w:r>
      <w:r>
        <w:rPr>
          <w:rFonts w:ascii="仿宋_GB2312" w:eastAsia="仿宋_GB2312"/>
          <w:sz w:val="32"/>
          <w:szCs w:val="22"/>
          <w:lang w:bidi="ar"/>
        </w:rPr>
        <w:t>控制策略</w:t>
      </w:r>
    </w:p>
    <w:p>
      <w:pPr>
        <w:widowControl/>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智慧充电</w:t>
      </w:r>
      <w:r>
        <w:rPr>
          <w:rFonts w:ascii="仿宋_GB2312" w:eastAsia="仿宋_GB2312"/>
          <w:sz w:val="32"/>
          <w:szCs w:val="22"/>
          <w:lang w:bidi="ar"/>
        </w:rPr>
        <w:t>控制策略</w:t>
      </w:r>
      <w:r>
        <w:rPr>
          <w:rFonts w:hint="eastAsia" w:ascii="仿宋_GB2312" w:eastAsia="仿宋_GB2312"/>
          <w:sz w:val="32"/>
          <w:szCs w:val="22"/>
          <w:lang w:bidi="ar"/>
        </w:rPr>
        <w:t>需具备</w:t>
      </w:r>
      <w:r>
        <w:rPr>
          <w:rFonts w:ascii="仿宋_GB2312" w:eastAsia="仿宋_GB2312"/>
          <w:sz w:val="32"/>
          <w:szCs w:val="22"/>
          <w:lang w:bidi="ar"/>
        </w:rPr>
        <w:t>需求预测、用户充电需求采集、</w:t>
      </w:r>
      <w:r>
        <w:rPr>
          <w:rFonts w:hint="eastAsia" w:ascii="仿宋_GB2312" w:eastAsia="仿宋_GB2312"/>
          <w:sz w:val="32"/>
          <w:szCs w:val="22"/>
          <w:lang w:bidi="ar"/>
        </w:rPr>
        <w:t>充电</w:t>
      </w:r>
      <w:r>
        <w:rPr>
          <w:rFonts w:ascii="仿宋_GB2312" w:eastAsia="仿宋_GB2312"/>
          <w:sz w:val="32"/>
          <w:szCs w:val="22"/>
          <w:lang w:bidi="ar"/>
        </w:rPr>
        <w:t>策略计算、计划调度、实时调度</w:t>
      </w:r>
      <w:r>
        <w:rPr>
          <w:rFonts w:hint="eastAsia" w:ascii="仿宋_GB2312" w:eastAsia="仿宋_GB2312"/>
          <w:sz w:val="32"/>
          <w:szCs w:val="22"/>
          <w:lang w:bidi="ar"/>
        </w:rPr>
        <w:t>等</w:t>
      </w:r>
      <w:r>
        <w:rPr>
          <w:rFonts w:ascii="仿宋_GB2312" w:eastAsia="仿宋_GB2312"/>
          <w:sz w:val="32"/>
          <w:szCs w:val="22"/>
          <w:lang w:bidi="ar"/>
        </w:rPr>
        <w:t>。</w:t>
      </w:r>
    </w:p>
    <w:p>
      <w:pPr>
        <w:widowControl/>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（1）充电平台应根据电网用户等级、配电能力，按照一定周期计算生成负荷预测、充电需求预测、配网负荷预测模型。</w:t>
      </w:r>
    </w:p>
    <w:p>
      <w:pPr>
        <w:widowControl/>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（2）充电平台应根据用户发起的充电请求，计算用户充电策略，启动智慧充电。</w:t>
      </w:r>
    </w:p>
    <w:p>
      <w:pPr>
        <w:widowControl/>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（3）充电平台应支持计划调度功能，根据容量、用车时间等情况，在保证用户充电需求前提下优先安排谷段充电。</w:t>
      </w:r>
    </w:p>
    <w:p>
      <w:pPr>
        <w:widowControl/>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（4）充电平台应支持实时调度功能，根据容量、充电功率分配等实时情况，具备充电功率实时变化、依序切除后来充电负荷、恢复先来充电负荷等功能。</w:t>
      </w:r>
    </w:p>
    <w:p>
      <w:pPr>
        <w:widowControl/>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（5）充电平台应具备机器学习能力，不断提升智慧充电策略模型，形成策略优化预案，提升智慧充电控制水平。</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4.其它技术要求</w:t>
      </w:r>
    </w:p>
    <w:p>
      <w:pPr>
        <w:spacing w:line="590" w:lineRule="exact"/>
        <w:ind w:firstLine="640" w:firstLineChars="200"/>
        <w:jc w:val="left"/>
        <w:rPr>
          <w:rFonts w:ascii="仿宋_GB2312" w:eastAsia="仿宋_GB2312"/>
          <w:sz w:val="32"/>
          <w:szCs w:val="32"/>
        </w:rPr>
      </w:pPr>
      <w:r>
        <w:rPr>
          <w:rFonts w:hint="eastAsia" w:ascii="仿宋_GB2312" w:eastAsia="仿宋_GB2312"/>
          <w:sz w:val="32"/>
          <w:szCs w:val="22"/>
          <w:lang w:bidi="ar"/>
        </w:rPr>
        <w:t>（1）</w:t>
      </w:r>
      <w:r>
        <w:rPr>
          <w:rFonts w:hint="eastAsia" w:ascii="仿宋_GB2312" w:eastAsia="仿宋_GB2312"/>
          <w:sz w:val="32"/>
          <w:szCs w:val="32"/>
        </w:rPr>
        <w:t>充电桩应具备定时启动、唤醒车辆恢复充电的功能。</w:t>
      </w:r>
    </w:p>
    <w:p>
      <w:pPr>
        <w:spacing w:line="590" w:lineRule="exact"/>
        <w:ind w:firstLine="640" w:firstLineChars="200"/>
        <w:jc w:val="left"/>
        <w:rPr>
          <w:rFonts w:ascii="仿宋_GB2312" w:eastAsia="仿宋_GB2312"/>
          <w:sz w:val="32"/>
          <w:szCs w:val="32"/>
        </w:rPr>
      </w:pPr>
      <w:r>
        <w:rPr>
          <w:rFonts w:hint="eastAsia" w:ascii="仿宋_GB2312" w:eastAsia="仿宋_GB2312"/>
          <w:sz w:val="32"/>
          <w:szCs w:val="22"/>
          <w:lang w:bidi="ar"/>
        </w:rPr>
        <w:t>（2）</w:t>
      </w:r>
      <w:r>
        <w:rPr>
          <w:rFonts w:hint="eastAsia" w:ascii="仿宋_GB2312" w:eastAsia="仿宋_GB2312"/>
          <w:sz w:val="32"/>
          <w:szCs w:val="32"/>
        </w:rPr>
        <w:t>充电桩应能接收、识别、检测车辆端传输的方波信号（包含车辆VIN、SOC及电池容量等信息）。</w:t>
      </w:r>
    </w:p>
    <w:p>
      <w:pPr>
        <w:spacing w:line="590" w:lineRule="exact"/>
        <w:ind w:firstLine="640" w:firstLineChars="200"/>
        <w:jc w:val="left"/>
        <w:rPr>
          <w:rFonts w:ascii="仿宋_GB2312" w:eastAsia="仿宋_GB2312"/>
          <w:sz w:val="32"/>
          <w:szCs w:val="32"/>
        </w:rPr>
      </w:pPr>
      <w:r>
        <w:rPr>
          <w:rFonts w:hint="eastAsia" w:ascii="仿宋_GB2312" w:eastAsia="仿宋_GB2312"/>
          <w:sz w:val="32"/>
          <w:szCs w:val="22"/>
          <w:lang w:bidi="ar"/>
        </w:rPr>
        <w:t>（3）</w:t>
      </w:r>
      <w:r>
        <w:rPr>
          <w:rFonts w:hint="eastAsia" w:ascii="仿宋_GB2312" w:eastAsia="仿宋_GB2312"/>
          <w:sz w:val="32"/>
          <w:szCs w:val="32"/>
        </w:rPr>
        <w:t>充电桩应能向平台传输来至车辆端发出的信号（包含车辆VIN、SOC及电池容量等信息）。</w:t>
      </w:r>
    </w:p>
    <w:p>
      <w:pPr>
        <w:spacing w:line="590" w:lineRule="exact"/>
        <w:ind w:firstLine="640" w:firstLineChars="200"/>
        <w:jc w:val="left"/>
        <w:rPr>
          <w:rFonts w:ascii="仿宋_GB2312" w:eastAsia="仿宋_GB2312"/>
          <w:sz w:val="32"/>
          <w:szCs w:val="32"/>
        </w:rPr>
      </w:pPr>
      <w:r>
        <w:rPr>
          <w:rFonts w:hint="eastAsia" w:ascii="仿宋_GB2312" w:eastAsia="仿宋_GB2312"/>
          <w:sz w:val="32"/>
          <w:szCs w:val="22"/>
          <w:lang w:bidi="ar"/>
        </w:rPr>
        <w:t>（4）</w:t>
      </w:r>
      <w:r>
        <w:rPr>
          <w:rFonts w:hint="eastAsia" w:ascii="仿宋_GB2312" w:eastAsia="仿宋_GB2312"/>
          <w:sz w:val="32"/>
          <w:szCs w:val="32"/>
        </w:rPr>
        <w:t>充电桩应能响应平台下发的功率调节指令。</w:t>
      </w:r>
    </w:p>
    <w:p>
      <w:pPr>
        <w:pStyle w:val="3"/>
        <w:spacing w:before="0" w:after="0" w:line="590" w:lineRule="exact"/>
        <w:ind w:firstLine="640" w:firstLineChars="200"/>
        <w:jc w:val="left"/>
        <w:rPr>
          <w:rFonts w:ascii="Times New Roman" w:hAnsi="Times New Roman" w:eastAsia="楷体_GB2312"/>
          <w:b w:val="0"/>
          <w:bCs w:val="0"/>
          <w:lang w:bidi="ar"/>
        </w:rPr>
      </w:pPr>
      <w:bookmarkStart w:id="180" w:name="_Toc78835301"/>
      <w:bookmarkStart w:id="181" w:name="_Toc17189"/>
      <w:bookmarkStart w:id="182" w:name="_Toc78835205"/>
      <w:r>
        <w:rPr>
          <w:rFonts w:hint="eastAsia" w:ascii="Times New Roman" w:hAnsi="Times New Roman" w:eastAsia="楷体_GB2312"/>
          <w:b w:val="0"/>
          <w:bCs w:val="0"/>
          <w:lang w:bidi="ar"/>
        </w:rPr>
        <w:t>（八）车网互动（V</w:t>
      </w:r>
      <w:r>
        <w:rPr>
          <w:rFonts w:ascii="Times New Roman" w:hAnsi="Times New Roman" w:eastAsia="楷体_GB2312"/>
          <w:b w:val="0"/>
          <w:bCs w:val="0"/>
          <w:lang w:bidi="ar"/>
        </w:rPr>
        <w:t>2</w:t>
      </w:r>
      <w:r>
        <w:rPr>
          <w:rFonts w:hint="eastAsia" w:ascii="Times New Roman" w:hAnsi="Times New Roman" w:eastAsia="楷体_GB2312"/>
          <w:b w:val="0"/>
          <w:bCs w:val="0"/>
          <w:lang w:bidi="ar"/>
        </w:rPr>
        <w:t>G）</w:t>
      </w:r>
      <w:bookmarkEnd w:id="180"/>
      <w:bookmarkEnd w:id="181"/>
      <w:bookmarkEnd w:id="182"/>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1.车网互动的功能</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（1）智慧</w:t>
      </w:r>
      <w:r>
        <w:rPr>
          <w:rFonts w:ascii="仿宋_GB2312" w:eastAsia="仿宋_GB2312"/>
          <w:sz w:val="32"/>
          <w:szCs w:val="22"/>
          <w:lang w:bidi="ar"/>
        </w:rPr>
        <w:t>充放电</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当电网容量供应紧张时，电网调度系统或需求响应系统向</w:t>
      </w:r>
      <w:r>
        <w:rPr>
          <w:rFonts w:ascii="仿宋_GB2312" w:eastAsia="仿宋_GB2312"/>
          <w:sz w:val="32"/>
          <w:szCs w:val="22"/>
          <w:lang w:bidi="ar"/>
        </w:rPr>
        <w:t>充</w:t>
      </w:r>
      <w:r>
        <w:rPr>
          <w:rFonts w:hint="eastAsia" w:ascii="仿宋_GB2312" w:eastAsia="仿宋_GB2312"/>
          <w:sz w:val="32"/>
          <w:szCs w:val="22"/>
          <w:lang w:bidi="ar"/>
        </w:rPr>
        <w:t>放</w:t>
      </w:r>
      <w:r>
        <w:rPr>
          <w:rFonts w:ascii="仿宋_GB2312" w:eastAsia="仿宋_GB2312"/>
          <w:sz w:val="32"/>
          <w:szCs w:val="22"/>
          <w:lang w:bidi="ar"/>
        </w:rPr>
        <w:t>电设施</w:t>
      </w:r>
      <w:r>
        <w:rPr>
          <w:rFonts w:hint="eastAsia" w:ascii="仿宋_GB2312" w:eastAsia="仿宋_GB2312"/>
          <w:sz w:val="32"/>
          <w:szCs w:val="22"/>
          <w:lang w:bidi="ar"/>
        </w:rPr>
        <w:t>运营服务系统发送负荷调度指令，充放电双向互动系统根据接入可响应负荷情况进行计算，并生成分层分区控制目标，下发至各充放电控制单元，电动汽车及充放电设备根据充放电控制单元的控制信号进行充放电功率调整或设备启停。</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w:t>
      </w:r>
      <w:r>
        <w:rPr>
          <w:rFonts w:ascii="仿宋_GB2312" w:eastAsia="仿宋_GB2312"/>
          <w:sz w:val="32"/>
          <w:szCs w:val="22"/>
          <w:lang w:bidi="ar"/>
        </w:rPr>
        <w:t>经济充电</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当电网容量充裕时，电动汽车用户可选择经济充电模式，充放电管理终端根据用户设定的目标SOC值、预计充满时间及该时间段内充电费率情况，计算出用户经济充电策略，并根据该策略对电动汽车进行充电操作。</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（3）</w:t>
      </w:r>
      <w:r>
        <w:rPr>
          <w:rFonts w:ascii="仿宋_GB2312" w:eastAsia="仿宋_GB2312"/>
          <w:sz w:val="32"/>
          <w:szCs w:val="22"/>
          <w:lang w:bidi="ar"/>
        </w:rPr>
        <w:t>新能源消纳</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当电网新能源无法及时消纳时，电网调度系统可向储能设施及</w:t>
      </w:r>
      <w:r>
        <w:rPr>
          <w:rFonts w:ascii="仿宋_GB2312" w:eastAsia="仿宋_GB2312"/>
          <w:sz w:val="32"/>
          <w:szCs w:val="22"/>
          <w:lang w:bidi="ar"/>
        </w:rPr>
        <w:t>充</w:t>
      </w:r>
      <w:r>
        <w:rPr>
          <w:rFonts w:hint="eastAsia" w:ascii="仿宋_GB2312" w:eastAsia="仿宋_GB2312"/>
          <w:sz w:val="32"/>
          <w:szCs w:val="22"/>
          <w:lang w:bidi="ar"/>
        </w:rPr>
        <w:t>放</w:t>
      </w:r>
      <w:r>
        <w:rPr>
          <w:rFonts w:ascii="仿宋_GB2312" w:eastAsia="仿宋_GB2312"/>
          <w:sz w:val="32"/>
          <w:szCs w:val="22"/>
          <w:lang w:bidi="ar"/>
        </w:rPr>
        <w:t>电设施</w:t>
      </w:r>
      <w:r>
        <w:rPr>
          <w:rFonts w:hint="eastAsia" w:ascii="仿宋_GB2312" w:eastAsia="仿宋_GB2312"/>
          <w:sz w:val="32"/>
          <w:szCs w:val="22"/>
          <w:lang w:bidi="ar"/>
        </w:rPr>
        <w:t>运营服务系统发送新能源消纳需求指令，储能设施及</w:t>
      </w:r>
      <w:r>
        <w:rPr>
          <w:rFonts w:ascii="仿宋_GB2312" w:eastAsia="仿宋_GB2312"/>
          <w:sz w:val="32"/>
          <w:szCs w:val="22"/>
          <w:lang w:bidi="ar"/>
        </w:rPr>
        <w:t>充</w:t>
      </w:r>
      <w:r>
        <w:rPr>
          <w:rFonts w:hint="eastAsia" w:ascii="仿宋_GB2312" w:eastAsia="仿宋_GB2312"/>
          <w:sz w:val="32"/>
          <w:szCs w:val="22"/>
          <w:lang w:bidi="ar"/>
        </w:rPr>
        <w:t>放</w:t>
      </w:r>
      <w:r>
        <w:rPr>
          <w:rFonts w:ascii="仿宋_GB2312" w:eastAsia="仿宋_GB2312"/>
          <w:sz w:val="32"/>
          <w:szCs w:val="22"/>
          <w:lang w:bidi="ar"/>
        </w:rPr>
        <w:t>电设施</w:t>
      </w:r>
      <w:r>
        <w:rPr>
          <w:rFonts w:hint="eastAsia" w:ascii="仿宋_GB2312" w:eastAsia="仿宋_GB2312"/>
          <w:sz w:val="32"/>
          <w:szCs w:val="22"/>
          <w:lang w:bidi="ar"/>
        </w:rPr>
        <w:t>运营服务系统根据系统运行状况选择部分消纳或全部消纳。</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（4）</w:t>
      </w:r>
      <w:r>
        <w:rPr>
          <w:rFonts w:ascii="仿宋_GB2312" w:eastAsia="仿宋_GB2312"/>
          <w:sz w:val="32"/>
          <w:szCs w:val="22"/>
          <w:lang w:bidi="ar"/>
        </w:rPr>
        <w:t>电网辅助服务</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当电网电压或频率波动时，电网调度系统向充放电系统发送调度指令，充放电双向互动系统根据接入可响应资源，计算电网辅助服务响应策略，并向电动汽车及充放电设备下发控制指令。</w:t>
      </w:r>
    </w:p>
    <w:p>
      <w:pPr>
        <w:spacing w:line="590" w:lineRule="exact"/>
        <w:ind w:firstLine="640" w:firstLineChars="200"/>
        <w:jc w:val="left"/>
        <w:outlineLvl w:val="2"/>
        <w:rPr>
          <w:rFonts w:ascii="仿宋_GB2312" w:eastAsia="仿宋_GB2312"/>
          <w:sz w:val="32"/>
          <w:szCs w:val="22"/>
          <w:lang w:bidi="ar"/>
        </w:rPr>
      </w:pPr>
      <w:bookmarkStart w:id="183" w:name="_Toc535359823"/>
      <w:r>
        <w:rPr>
          <w:rFonts w:hint="eastAsia" w:ascii="仿宋_GB2312" w:eastAsia="仿宋_GB2312"/>
          <w:sz w:val="32"/>
          <w:szCs w:val="22"/>
          <w:lang w:bidi="ar"/>
        </w:rPr>
        <w:t>2.车网互动各方</w:t>
      </w:r>
      <w:r>
        <w:rPr>
          <w:rFonts w:ascii="仿宋_GB2312" w:eastAsia="仿宋_GB2312"/>
          <w:sz w:val="32"/>
          <w:szCs w:val="22"/>
          <w:lang w:bidi="ar"/>
        </w:rPr>
        <w:t>职责</w:t>
      </w:r>
      <w:bookmarkEnd w:id="183"/>
    </w:p>
    <w:p>
      <w:pPr>
        <w:spacing w:line="590" w:lineRule="exact"/>
        <w:ind w:firstLine="640" w:firstLineChars="200"/>
        <w:jc w:val="left"/>
        <w:rPr>
          <w:rFonts w:ascii="仿宋_GB2312" w:eastAsia="仿宋_GB2312"/>
          <w:sz w:val="32"/>
          <w:szCs w:val="22"/>
          <w:lang w:bidi="ar"/>
        </w:rPr>
      </w:pPr>
      <w:bookmarkStart w:id="184" w:name="_Toc244973961"/>
      <w:bookmarkEnd w:id="184"/>
      <w:bookmarkStart w:id="185" w:name="_Toc244973604"/>
      <w:bookmarkEnd w:id="185"/>
      <w:bookmarkStart w:id="186" w:name="_Toc244973818"/>
      <w:bookmarkEnd w:id="186"/>
      <w:bookmarkStart w:id="187" w:name="_Toc244973078"/>
      <w:bookmarkEnd w:id="187"/>
      <w:bookmarkStart w:id="188" w:name="_Toc244973280"/>
      <w:bookmarkEnd w:id="188"/>
      <w:r>
        <w:rPr>
          <w:rFonts w:hint="eastAsia" w:ascii="仿宋_GB2312" w:eastAsia="仿宋_GB2312"/>
          <w:sz w:val="32"/>
          <w:szCs w:val="22"/>
          <w:lang w:bidi="ar"/>
        </w:rPr>
        <w:t>（1）</w:t>
      </w:r>
      <w:r>
        <w:rPr>
          <w:rFonts w:ascii="仿宋_GB2312" w:eastAsia="仿宋_GB2312"/>
          <w:sz w:val="32"/>
          <w:szCs w:val="22"/>
          <w:lang w:bidi="ar"/>
        </w:rPr>
        <w:t>充</w:t>
      </w:r>
      <w:r>
        <w:rPr>
          <w:rFonts w:hint="eastAsia" w:ascii="仿宋_GB2312" w:eastAsia="仿宋_GB2312"/>
          <w:sz w:val="32"/>
          <w:szCs w:val="22"/>
          <w:lang w:bidi="ar"/>
        </w:rPr>
        <w:t>放</w:t>
      </w:r>
      <w:r>
        <w:rPr>
          <w:rFonts w:ascii="仿宋_GB2312" w:eastAsia="仿宋_GB2312"/>
          <w:sz w:val="32"/>
          <w:szCs w:val="22"/>
          <w:lang w:bidi="ar"/>
        </w:rPr>
        <w:t>电设施</w:t>
      </w:r>
      <w:r>
        <w:rPr>
          <w:rFonts w:hint="eastAsia" w:ascii="仿宋_GB2312" w:eastAsia="仿宋_GB2312"/>
          <w:sz w:val="32"/>
          <w:szCs w:val="22"/>
          <w:lang w:bidi="ar"/>
        </w:rPr>
        <w:t>运营服务系统</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接受电网调度机构下发的负荷调度指令，制定和下发充放电控制策略，并采集充放电控制单元上传的相关数据；具备对接入的充放电设施进行运行状态监控、计费结算及故障处理等能力。</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（2）充放电控制单元</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执行</w:t>
      </w:r>
      <w:r>
        <w:rPr>
          <w:rFonts w:ascii="仿宋_GB2312" w:eastAsia="仿宋_GB2312"/>
          <w:sz w:val="32"/>
          <w:szCs w:val="22"/>
          <w:lang w:bidi="ar"/>
        </w:rPr>
        <w:t>充</w:t>
      </w:r>
      <w:r>
        <w:rPr>
          <w:rFonts w:hint="eastAsia" w:ascii="仿宋_GB2312" w:eastAsia="仿宋_GB2312"/>
          <w:sz w:val="32"/>
          <w:szCs w:val="22"/>
          <w:lang w:bidi="ar"/>
        </w:rPr>
        <w:t>放</w:t>
      </w:r>
      <w:r>
        <w:rPr>
          <w:rFonts w:ascii="仿宋_GB2312" w:eastAsia="仿宋_GB2312"/>
          <w:sz w:val="32"/>
          <w:szCs w:val="22"/>
          <w:lang w:bidi="ar"/>
        </w:rPr>
        <w:t>电设施</w:t>
      </w:r>
      <w:r>
        <w:rPr>
          <w:rFonts w:hint="eastAsia" w:ascii="仿宋_GB2312" w:eastAsia="仿宋_GB2312"/>
          <w:sz w:val="32"/>
          <w:szCs w:val="22"/>
          <w:lang w:bidi="ar"/>
        </w:rPr>
        <w:t>运营服务系统下发的充放电控制策略，实现充放电功率控制，并上传相关数据。</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（3）</w:t>
      </w:r>
      <w:r>
        <w:rPr>
          <w:rFonts w:ascii="仿宋_GB2312" w:eastAsia="仿宋_GB2312"/>
          <w:sz w:val="32"/>
          <w:szCs w:val="22"/>
          <w:lang w:bidi="ar"/>
        </w:rPr>
        <w:t>电网调度</w:t>
      </w:r>
      <w:r>
        <w:rPr>
          <w:rFonts w:hint="eastAsia" w:ascii="仿宋_GB2312" w:eastAsia="仿宋_GB2312"/>
          <w:sz w:val="32"/>
          <w:szCs w:val="22"/>
          <w:lang w:bidi="ar"/>
        </w:rPr>
        <w:t>系统</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电网调度机构负责向</w:t>
      </w:r>
      <w:r>
        <w:rPr>
          <w:rFonts w:ascii="仿宋_GB2312" w:eastAsia="仿宋_GB2312"/>
          <w:sz w:val="32"/>
          <w:szCs w:val="22"/>
          <w:lang w:bidi="ar"/>
        </w:rPr>
        <w:t>充</w:t>
      </w:r>
      <w:r>
        <w:rPr>
          <w:rFonts w:hint="eastAsia" w:ascii="仿宋_GB2312" w:eastAsia="仿宋_GB2312"/>
          <w:sz w:val="32"/>
          <w:szCs w:val="22"/>
          <w:lang w:bidi="ar"/>
        </w:rPr>
        <w:t>放</w:t>
      </w:r>
      <w:r>
        <w:rPr>
          <w:rFonts w:ascii="仿宋_GB2312" w:eastAsia="仿宋_GB2312"/>
          <w:sz w:val="32"/>
          <w:szCs w:val="22"/>
          <w:lang w:bidi="ar"/>
        </w:rPr>
        <w:t>电设施</w:t>
      </w:r>
      <w:r>
        <w:rPr>
          <w:rFonts w:hint="eastAsia" w:ascii="仿宋_GB2312" w:eastAsia="仿宋_GB2312"/>
          <w:sz w:val="32"/>
          <w:szCs w:val="22"/>
          <w:lang w:bidi="ar"/>
        </w:rPr>
        <w:t>运营服务系统下发负荷调度指令，并接受</w:t>
      </w:r>
      <w:r>
        <w:rPr>
          <w:rFonts w:ascii="仿宋_GB2312" w:eastAsia="仿宋_GB2312"/>
          <w:sz w:val="32"/>
          <w:szCs w:val="22"/>
          <w:lang w:bidi="ar"/>
        </w:rPr>
        <w:t>充</w:t>
      </w:r>
      <w:r>
        <w:rPr>
          <w:rFonts w:hint="eastAsia" w:ascii="仿宋_GB2312" w:eastAsia="仿宋_GB2312"/>
          <w:sz w:val="32"/>
          <w:szCs w:val="22"/>
          <w:lang w:bidi="ar"/>
        </w:rPr>
        <w:t>放</w:t>
      </w:r>
      <w:r>
        <w:rPr>
          <w:rFonts w:ascii="仿宋_GB2312" w:eastAsia="仿宋_GB2312"/>
          <w:sz w:val="32"/>
          <w:szCs w:val="22"/>
          <w:lang w:bidi="ar"/>
        </w:rPr>
        <w:t>电设施</w:t>
      </w:r>
      <w:r>
        <w:rPr>
          <w:rFonts w:hint="eastAsia" w:ascii="仿宋_GB2312" w:eastAsia="仿宋_GB2312"/>
          <w:sz w:val="32"/>
          <w:szCs w:val="22"/>
          <w:lang w:bidi="ar"/>
        </w:rPr>
        <w:t>运营服务系统上传的响应情况。</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（4）</w:t>
      </w:r>
      <w:r>
        <w:rPr>
          <w:rFonts w:ascii="仿宋_GB2312" w:eastAsia="仿宋_GB2312"/>
          <w:sz w:val="32"/>
          <w:szCs w:val="22"/>
          <w:lang w:bidi="ar"/>
        </w:rPr>
        <w:t>储能</w:t>
      </w:r>
      <w:r>
        <w:rPr>
          <w:rFonts w:hint="eastAsia" w:ascii="仿宋_GB2312" w:eastAsia="仿宋_GB2312"/>
          <w:sz w:val="32"/>
          <w:szCs w:val="22"/>
          <w:lang w:bidi="ar"/>
        </w:rPr>
        <w:t>设施</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储存电网低谷电量或分布式能源发电电量，并在电网尖峰时放电供给电动汽车充电或其他负荷使用。</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（5）</w:t>
      </w:r>
      <w:r>
        <w:rPr>
          <w:rFonts w:ascii="仿宋_GB2312" w:eastAsia="仿宋_GB2312"/>
          <w:sz w:val="32"/>
          <w:szCs w:val="22"/>
          <w:lang w:bidi="ar"/>
        </w:rPr>
        <w:t>分布式</w:t>
      </w:r>
      <w:r>
        <w:rPr>
          <w:rFonts w:hint="eastAsia" w:ascii="仿宋_GB2312" w:eastAsia="仿宋_GB2312"/>
          <w:sz w:val="32"/>
          <w:szCs w:val="22"/>
          <w:lang w:bidi="ar"/>
        </w:rPr>
        <w:t>电</w:t>
      </w:r>
      <w:r>
        <w:rPr>
          <w:rFonts w:ascii="仿宋_GB2312" w:eastAsia="仿宋_GB2312"/>
          <w:sz w:val="32"/>
          <w:szCs w:val="22"/>
          <w:lang w:bidi="ar"/>
        </w:rPr>
        <w:t>源</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将所发电量传输电动汽车、储能设施或并网消纳。</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（6）</w:t>
      </w:r>
      <w:r>
        <w:rPr>
          <w:rFonts w:ascii="仿宋_GB2312" w:eastAsia="仿宋_GB2312"/>
          <w:sz w:val="32"/>
          <w:szCs w:val="22"/>
          <w:lang w:bidi="ar"/>
        </w:rPr>
        <w:t>电动汽车</w:t>
      </w:r>
      <w:r>
        <w:rPr>
          <w:rFonts w:hint="eastAsia" w:ascii="仿宋_GB2312" w:eastAsia="仿宋_GB2312"/>
          <w:sz w:val="32"/>
          <w:szCs w:val="22"/>
          <w:lang w:bidi="ar"/>
        </w:rPr>
        <w:t>用户</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电动汽车用户可根据自身需求自愿选择是否参与充放电双向互动。</w:t>
      </w:r>
    </w:p>
    <w:p>
      <w:pPr>
        <w:spacing w:line="590" w:lineRule="exact"/>
        <w:ind w:firstLine="640" w:firstLineChars="200"/>
        <w:jc w:val="left"/>
        <w:outlineLvl w:val="2"/>
        <w:rPr>
          <w:rFonts w:ascii="仿宋_GB2312" w:eastAsia="仿宋_GB2312"/>
          <w:sz w:val="32"/>
          <w:szCs w:val="22"/>
          <w:lang w:bidi="ar"/>
        </w:rPr>
      </w:pPr>
      <w:bookmarkStart w:id="189" w:name="_Toc535359825"/>
      <w:r>
        <w:rPr>
          <w:rFonts w:hint="eastAsia" w:ascii="仿宋_GB2312" w:eastAsia="仿宋_GB2312"/>
          <w:sz w:val="32"/>
          <w:szCs w:val="22"/>
          <w:lang w:bidi="ar"/>
        </w:rPr>
        <w:t>3.</w:t>
      </w:r>
      <w:r>
        <w:rPr>
          <w:rFonts w:ascii="仿宋_GB2312" w:eastAsia="仿宋_GB2312"/>
          <w:sz w:val="32"/>
          <w:szCs w:val="22"/>
          <w:lang w:bidi="ar"/>
        </w:rPr>
        <w:t>设备及系统要求</w:t>
      </w:r>
      <w:bookmarkEnd w:id="189"/>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w:t>
      </w:r>
      <w:r>
        <w:rPr>
          <w:rFonts w:ascii="仿宋_GB2312" w:eastAsia="仿宋_GB2312"/>
          <w:sz w:val="32"/>
          <w:szCs w:val="22"/>
          <w:lang w:bidi="ar"/>
        </w:rPr>
        <w:t>充放电设施</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a.</w:t>
      </w:r>
      <w:r>
        <w:rPr>
          <w:rFonts w:ascii="仿宋_GB2312" w:eastAsia="仿宋_GB2312"/>
          <w:sz w:val="32"/>
          <w:szCs w:val="22"/>
          <w:lang w:bidi="ar"/>
        </w:rPr>
        <w:t>充电机应具备充放电</w:t>
      </w:r>
      <w:r>
        <w:rPr>
          <w:rFonts w:hint="eastAsia" w:ascii="仿宋_GB2312" w:eastAsia="仿宋_GB2312"/>
          <w:sz w:val="32"/>
          <w:szCs w:val="22"/>
          <w:lang w:bidi="ar"/>
        </w:rPr>
        <w:t>功能、</w:t>
      </w:r>
      <w:r>
        <w:rPr>
          <w:rFonts w:ascii="仿宋_GB2312" w:eastAsia="仿宋_GB2312"/>
          <w:sz w:val="32"/>
          <w:szCs w:val="22"/>
          <w:lang w:bidi="ar"/>
        </w:rPr>
        <w:t>双向计量功能</w:t>
      </w:r>
      <w:r>
        <w:rPr>
          <w:rFonts w:hint="eastAsia" w:ascii="仿宋_GB2312" w:eastAsia="仿宋_GB2312"/>
          <w:sz w:val="32"/>
          <w:szCs w:val="22"/>
          <w:lang w:bidi="ar"/>
        </w:rPr>
        <w:t>、</w:t>
      </w:r>
      <w:r>
        <w:rPr>
          <w:rFonts w:ascii="仿宋_GB2312" w:eastAsia="仿宋_GB2312"/>
          <w:sz w:val="32"/>
          <w:szCs w:val="22"/>
          <w:lang w:bidi="ar"/>
        </w:rPr>
        <w:t>同步并网功能。</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b.</w:t>
      </w:r>
      <w:r>
        <w:rPr>
          <w:rFonts w:ascii="仿宋_GB2312" w:eastAsia="仿宋_GB2312"/>
          <w:sz w:val="32"/>
          <w:szCs w:val="22"/>
          <w:lang w:bidi="ar"/>
        </w:rPr>
        <w:t>充放电设施接入电网方式应符合GB/T 36278-2018相关要求。</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w:t>
      </w:r>
      <w:r>
        <w:rPr>
          <w:rFonts w:ascii="仿宋_GB2312" w:eastAsia="仿宋_GB2312"/>
          <w:sz w:val="32"/>
          <w:szCs w:val="22"/>
          <w:lang w:bidi="ar"/>
        </w:rPr>
        <w:t>电动汽车</w:t>
      </w:r>
    </w:p>
    <w:p>
      <w:pPr>
        <w:spacing w:line="590" w:lineRule="exact"/>
        <w:ind w:firstLine="640" w:firstLineChars="200"/>
        <w:jc w:val="left"/>
        <w:rPr>
          <w:rFonts w:ascii="仿宋_GB2312" w:eastAsia="仿宋_GB2312"/>
          <w:sz w:val="32"/>
          <w:szCs w:val="22"/>
          <w:lang w:bidi="ar"/>
        </w:rPr>
      </w:pPr>
      <w:r>
        <w:rPr>
          <w:rFonts w:ascii="仿宋_GB2312" w:eastAsia="仿宋_GB2312"/>
          <w:sz w:val="32"/>
          <w:szCs w:val="22"/>
          <w:lang w:bidi="ar"/>
        </w:rPr>
        <w:t>电动汽车应具备双向充放电功能。</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（3）</w:t>
      </w:r>
      <w:r>
        <w:rPr>
          <w:rFonts w:ascii="仿宋_GB2312" w:eastAsia="仿宋_GB2312"/>
          <w:sz w:val="32"/>
          <w:szCs w:val="22"/>
          <w:lang w:bidi="ar"/>
        </w:rPr>
        <w:t>充放电双向互动系统</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a.</w:t>
      </w:r>
      <w:r>
        <w:rPr>
          <w:rFonts w:ascii="仿宋_GB2312" w:eastAsia="仿宋_GB2312"/>
          <w:sz w:val="32"/>
          <w:szCs w:val="22"/>
          <w:lang w:bidi="ar"/>
        </w:rPr>
        <w:t>充放电双向互动系统根据应用场景不同，可分为公司或个人充放电双向互动系统两种。</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b.</w:t>
      </w:r>
      <w:r>
        <w:rPr>
          <w:rFonts w:ascii="仿宋_GB2312" w:eastAsia="仿宋_GB2312"/>
          <w:sz w:val="32"/>
          <w:szCs w:val="22"/>
          <w:lang w:bidi="ar"/>
        </w:rPr>
        <w:t>充放电双向互动系统包括充</w:t>
      </w:r>
      <w:r>
        <w:rPr>
          <w:rFonts w:hint="eastAsia" w:ascii="仿宋_GB2312" w:eastAsia="仿宋_GB2312"/>
          <w:sz w:val="32"/>
          <w:szCs w:val="22"/>
          <w:lang w:bidi="ar"/>
        </w:rPr>
        <w:t>放</w:t>
      </w:r>
      <w:r>
        <w:rPr>
          <w:rFonts w:ascii="仿宋_GB2312" w:eastAsia="仿宋_GB2312"/>
          <w:sz w:val="32"/>
          <w:szCs w:val="22"/>
          <w:lang w:bidi="ar"/>
        </w:rPr>
        <w:t>电设施</w:t>
      </w:r>
      <w:r>
        <w:rPr>
          <w:rFonts w:hint="eastAsia" w:ascii="仿宋_GB2312" w:eastAsia="仿宋_GB2312"/>
          <w:sz w:val="32"/>
          <w:szCs w:val="22"/>
          <w:lang w:bidi="ar"/>
        </w:rPr>
        <w:t>运营服务系统</w:t>
      </w:r>
      <w:r>
        <w:rPr>
          <w:rFonts w:ascii="仿宋_GB2312" w:eastAsia="仿宋_GB2312"/>
          <w:sz w:val="32"/>
          <w:szCs w:val="22"/>
          <w:lang w:bidi="ar"/>
        </w:rPr>
        <w:t>和充放电</w:t>
      </w:r>
      <w:r>
        <w:rPr>
          <w:rFonts w:hint="eastAsia" w:ascii="仿宋_GB2312" w:eastAsia="仿宋_GB2312"/>
          <w:sz w:val="32"/>
          <w:szCs w:val="22"/>
          <w:lang w:bidi="ar"/>
        </w:rPr>
        <w:t>控制单元</w:t>
      </w:r>
      <w:r>
        <w:rPr>
          <w:rFonts w:ascii="仿宋_GB2312" w:eastAsia="仿宋_GB2312"/>
          <w:sz w:val="32"/>
          <w:szCs w:val="22"/>
          <w:lang w:bidi="ar"/>
        </w:rPr>
        <w:t>。</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c.</w:t>
      </w:r>
      <w:r>
        <w:rPr>
          <w:rFonts w:ascii="仿宋_GB2312" w:eastAsia="仿宋_GB2312"/>
          <w:sz w:val="32"/>
          <w:szCs w:val="22"/>
          <w:lang w:bidi="ar"/>
        </w:rPr>
        <w:t>充</w:t>
      </w:r>
      <w:r>
        <w:rPr>
          <w:rFonts w:hint="eastAsia" w:ascii="仿宋_GB2312" w:eastAsia="仿宋_GB2312"/>
          <w:sz w:val="32"/>
          <w:szCs w:val="22"/>
          <w:lang w:bidi="ar"/>
        </w:rPr>
        <w:t>放</w:t>
      </w:r>
      <w:r>
        <w:rPr>
          <w:rFonts w:ascii="仿宋_GB2312" w:eastAsia="仿宋_GB2312"/>
          <w:sz w:val="32"/>
          <w:szCs w:val="22"/>
          <w:lang w:bidi="ar"/>
        </w:rPr>
        <w:t>电设施</w:t>
      </w:r>
      <w:r>
        <w:rPr>
          <w:rFonts w:hint="eastAsia" w:ascii="仿宋_GB2312" w:eastAsia="仿宋_GB2312"/>
          <w:sz w:val="32"/>
          <w:szCs w:val="22"/>
          <w:lang w:bidi="ar"/>
        </w:rPr>
        <w:t>运营服务系统</w:t>
      </w:r>
      <w:r>
        <w:rPr>
          <w:rFonts w:ascii="仿宋_GB2312" w:eastAsia="仿宋_GB2312"/>
          <w:sz w:val="32"/>
          <w:szCs w:val="22"/>
          <w:lang w:bidi="ar"/>
        </w:rPr>
        <w:t>应具备接受电网调度系统、电力需求响应系统及充电运营系统调度指令功能。</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d.充放电控制单元</w:t>
      </w:r>
      <w:r>
        <w:rPr>
          <w:rFonts w:ascii="仿宋_GB2312" w:eastAsia="仿宋_GB2312"/>
          <w:sz w:val="32"/>
          <w:szCs w:val="22"/>
          <w:lang w:bidi="ar"/>
        </w:rPr>
        <w:t>应具备接受车网互动管理系统调度指令功能，并将设备响应情况上传至</w:t>
      </w:r>
      <w:r>
        <w:rPr>
          <w:rFonts w:hint="eastAsia" w:ascii="仿宋_GB2312" w:eastAsia="仿宋_GB2312"/>
          <w:sz w:val="32"/>
          <w:szCs w:val="22"/>
          <w:lang w:bidi="ar"/>
        </w:rPr>
        <w:t>充放电运营</w:t>
      </w:r>
      <w:r>
        <w:rPr>
          <w:rFonts w:ascii="仿宋_GB2312" w:eastAsia="仿宋_GB2312"/>
          <w:sz w:val="32"/>
          <w:szCs w:val="22"/>
          <w:lang w:bidi="ar"/>
        </w:rPr>
        <w:t>管理系统。</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e.</w:t>
      </w:r>
      <w:r>
        <w:rPr>
          <w:rFonts w:ascii="仿宋_GB2312" w:eastAsia="仿宋_GB2312"/>
          <w:sz w:val="32"/>
          <w:szCs w:val="22"/>
          <w:lang w:bidi="ar"/>
        </w:rPr>
        <w:t>充放电</w:t>
      </w:r>
      <w:r>
        <w:rPr>
          <w:rFonts w:hint="eastAsia" w:ascii="仿宋_GB2312" w:eastAsia="仿宋_GB2312"/>
          <w:sz w:val="32"/>
          <w:szCs w:val="22"/>
          <w:lang w:bidi="ar"/>
        </w:rPr>
        <w:t>控制单元</w:t>
      </w:r>
      <w:r>
        <w:rPr>
          <w:rFonts w:ascii="仿宋_GB2312" w:eastAsia="仿宋_GB2312"/>
          <w:sz w:val="32"/>
          <w:szCs w:val="22"/>
          <w:lang w:bidi="ar"/>
        </w:rPr>
        <w:t>应按照分层分区方式进行部署，具备</w:t>
      </w:r>
      <w:r>
        <w:rPr>
          <w:rFonts w:hint="eastAsia" w:ascii="仿宋_GB2312" w:eastAsia="仿宋_GB2312"/>
          <w:sz w:val="32"/>
          <w:szCs w:val="22"/>
          <w:lang w:bidi="ar"/>
        </w:rPr>
        <w:t>区域内</w:t>
      </w:r>
      <w:r>
        <w:rPr>
          <w:rFonts w:ascii="仿宋_GB2312" w:eastAsia="仿宋_GB2312"/>
          <w:sz w:val="32"/>
          <w:szCs w:val="22"/>
          <w:lang w:bidi="ar"/>
        </w:rPr>
        <w:t>负荷状态监视及预测功能。</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（4）</w:t>
      </w:r>
      <w:r>
        <w:rPr>
          <w:rFonts w:ascii="仿宋_GB2312" w:eastAsia="仿宋_GB2312"/>
          <w:sz w:val="32"/>
          <w:szCs w:val="22"/>
          <w:lang w:bidi="ar"/>
        </w:rPr>
        <w:t>电网调度系统</w:t>
      </w:r>
    </w:p>
    <w:p>
      <w:pPr>
        <w:spacing w:line="590" w:lineRule="exact"/>
        <w:ind w:firstLine="640" w:firstLineChars="200"/>
        <w:jc w:val="left"/>
        <w:rPr>
          <w:rFonts w:ascii="仿宋_GB2312" w:eastAsia="仿宋_GB2312"/>
          <w:sz w:val="32"/>
          <w:szCs w:val="22"/>
          <w:lang w:bidi="ar"/>
        </w:rPr>
      </w:pPr>
      <w:r>
        <w:rPr>
          <w:rFonts w:ascii="仿宋_GB2312" w:eastAsia="仿宋_GB2312"/>
          <w:sz w:val="32"/>
          <w:szCs w:val="22"/>
          <w:lang w:bidi="ar"/>
        </w:rPr>
        <w:t>电网调度系统应预留与车网互动管理系统的数据对接功能，并具备向车网互动管理系统下发调度指令功能。</w:t>
      </w:r>
    </w:p>
    <w:p>
      <w:pPr>
        <w:pStyle w:val="3"/>
        <w:spacing w:before="0" w:after="0" w:line="590" w:lineRule="exact"/>
        <w:ind w:firstLine="640" w:firstLineChars="200"/>
        <w:jc w:val="left"/>
        <w:rPr>
          <w:rFonts w:ascii="Times New Roman" w:hAnsi="Times New Roman" w:eastAsia="楷体_GB2312"/>
          <w:b w:val="0"/>
          <w:bCs w:val="0"/>
          <w:lang w:bidi="ar"/>
        </w:rPr>
      </w:pPr>
      <w:bookmarkStart w:id="190" w:name="_Toc78835206"/>
      <w:bookmarkStart w:id="191" w:name="_Toc78835302"/>
      <w:bookmarkStart w:id="192" w:name="_Toc4080"/>
      <w:r>
        <w:rPr>
          <w:rFonts w:hint="eastAsia" w:ascii="Times New Roman" w:hAnsi="Times New Roman" w:eastAsia="楷体_GB2312"/>
          <w:b w:val="0"/>
          <w:bCs w:val="0"/>
          <w:lang w:bidi="ar"/>
        </w:rPr>
        <w:t>（九）站网互动（S</w:t>
      </w:r>
      <w:r>
        <w:rPr>
          <w:rFonts w:ascii="Times New Roman" w:hAnsi="Times New Roman" w:eastAsia="楷体_GB2312"/>
          <w:b w:val="0"/>
          <w:bCs w:val="0"/>
          <w:lang w:bidi="ar"/>
        </w:rPr>
        <w:t>2</w:t>
      </w:r>
      <w:r>
        <w:rPr>
          <w:rFonts w:hint="eastAsia" w:ascii="Times New Roman" w:hAnsi="Times New Roman" w:eastAsia="楷体_GB2312"/>
          <w:b w:val="0"/>
          <w:bCs w:val="0"/>
          <w:lang w:bidi="ar"/>
        </w:rPr>
        <w:t>G）</w:t>
      </w:r>
      <w:bookmarkEnd w:id="190"/>
      <w:bookmarkEnd w:id="191"/>
      <w:bookmarkEnd w:id="192"/>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1.站网互动的功能</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以站控级能源管理系统（</w:t>
      </w:r>
      <w:r>
        <w:rPr>
          <w:rFonts w:eastAsia="仿宋_GB2312"/>
          <w:sz w:val="32"/>
          <w:szCs w:val="22"/>
          <w:lang w:bidi="ar"/>
        </w:rPr>
        <w:t>SEMS</w:t>
      </w:r>
      <w:r>
        <w:rPr>
          <w:rFonts w:hint="eastAsia" w:ascii="仿宋_GB2312" w:eastAsia="仿宋_GB2312"/>
          <w:sz w:val="32"/>
          <w:szCs w:val="22"/>
          <w:lang w:bidi="ar"/>
        </w:rPr>
        <w:t>）为核心，以</w:t>
      </w:r>
      <w:r>
        <w:rPr>
          <w:rFonts w:eastAsia="仿宋_GB2312"/>
          <w:sz w:val="32"/>
          <w:szCs w:val="22"/>
          <w:lang w:bidi="ar"/>
        </w:rPr>
        <w:t>S2G</w:t>
      </w:r>
      <w:r>
        <w:rPr>
          <w:rFonts w:hint="eastAsia" w:ascii="仿宋_GB2312" w:eastAsia="仿宋_GB2312"/>
          <w:sz w:val="32"/>
          <w:szCs w:val="22"/>
          <w:lang w:bidi="ar"/>
        </w:rPr>
        <w:t>充电机、矩阵式直流母线、高倍率放电储能等技术为主要手段，构建电动汽车站网互动充电站。在电动汽车大规模应用的情况下，可大幅度降低配电网建设容量，解决随机性充电对电网产生的冲击，实现充电负荷的就地平滑，满足不同时段、不同功率的充电需求。</w:t>
      </w:r>
    </w:p>
    <w:p>
      <w:pPr>
        <w:spacing w:line="590" w:lineRule="exact"/>
        <w:ind w:firstLine="640" w:firstLineChars="200"/>
        <w:jc w:val="left"/>
        <w:outlineLvl w:val="2"/>
        <w:rPr>
          <w:rFonts w:ascii="仿宋_GB2312" w:eastAsia="仿宋_GB2312"/>
          <w:sz w:val="32"/>
          <w:szCs w:val="22"/>
          <w:lang w:bidi="ar"/>
        </w:rPr>
      </w:pPr>
      <w:bookmarkStart w:id="193" w:name="_Toc18937"/>
      <w:r>
        <w:rPr>
          <w:rFonts w:hint="eastAsia" w:ascii="仿宋_GB2312" w:eastAsia="仿宋_GB2312"/>
          <w:sz w:val="32"/>
          <w:szCs w:val="22"/>
          <w:lang w:bidi="ar"/>
        </w:rPr>
        <w:t>2.技术要求</w:t>
      </w:r>
      <w:bookmarkEnd w:id="193"/>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（1）充电站功率动态分配</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充电站具有功率动态分配功能。站控级能源管理系统能基于电动汽车</w:t>
      </w:r>
      <w:r>
        <w:rPr>
          <w:rFonts w:eastAsia="仿宋_GB2312"/>
          <w:sz w:val="32"/>
          <w:szCs w:val="22"/>
          <w:lang w:bidi="ar"/>
        </w:rPr>
        <w:t>SOC</w:t>
      </w:r>
      <w:r>
        <w:rPr>
          <w:rFonts w:hint="eastAsia" w:ascii="仿宋_GB2312" w:eastAsia="仿宋_GB2312"/>
          <w:sz w:val="32"/>
          <w:szCs w:val="22"/>
          <w:lang w:bidi="ar"/>
        </w:rPr>
        <w:t>、变压器实时负载、储能设备</w:t>
      </w:r>
      <w:r>
        <w:rPr>
          <w:rFonts w:eastAsia="仿宋_GB2312"/>
          <w:sz w:val="32"/>
          <w:szCs w:val="22"/>
          <w:lang w:bidi="ar"/>
        </w:rPr>
        <w:t>SOC</w:t>
      </w:r>
      <w:r>
        <w:rPr>
          <w:rFonts w:hint="eastAsia" w:ascii="仿宋_GB2312" w:eastAsia="仿宋_GB2312"/>
          <w:sz w:val="32"/>
          <w:szCs w:val="22"/>
          <w:lang w:bidi="ar"/>
        </w:rPr>
        <w:t>等因素，对每个充电车位的功率进行灵活柔性的分配。</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（2）充电负荷的就地平滑</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通过对储能系统的调控，平滑充电站内的突增负荷，从而减少无序充电负荷对电网的冲击。</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（3）空载率优化</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站控级能源管理系统能对充电设施的空载率进行优化，可减少充电设施空载和低负载的运行时间，降低充电设施的待机功耗。</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（4）自适应保护</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当充电站内</w:t>
      </w:r>
      <w:r>
        <w:rPr>
          <w:rFonts w:eastAsia="仿宋_GB2312"/>
          <w:sz w:val="32"/>
          <w:szCs w:val="22"/>
          <w:lang w:bidi="ar"/>
        </w:rPr>
        <w:t>S2G</w:t>
      </w:r>
      <w:r>
        <w:rPr>
          <w:rFonts w:hint="eastAsia" w:ascii="仿宋_GB2312" w:eastAsia="仿宋_GB2312"/>
          <w:sz w:val="32"/>
          <w:szCs w:val="22"/>
          <w:lang w:bidi="ar"/>
        </w:rPr>
        <w:t>充电机无法获取站控级能源管理系统控制指令时，自动进入自适应保护模式，充电站内所有充电设施输出总功率，不超过充电设施所接入变压器容量的80%。</w:t>
      </w:r>
    </w:p>
    <w:p>
      <w:pPr>
        <w:spacing w:line="590" w:lineRule="exact"/>
        <w:ind w:firstLine="640" w:firstLineChars="200"/>
        <w:jc w:val="left"/>
        <w:outlineLvl w:val="2"/>
        <w:rPr>
          <w:rFonts w:ascii="仿宋_GB2312" w:eastAsia="仿宋_GB2312"/>
          <w:sz w:val="32"/>
          <w:szCs w:val="22"/>
          <w:lang w:bidi="ar"/>
        </w:rPr>
      </w:pPr>
      <w:bookmarkStart w:id="194" w:name="_Toc10148"/>
      <w:r>
        <w:rPr>
          <w:rFonts w:hint="eastAsia" w:ascii="仿宋_GB2312" w:eastAsia="仿宋_GB2312"/>
          <w:sz w:val="32"/>
          <w:szCs w:val="22"/>
          <w:lang w:bidi="ar"/>
        </w:rPr>
        <w:t>3.安全要求</w:t>
      </w:r>
      <w:bookmarkEnd w:id="194"/>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（1）导电部分的设计应同步考虑25%的冗余设计，以确保系统的安全性。</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（2）电气隔离与绝缘保护：模块内部设计、端子设计与电池架设计，同步考虑</w:t>
      </w:r>
      <w:r>
        <w:rPr>
          <w:rFonts w:eastAsia="仿宋_GB2312"/>
          <w:sz w:val="32"/>
          <w:szCs w:val="22"/>
          <w:lang w:bidi="ar"/>
        </w:rPr>
        <w:t>BMS</w:t>
      </w:r>
      <w:r>
        <w:rPr>
          <w:rFonts w:hint="eastAsia" w:ascii="仿宋_GB2312" w:eastAsia="仿宋_GB2312"/>
          <w:sz w:val="32"/>
          <w:szCs w:val="22"/>
          <w:lang w:bidi="ar"/>
        </w:rPr>
        <w:t>功率选择。</w:t>
      </w:r>
    </w:p>
    <w:p>
      <w:pPr>
        <w:pStyle w:val="2"/>
        <w:tabs>
          <w:tab w:val="clear" w:pos="0"/>
        </w:tabs>
        <w:spacing w:line="590" w:lineRule="exact"/>
        <w:ind w:firstLine="640" w:firstLineChars="200"/>
        <w:jc w:val="left"/>
        <w:rPr>
          <w:rFonts w:ascii="Times New Roman"/>
          <w:b w:val="0"/>
          <w:bCs w:val="0"/>
          <w:sz w:val="32"/>
          <w:lang w:bidi="ar"/>
        </w:rPr>
      </w:pPr>
      <w:bookmarkStart w:id="195" w:name="_Toc78835303"/>
      <w:bookmarkStart w:id="196" w:name="_Toc3838"/>
      <w:bookmarkStart w:id="197" w:name="_Toc78835207"/>
      <w:bookmarkStart w:id="198" w:name="_Toc101236538"/>
      <w:bookmarkStart w:id="199" w:name="_Toc101238652"/>
      <w:bookmarkStart w:id="200" w:name="_Toc101236412"/>
      <w:bookmarkStart w:id="201" w:name="_Toc101236661"/>
      <w:r>
        <w:rPr>
          <w:rFonts w:hint="eastAsia" w:ascii="Times New Roman"/>
          <w:b w:val="0"/>
          <w:bCs w:val="0"/>
          <w:sz w:val="32"/>
          <w:lang w:bidi="ar"/>
        </w:rPr>
        <w:t>五、居民区“统建统营”技术要求</w:t>
      </w:r>
      <w:bookmarkEnd w:id="195"/>
      <w:bookmarkEnd w:id="196"/>
      <w:bookmarkEnd w:id="197"/>
    </w:p>
    <w:p>
      <w:pPr>
        <w:pStyle w:val="3"/>
        <w:spacing w:before="0" w:after="0" w:line="590" w:lineRule="exact"/>
        <w:ind w:firstLine="640" w:firstLineChars="200"/>
        <w:jc w:val="left"/>
        <w:rPr>
          <w:rFonts w:ascii="Times New Roman" w:hAnsi="Times New Roman" w:eastAsia="楷体_GB2312"/>
          <w:b w:val="0"/>
          <w:bCs w:val="0"/>
          <w:lang w:bidi="ar"/>
        </w:rPr>
      </w:pPr>
      <w:bookmarkStart w:id="202" w:name="_Toc7222"/>
      <w:bookmarkStart w:id="203" w:name="_Toc78835304"/>
      <w:bookmarkStart w:id="204" w:name="_Toc78835208"/>
      <w:r>
        <w:rPr>
          <w:rFonts w:hint="eastAsia" w:ascii="Times New Roman" w:hAnsi="Times New Roman" w:eastAsia="楷体_GB2312"/>
          <w:b w:val="0"/>
          <w:bCs w:val="0"/>
          <w:lang w:bidi="ar"/>
        </w:rPr>
        <w:t>（一）配套建设要求</w:t>
      </w:r>
      <w:bookmarkEnd w:id="202"/>
      <w:bookmarkEnd w:id="203"/>
      <w:bookmarkEnd w:id="204"/>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新建居民区配套建设公共充电设施应采用“统建统营”模式，老旧居民区配套建设公共充电设施视场地条件宜采用“统建统营”模式，由居民个人或业委会提出需求，从充电设施申请、建设、运营、管理，到安全、消防等全部交由运营商承担。</w:t>
      </w:r>
    </w:p>
    <w:bookmarkEnd w:id="198"/>
    <w:bookmarkEnd w:id="199"/>
    <w:bookmarkEnd w:id="200"/>
    <w:bookmarkEnd w:id="201"/>
    <w:p>
      <w:pPr>
        <w:pStyle w:val="3"/>
        <w:spacing w:before="0" w:after="0" w:line="590" w:lineRule="exact"/>
        <w:ind w:firstLine="640" w:firstLineChars="200"/>
        <w:jc w:val="left"/>
        <w:rPr>
          <w:rFonts w:ascii="Times New Roman" w:hAnsi="Times New Roman" w:eastAsia="楷体_GB2312"/>
          <w:b w:val="0"/>
          <w:bCs w:val="0"/>
          <w:lang w:bidi="ar"/>
        </w:rPr>
      </w:pPr>
      <w:bookmarkStart w:id="205" w:name="_Toc78835305"/>
      <w:bookmarkStart w:id="206" w:name="_Toc478584427"/>
      <w:bookmarkStart w:id="207" w:name="_Toc25940"/>
      <w:bookmarkStart w:id="208" w:name="_Toc78835209"/>
      <w:r>
        <w:rPr>
          <w:rFonts w:hint="eastAsia" w:ascii="Times New Roman" w:hAnsi="Times New Roman" w:eastAsia="楷体_GB2312"/>
          <w:b w:val="0"/>
          <w:bCs w:val="0"/>
          <w:lang w:bidi="ar"/>
        </w:rPr>
        <w:t>（二）技术要求</w:t>
      </w:r>
      <w:bookmarkEnd w:id="205"/>
      <w:bookmarkEnd w:id="206"/>
      <w:bookmarkEnd w:id="207"/>
      <w:bookmarkEnd w:id="208"/>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采用“统建统营”模式配建的充电设施应具备负荷响应调控、预约充电等功能，供电企业应配合运营商实现负荷响应调控功能，以满足新旧居民区电力负荷约束及智慧充电要求。</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1.负荷响应调控功能</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充电系统应可以</w:t>
      </w:r>
      <w:r>
        <w:rPr>
          <w:rFonts w:ascii="仿宋_GB2312" w:eastAsia="仿宋_GB2312"/>
          <w:sz w:val="32"/>
          <w:szCs w:val="22"/>
          <w:lang w:bidi="ar"/>
        </w:rPr>
        <w:t>与电网进行信息交互</w:t>
      </w:r>
      <w:r>
        <w:rPr>
          <w:rFonts w:hint="eastAsia" w:ascii="仿宋_GB2312" w:eastAsia="仿宋_GB2312"/>
          <w:sz w:val="32"/>
          <w:szCs w:val="22"/>
          <w:lang w:bidi="ar"/>
        </w:rPr>
        <w:t>，通过分析负荷情况和用户要求制定充电策略，在计划时间点按指令自动触发启停控制或功率调节命令，同时向运营商平台上传充电桩充电状态信息。</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2.预约充电功能</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充电系统应具备预约充电功能，并能按需设定充电的启停时间。达到预约时刻后，能根据用户的需求或者运营商平台下发策略启动充电并调整功率；到达预约设定的结束时刻或状态后，应能立刻结束充电。</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3.远程设置和查询功能</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充电系统的相关参数应具备远程设置和查询功能，包括但不限于设备信息、状态信息、充电参数、通信地址。</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4.安全预警与故障上报功能</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非车载充电机应具有消防安全预警功能，能够对设备故障进行智能预警。充电系统应能上报输入/输出故障、通信故障、开关器件故障、保护接地连续性丢失、急停故障、温度故障、功率控制失败故障等。</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5.车辆电池安全监控及信息上报功能</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充电系统应能在充电过程中获取电池数据，并对电池进行安全监控和评估，充电系统应具备车桩通讯的功能，应向运营商平台传输但不限于车辆电池的</w:t>
      </w:r>
      <w:r>
        <w:rPr>
          <w:rFonts w:eastAsia="仿宋_GB2312"/>
          <w:sz w:val="32"/>
          <w:szCs w:val="22"/>
          <w:lang w:bidi="ar"/>
        </w:rPr>
        <w:t>SOC</w:t>
      </w:r>
      <w:r>
        <w:rPr>
          <w:rFonts w:hint="eastAsia" w:ascii="仿宋_GB2312" w:eastAsia="仿宋_GB2312"/>
          <w:sz w:val="32"/>
          <w:szCs w:val="22"/>
          <w:lang w:bidi="ar"/>
        </w:rPr>
        <w:t>、电池电压、电流、温度等信息，并保存至平台供查询，当出现异常时能够终止充电并推送预警信息。</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6.</w:t>
      </w:r>
      <w:r>
        <w:rPr>
          <w:rFonts w:ascii="仿宋_GB2312" w:eastAsia="仿宋_GB2312"/>
          <w:sz w:val="32"/>
          <w:szCs w:val="22"/>
          <w:lang w:bidi="ar"/>
        </w:rPr>
        <w:t>居民区的充电系统应有良好的防火、防触电性能。充电系统的主要元器件应能提供阻燃性能证明，电气设计应防止他人触及裸露带电体，安全设计应保证在单一故障下设备依然是安全的。</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7.</w:t>
      </w:r>
      <w:r>
        <w:rPr>
          <w:rFonts w:ascii="仿宋_GB2312" w:eastAsia="仿宋_GB2312"/>
          <w:sz w:val="32"/>
          <w:szCs w:val="22"/>
          <w:lang w:bidi="ar"/>
        </w:rPr>
        <w:t>居民区地下停车位宜采用20kW及以下充电桩，居民区内地上公共停车位可根据运营需求建设直流快充电桩。</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8.居民区地下停车场所安装的充电桩功率部分宜集中放置，与车辆交互的接口应根据现场的情况设计有落地、壁挂、吊顶等合理的安装方案。</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9.居民区充电设施的噪音应从声源上进行控制，宜优先选用低噪声设备。</w:t>
      </w:r>
    </w:p>
    <w:p>
      <w:pPr>
        <w:pStyle w:val="3"/>
        <w:spacing w:before="0" w:after="0" w:line="590" w:lineRule="exact"/>
        <w:ind w:firstLine="640" w:firstLineChars="200"/>
        <w:jc w:val="left"/>
        <w:rPr>
          <w:rFonts w:ascii="Times New Roman" w:hAnsi="Times New Roman" w:eastAsia="楷体_GB2312"/>
          <w:b w:val="0"/>
          <w:bCs w:val="0"/>
          <w:lang w:bidi="ar"/>
        </w:rPr>
      </w:pPr>
      <w:bookmarkStart w:id="209" w:name="_Toc18391"/>
      <w:bookmarkStart w:id="210" w:name="_Toc78835306"/>
      <w:bookmarkStart w:id="211" w:name="_Toc78835210"/>
      <w:r>
        <w:rPr>
          <w:rFonts w:hint="eastAsia" w:ascii="Times New Roman" w:hAnsi="Times New Roman" w:eastAsia="楷体_GB2312"/>
          <w:b w:val="0"/>
          <w:bCs w:val="0"/>
          <w:lang w:bidi="ar"/>
        </w:rPr>
        <w:t>（三）建设安装要求</w:t>
      </w:r>
      <w:bookmarkEnd w:id="209"/>
      <w:bookmarkEnd w:id="210"/>
      <w:bookmarkEnd w:id="211"/>
      <w:r>
        <w:rPr>
          <w:rFonts w:hint="eastAsia" w:ascii="Times New Roman" w:hAnsi="Times New Roman" w:eastAsia="楷体_GB2312"/>
          <w:b w:val="0"/>
          <w:bCs w:val="0"/>
          <w:lang w:bidi="ar"/>
        </w:rPr>
        <w:t xml:space="preserve"> </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1.充电系统施工单位应具备相应的电力设施施工资质，施工人员应具备特种作业操作证（高压电工作业），同时具备相关的充电桩安装施工经验。建设单位必须遵守国家和地方政府的相关法律法规，在配电变压器侧作业的建设单位应具备承装修试许可证。</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2.充电系统的布置及安装应满足通风、防火、防涝和便于消防救援等安全要求，地下车库安装的充电设施不宜跨越防火分区。</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3.居民区内的消防设施应按照现行国家标准《电动汽车分散充电设施工程技术标准》GB/T 51313-</w:t>
      </w:r>
      <w:r>
        <w:rPr>
          <w:rFonts w:ascii="仿宋_GB2312" w:eastAsia="仿宋_GB2312"/>
          <w:sz w:val="32"/>
          <w:szCs w:val="22"/>
          <w:lang w:bidi="ar"/>
        </w:rPr>
        <w:t>2018</w:t>
      </w:r>
      <w:r>
        <w:rPr>
          <w:rFonts w:hint="eastAsia" w:ascii="仿宋_GB2312" w:eastAsia="仿宋_GB2312"/>
          <w:sz w:val="32"/>
          <w:szCs w:val="22"/>
          <w:lang w:bidi="ar"/>
        </w:rPr>
        <w:t>中的相关要求进行建设。</w:t>
      </w:r>
    </w:p>
    <w:p>
      <w:pPr>
        <w:pStyle w:val="3"/>
        <w:spacing w:before="0" w:after="0" w:line="590" w:lineRule="exact"/>
        <w:ind w:firstLine="640" w:firstLineChars="200"/>
        <w:jc w:val="left"/>
        <w:rPr>
          <w:rFonts w:ascii="Times New Roman" w:hAnsi="Times New Roman" w:eastAsia="楷体_GB2312"/>
          <w:b w:val="0"/>
          <w:bCs w:val="0"/>
          <w:lang w:bidi="ar"/>
        </w:rPr>
      </w:pPr>
      <w:bookmarkStart w:id="212" w:name="_Toc30248"/>
      <w:bookmarkStart w:id="213" w:name="_Toc78835307"/>
      <w:bookmarkStart w:id="214" w:name="_Toc78835211"/>
      <w:r>
        <w:rPr>
          <w:rFonts w:hint="eastAsia" w:ascii="Times New Roman" w:hAnsi="Times New Roman" w:eastAsia="楷体_GB2312"/>
          <w:b w:val="0"/>
          <w:bCs w:val="0"/>
          <w:lang w:bidi="ar"/>
        </w:rPr>
        <w:t>（四）</w:t>
      </w:r>
      <w:r>
        <w:rPr>
          <w:rFonts w:ascii="Times New Roman" w:hAnsi="Times New Roman" w:eastAsia="楷体_GB2312"/>
          <w:b w:val="0"/>
          <w:bCs w:val="0"/>
          <w:lang w:bidi="ar"/>
        </w:rPr>
        <w:t>运维要求</w:t>
      </w:r>
      <w:bookmarkEnd w:id="212"/>
      <w:bookmarkEnd w:id="213"/>
      <w:bookmarkEnd w:id="214"/>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1.充电运营商应建立完善的运维服务管理体系，且具备运维服务质量保证的能力。</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2.充电运营商运维服务团队应具备完善管理制度，包含但不限于组织架构、岗位职责、工作要求等。</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3.充电运营商运维服务团队应制定合理的运维计划，并严格落实，并定期进行分析和改进。</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4.充电运营商运维服务团队运维作业应严格按照电力相关操作规程、充电设施作业指导书等执行，严禁违章作业。</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5.充电运营商应具备成熟、稳定运行运维管理系统，通过信息化的手段辅助运维服务团队完成运维作业，方便监督和管理。</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6.充电运营商运维服务团队应建立评价机制，不断进行运维服务改善。</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7.充电运营商运维服务团队服务人员应按照充电基础设施产品手册进行定期保养与例行检查，保持其安全、清洁、完好，并做好相关检查保养记录。</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8.充电运营商运维服务团队服务人员应定期对充电系统的软件进行调试、测试、升级，保证充电系统平稳运行。</w:t>
      </w:r>
    </w:p>
    <w:p>
      <w:pPr>
        <w:pStyle w:val="3"/>
        <w:spacing w:before="0" w:after="0" w:line="590" w:lineRule="exact"/>
        <w:ind w:firstLine="640" w:firstLineChars="200"/>
        <w:jc w:val="left"/>
        <w:rPr>
          <w:rFonts w:ascii="Times New Roman" w:hAnsi="Times New Roman" w:eastAsia="楷体_GB2312"/>
          <w:b w:val="0"/>
          <w:bCs w:val="0"/>
          <w:lang w:bidi="ar"/>
        </w:rPr>
      </w:pPr>
      <w:bookmarkStart w:id="215" w:name="_Toc78835212"/>
      <w:bookmarkStart w:id="216" w:name="_Toc31578"/>
      <w:bookmarkStart w:id="217" w:name="_Toc78835308"/>
      <w:r>
        <w:rPr>
          <w:rFonts w:hint="eastAsia" w:ascii="Times New Roman" w:hAnsi="Times New Roman" w:eastAsia="楷体_GB2312"/>
          <w:b w:val="0"/>
          <w:bCs w:val="0"/>
          <w:lang w:bidi="ar"/>
        </w:rPr>
        <w:t>（五）安全要求</w:t>
      </w:r>
      <w:bookmarkEnd w:id="215"/>
      <w:bookmarkEnd w:id="216"/>
      <w:bookmarkEnd w:id="217"/>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1.充电运营商应设置安全管理组织机构，并配备专职或兼职的安全员，要建立安全管理制度和应急预案，建设安全应急保障体系。</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2.充电运营商对充电系统安全管理负主体责任。要落实、贯彻安全工作的相关规定及要求，组织开展充电系统安全实施工作。</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3.充电运营商运维服务团队应按充电系统技术规范等规定要求对充电设施进行定期维护。</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4.充电系统在使用期间的检修、测试及维修应由专业的运维服务人员进行，设备维修前应切断电源。</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 xml:space="preserve">5.充电运营商运维服务团队应制定工器具、备品备件管理措施，明确台账管理、日常保管、定期维护送检及领用使用等相关流程。 </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6.充电运营商应定期进行消防安全检查，消防设施和监控器材应由专人定期进行维护与保养，灭火和监控系统应处于完好状态。</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7.充电运营商应定期进行消防培训和应急演练，全体人员应掌握消防知识，熟知消防器材的位置、性能和使用方法。</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8.充电设备所在地各紧急出口通道应保持畅通。发生火灾时，应能及时采取有效的处置措施，及时疏散人员，并报告有关部门。</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9.地下停车场所安装的充电设备应具备消防报警联动功能。</w:t>
      </w:r>
    </w:p>
    <w:p>
      <w:pPr>
        <w:pStyle w:val="2"/>
        <w:tabs>
          <w:tab w:val="clear" w:pos="0"/>
        </w:tabs>
        <w:spacing w:line="590" w:lineRule="exact"/>
        <w:ind w:firstLine="640" w:firstLineChars="200"/>
        <w:jc w:val="left"/>
        <w:rPr>
          <w:rFonts w:ascii="Times New Roman"/>
          <w:b w:val="0"/>
          <w:bCs w:val="0"/>
          <w:sz w:val="32"/>
          <w:lang w:bidi="ar"/>
        </w:rPr>
      </w:pPr>
      <w:bookmarkStart w:id="218" w:name="_Toc17987"/>
      <w:bookmarkStart w:id="219" w:name="_Toc78835213"/>
      <w:bookmarkStart w:id="220" w:name="_Toc78835309"/>
      <w:r>
        <w:rPr>
          <w:rFonts w:hint="eastAsia" w:ascii="Times New Roman"/>
          <w:b w:val="0"/>
          <w:bCs w:val="0"/>
          <w:sz w:val="32"/>
          <w:lang w:bidi="ar"/>
        </w:rPr>
        <w:t>六、码头岸电设施</w:t>
      </w:r>
      <w:bookmarkEnd w:id="218"/>
      <w:r>
        <w:rPr>
          <w:rFonts w:hint="eastAsia" w:ascii="Times New Roman"/>
          <w:b w:val="0"/>
          <w:bCs w:val="0"/>
          <w:sz w:val="32"/>
          <w:lang w:bidi="ar"/>
        </w:rPr>
        <w:t>技术要求</w:t>
      </w:r>
      <w:bookmarkEnd w:id="219"/>
      <w:bookmarkEnd w:id="220"/>
    </w:p>
    <w:p>
      <w:pPr>
        <w:pStyle w:val="3"/>
        <w:spacing w:before="0" w:after="0" w:line="590" w:lineRule="exact"/>
        <w:ind w:firstLine="640" w:firstLineChars="200"/>
        <w:jc w:val="left"/>
        <w:rPr>
          <w:rFonts w:ascii="Times New Roman" w:hAnsi="Times New Roman" w:eastAsia="楷体_GB2312"/>
          <w:b w:val="0"/>
          <w:bCs w:val="0"/>
          <w:lang w:bidi="ar"/>
        </w:rPr>
      </w:pPr>
      <w:bookmarkStart w:id="221" w:name="_Toc78835310"/>
      <w:bookmarkStart w:id="222" w:name="_Toc78835214"/>
      <w:bookmarkStart w:id="223" w:name="_Toc30013"/>
      <w:bookmarkStart w:id="224" w:name="_Toc101236418"/>
      <w:bookmarkStart w:id="225" w:name="_Toc101236667"/>
      <w:bookmarkStart w:id="226" w:name="_Toc101238658"/>
      <w:bookmarkStart w:id="227" w:name="_Toc101236544"/>
      <w:r>
        <w:rPr>
          <w:rFonts w:hint="eastAsia" w:ascii="Times New Roman" w:hAnsi="Times New Roman" w:eastAsia="楷体_GB2312"/>
          <w:b w:val="0"/>
          <w:bCs w:val="0"/>
          <w:lang w:bidi="ar"/>
        </w:rPr>
        <w:t>（一）一般规定</w:t>
      </w:r>
      <w:bookmarkEnd w:id="221"/>
      <w:bookmarkEnd w:id="222"/>
      <w:bookmarkEnd w:id="223"/>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1.</w:t>
      </w:r>
      <w:r>
        <w:rPr>
          <w:rFonts w:ascii="仿宋_GB2312" w:eastAsia="仿宋_GB2312"/>
          <w:sz w:val="32"/>
          <w:szCs w:val="22"/>
          <w:lang w:bidi="ar"/>
        </w:rPr>
        <w:t>码头岸电设施建设应根据港口供电系统、码头生产和船舶作业等因素确定系统的建设方案。</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2.</w:t>
      </w:r>
      <w:r>
        <w:rPr>
          <w:rFonts w:ascii="仿宋_GB2312" w:eastAsia="仿宋_GB2312"/>
          <w:sz w:val="32"/>
          <w:szCs w:val="22"/>
          <w:lang w:bidi="ar"/>
        </w:rPr>
        <w:t>码头岸电设施建设应满足生产作业要求，并保证生产作业和人员的安全。</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3.</w:t>
      </w:r>
      <w:r>
        <w:rPr>
          <w:rFonts w:ascii="仿宋_GB2312" w:eastAsia="仿宋_GB2312"/>
          <w:sz w:val="32"/>
          <w:szCs w:val="22"/>
          <w:lang w:bidi="ar"/>
        </w:rPr>
        <w:t>码头岸电设施应性能可靠、操作方便、技术成熟。</w:t>
      </w:r>
    </w:p>
    <w:p>
      <w:pPr>
        <w:spacing w:line="590" w:lineRule="exact"/>
        <w:ind w:firstLine="640" w:firstLineChars="200"/>
        <w:jc w:val="left"/>
        <w:outlineLvl w:val="2"/>
        <w:rPr>
          <w:rFonts w:ascii="仿宋_GB2312" w:eastAsia="仿宋_GB2312"/>
          <w:sz w:val="32"/>
          <w:szCs w:val="22"/>
          <w:lang w:bidi="ar"/>
        </w:rPr>
      </w:pPr>
      <w:r>
        <w:rPr>
          <w:rFonts w:ascii="仿宋_GB2312" w:eastAsia="仿宋_GB2312"/>
          <w:sz w:val="32"/>
          <w:szCs w:val="22"/>
          <w:lang w:bidi="ar"/>
        </w:rPr>
        <w:t>码头岸电设施建设应经济合理，满足码头靠港船舶的用电需求，并留有发展余地。</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4.</w:t>
      </w:r>
      <w:r>
        <w:rPr>
          <w:rFonts w:ascii="仿宋_GB2312" w:eastAsia="仿宋_GB2312"/>
          <w:sz w:val="32"/>
          <w:szCs w:val="22"/>
          <w:lang w:bidi="ar"/>
        </w:rPr>
        <w:t>码头岸电设施，应设置独立计量系统，宜采用专用回路。</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5.</w:t>
      </w:r>
      <w:r>
        <w:rPr>
          <w:rFonts w:ascii="仿宋_GB2312" w:eastAsia="仿宋_GB2312"/>
          <w:sz w:val="32"/>
          <w:szCs w:val="22"/>
          <w:lang w:bidi="ar"/>
        </w:rPr>
        <w:t>码头岸电设施建设完成后应通过验收，验收过程应形成完整的文件资料，验收合格后方可投入使用。</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6.</w:t>
      </w:r>
      <w:r>
        <w:rPr>
          <w:rFonts w:ascii="仿宋_GB2312" w:eastAsia="仿宋_GB2312"/>
          <w:sz w:val="32"/>
          <w:szCs w:val="22"/>
          <w:lang w:bidi="ar"/>
        </w:rPr>
        <w:t>码头岸电设施建设前和船舶使用岸电前均应进行岸船电气兼容性分析，确定岸电系统和船舶电气系统连接的可行性。</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7.</w:t>
      </w:r>
      <w:r>
        <w:rPr>
          <w:rFonts w:ascii="仿宋_GB2312" w:eastAsia="仿宋_GB2312"/>
          <w:sz w:val="32"/>
          <w:szCs w:val="22"/>
          <w:lang w:bidi="ar"/>
        </w:rPr>
        <w:t>码头岸电系统和船舶电气系统之间的兼容性分析应包括船舶的用电需求，预期短路电流、接地方式、电能质量和通信等内容。</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8.码头岸电系统负荷等级，应符合现行国家规范供配电系统设计规范的有关规定。</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9.码头岸电设施供电方式可分为变频方式和工频方式，输出电压可分为高压供电和低压供电。</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10.码头岸电设施供电容量应综合考虑泊位允许靠泊船单台，最大发电机组额定容量</w:t>
      </w:r>
      <w:r>
        <w:rPr>
          <w:rFonts w:ascii="仿宋_GB2312" w:eastAsia="仿宋_GB2312"/>
          <w:sz w:val="32"/>
          <w:szCs w:val="22"/>
          <w:lang w:bidi="ar"/>
        </w:rPr>
        <w:t>、</w:t>
      </w:r>
      <w:r>
        <w:rPr>
          <w:rFonts w:hint="eastAsia" w:ascii="仿宋_GB2312" w:eastAsia="仿宋_GB2312"/>
          <w:sz w:val="32"/>
          <w:szCs w:val="22"/>
          <w:lang w:bidi="ar"/>
        </w:rPr>
        <w:t>泊位利用情况和船舶用电需求，并留有余量。</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11.码头岸电设施应考虑靠泊船，船舶电气元件所能承受的最大短路电流，必要时应设置限流装置。</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12.码头岸电开关柜，岸电电源宜布置在室内，并应符合国家标准</w:t>
      </w:r>
      <w:r>
        <w:rPr>
          <w:rFonts w:ascii="仿宋_GB2312" w:eastAsia="仿宋_GB2312"/>
          <w:sz w:val="32"/>
          <w:szCs w:val="22"/>
          <w:lang w:bidi="ar"/>
        </w:rPr>
        <w:t>《</w:t>
      </w:r>
      <w:r>
        <w:rPr>
          <w:rFonts w:hint="eastAsia" w:ascii="仿宋_GB2312" w:eastAsia="仿宋_GB2312"/>
          <w:sz w:val="32"/>
          <w:szCs w:val="22"/>
          <w:lang w:bidi="ar"/>
        </w:rPr>
        <w:t>20千伏及以下变电所设计规范</w:t>
      </w:r>
      <w:r>
        <w:rPr>
          <w:rFonts w:ascii="仿宋_GB2312" w:eastAsia="仿宋_GB2312"/>
          <w:sz w:val="32"/>
          <w:szCs w:val="22"/>
          <w:lang w:bidi="ar"/>
        </w:rPr>
        <w:t>》</w:t>
      </w:r>
      <w:r>
        <w:rPr>
          <w:rFonts w:hint="eastAsia" w:ascii="仿宋_GB2312" w:eastAsia="仿宋_GB2312"/>
          <w:sz w:val="32"/>
          <w:szCs w:val="22"/>
          <w:lang w:bidi="ar"/>
        </w:rPr>
        <w:t>GB 50053-</w:t>
      </w:r>
      <w:r>
        <w:rPr>
          <w:rFonts w:ascii="仿宋_GB2312" w:eastAsia="仿宋_GB2312"/>
          <w:sz w:val="32"/>
          <w:szCs w:val="22"/>
          <w:lang w:bidi="ar"/>
        </w:rPr>
        <w:t>2013</w:t>
      </w:r>
      <w:r>
        <w:rPr>
          <w:rFonts w:hint="eastAsia" w:ascii="仿宋_GB2312" w:eastAsia="仿宋_GB2312"/>
          <w:sz w:val="32"/>
          <w:szCs w:val="22"/>
          <w:lang w:bidi="ar"/>
        </w:rPr>
        <w:t>的有关规定。</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13.码头岸电设施建设条件受到限制时，高低压开关柜、岸电电源、变压设备可采用固定集装箱式或可移动集装箱式变电站，应符合现行国家标准</w:t>
      </w:r>
      <w:r>
        <w:rPr>
          <w:rFonts w:ascii="仿宋_GB2312" w:eastAsia="仿宋_GB2312"/>
          <w:sz w:val="32"/>
          <w:szCs w:val="22"/>
          <w:lang w:bidi="ar"/>
        </w:rPr>
        <w:t>《</w:t>
      </w:r>
      <w:r>
        <w:rPr>
          <w:rFonts w:hint="eastAsia" w:ascii="仿宋_GB2312" w:eastAsia="仿宋_GB2312"/>
          <w:sz w:val="32"/>
          <w:szCs w:val="22"/>
          <w:lang w:bidi="ar"/>
        </w:rPr>
        <w:t>高压/低压预装式变电站</w:t>
      </w:r>
      <w:r>
        <w:rPr>
          <w:rFonts w:ascii="仿宋_GB2312" w:eastAsia="仿宋_GB2312"/>
          <w:sz w:val="32"/>
          <w:szCs w:val="22"/>
          <w:lang w:bidi="ar"/>
        </w:rPr>
        <w:t>》</w:t>
      </w:r>
      <w:r>
        <w:rPr>
          <w:rFonts w:hint="eastAsia" w:ascii="仿宋_GB2312" w:eastAsia="仿宋_GB2312"/>
          <w:sz w:val="32"/>
          <w:szCs w:val="22"/>
          <w:lang w:bidi="ar"/>
        </w:rPr>
        <w:t>GB/T 17467-</w:t>
      </w:r>
      <w:r>
        <w:rPr>
          <w:rFonts w:ascii="仿宋_GB2312" w:eastAsia="仿宋_GB2312"/>
          <w:sz w:val="32"/>
          <w:szCs w:val="22"/>
          <w:lang w:bidi="ar"/>
        </w:rPr>
        <w:t>2020</w:t>
      </w:r>
      <w:r>
        <w:rPr>
          <w:rFonts w:hint="eastAsia" w:ascii="仿宋_GB2312" w:eastAsia="仿宋_GB2312"/>
          <w:sz w:val="32"/>
          <w:szCs w:val="22"/>
          <w:lang w:bidi="ar"/>
        </w:rPr>
        <w:t>的有关规定。</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14.岸电设施建筑物应满足耐火要求，并采取消防通风等安全措施。</w:t>
      </w:r>
    </w:p>
    <w:p>
      <w:pPr>
        <w:pStyle w:val="3"/>
        <w:spacing w:before="0" w:after="0" w:line="590" w:lineRule="exact"/>
        <w:ind w:firstLine="640" w:firstLineChars="200"/>
        <w:jc w:val="left"/>
        <w:rPr>
          <w:rFonts w:ascii="Times New Roman" w:hAnsi="Times New Roman" w:eastAsia="楷体_GB2312"/>
          <w:b w:val="0"/>
          <w:bCs w:val="0"/>
          <w:lang w:bidi="ar"/>
        </w:rPr>
      </w:pPr>
      <w:bookmarkStart w:id="228" w:name="_Toc78835215"/>
      <w:bookmarkStart w:id="229" w:name="_Toc7070"/>
      <w:bookmarkStart w:id="230" w:name="_Toc78835311"/>
      <w:r>
        <w:rPr>
          <w:rFonts w:hint="eastAsia" w:ascii="Times New Roman" w:hAnsi="Times New Roman" w:eastAsia="楷体_GB2312"/>
          <w:b w:val="0"/>
          <w:bCs w:val="0"/>
          <w:lang w:bidi="ar"/>
        </w:rPr>
        <w:t>（二）平面布置</w:t>
      </w:r>
      <w:bookmarkEnd w:id="228"/>
      <w:bookmarkEnd w:id="229"/>
      <w:bookmarkEnd w:id="230"/>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1.</w:t>
      </w:r>
      <w:r>
        <w:rPr>
          <w:rFonts w:ascii="仿宋_GB2312" w:eastAsia="仿宋_GB2312"/>
          <w:sz w:val="32"/>
          <w:szCs w:val="22"/>
          <w:lang w:bidi="ar"/>
        </w:rPr>
        <w:t>码头岸电设施布置应与码头总体布置相适应，不应妨碍码头正常生产作业，并应保证消防通道畅通。</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2.</w:t>
      </w:r>
      <w:r>
        <w:rPr>
          <w:rFonts w:ascii="仿宋_GB2312" w:eastAsia="仿宋_GB2312"/>
          <w:sz w:val="32"/>
          <w:szCs w:val="22"/>
          <w:lang w:bidi="ar"/>
        </w:rPr>
        <w:t>已建码头的岸电设施应综合考虑码头总平面水工结构和装卸作业等实际情况进行布置。</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3.</w:t>
      </w:r>
      <w:r>
        <w:rPr>
          <w:rFonts w:ascii="仿宋_GB2312" w:eastAsia="仿宋_GB2312"/>
          <w:sz w:val="32"/>
          <w:szCs w:val="22"/>
          <w:lang w:bidi="ar"/>
        </w:rPr>
        <w:t>码头前沿岸电接电装置的数量和布置应与码头建设规模、靠港船舶类型和数量相适应，并留有扩展余地。</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4.</w:t>
      </w:r>
      <w:r>
        <w:rPr>
          <w:rFonts w:ascii="仿宋_GB2312" w:eastAsia="仿宋_GB2312"/>
          <w:sz w:val="32"/>
          <w:szCs w:val="22"/>
          <w:lang w:bidi="ar"/>
        </w:rPr>
        <w:t>码头岸电设施的总体布置</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w:t>
      </w:r>
      <w:r>
        <w:rPr>
          <w:rFonts w:ascii="仿宋_GB2312" w:eastAsia="仿宋_GB2312"/>
          <w:sz w:val="32"/>
          <w:szCs w:val="22"/>
          <w:lang w:bidi="ar"/>
        </w:rPr>
        <w:t>靠近船舶受电点，保证电缆进出线方便。</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w:t>
      </w:r>
      <w:r>
        <w:rPr>
          <w:rFonts w:ascii="仿宋_GB2312" w:eastAsia="仿宋_GB2312"/>
          <w:sz w:val="32"/>
          <w:szCs w:val="22"/>
          <w:lang w:bidi="ar"/>
        </w:rPr>
        <w:t>新建、改建、扩建码头的岸电接电装置，应设置在码头前沿，宜采用暗装方式，并设置标识和安全设施。</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（3）</w:t>
      </w:r>
      <w:r>
        <w:rPr>
          <w:rFonts w:ascii="仿宋_GB2312" w:eastAsia="仿宋_GB2312"/>
          <w:sz w:val="32"/>
          <w:szCs w:val="22"/>
          <w:lang w:bidi="ar"/>
        </w:rPr>
        <w:t>已建码头的岸电接电装置，有条件时应设置在码头前沿，宜采用暗装方式，条件受限时可采用明装固定方式</w:t>
      </w:r>
      <w:r>
        <w:rPr>
          <w:rFonts w:hint="eastAsia" w:ascii="仿宋_GB2312" w:eastAsia="仿宋_GB2312"/>
          <w:sz w:val="32"/>
          <w:szCs w:val="22"/>
          <w:lang w:bidi="ar"/>
        </w:rPr>
        <w:t>，</w:t>
      </w:r>
      <w:r>
        <w:rPr>
          <w:rFonts w:ascii="仿宋_GB2312" w:eastAsia="仿宋_GB2312"/>
          <w:sz w:val="32"/>
          <w:szCs w:val="22"/>
          <w:lang w:bidi="ar"/>
        </w:rPr>
        <w:t>不应影响生产作业和船舶靠离泊。岸电设施应设置标识和安全设施。</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（4）</w:t>
      </w:r>
      <w:r>
        <w:rPr>
          <w:rFonts w:ascii="仿宋_GB2312" w:eastAsia="仿宋_GB2312"/>
          <w:sz w:val="32"/>
          <w:szCs w:val="22"/>
          <w:lang w:bidi="ar"/>
        </w:rPr>
        <w:t>宜设置在不受水位变化影响的位置。</w:t>
      </w:r>
    </w:p>
    <w:p>
      <w:pPr>
        <w:pStyle w:val="3"/>
        <w:spacing w:before="0" w:after="0" w:line="590" w:lineRule="exact"/>
        <w:ind w:firstLine="640" w:firstLineChars="200"/>
        <w:jc w:val="left"/>
        <w:rPr>
          <w:rFonts w:ascii="Times New Roman" w:hAnsi="Times New Roman" w:eastAsia="楷体_GB2312"/>
          <w:b w:val="0"/>
          <w:bCs w:val="0"/>
          <w:lang w:bidi="ar"/>
        </w:rPr>
      </w:pPr>
      <w:bookmarkStart w:id="231" w:name="_Toc78835312"/>
      <w:bookmarkStart w:id="232" w:name="_Toc78835216"/>
      <w:bookmarkStart w:id="233" w:name="_Toc10047"/>
      <w:r>
        <w:rPr>
          <w:rFonts w:hint="eastAsia" w:ascii="Times New Roman" w:hAnsi="Times New Roman" w:eastAsia="楷体_GB2312"/>
          <w:b w:val="0"/>
          <w:bCs w:val="0"/>
          <w:lang w:bidi="ar"/>
        </w:rPr>
        <w:t>（三）供电系统</w:t>
      </w:r>
      <w:bookmarkEnd w:id="231"/>
      <w:bookmarkEnd w:id="232"/>
      <w:bookmarkEnd w:id="233"/>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1.码头岸电设施配电方式可采用放射式</w:t>
      </w:r>
      <w:r>
        <w:rPr>
          <w:rFonts w:ascii="仿宋_GB2312" w:eastAsia="仿宋_GB2312"/>
          <w:sz w:val="32"/>
          <w:szCs w:val="22"/>
          <w:lang w:bidi="ar"/>
        </w:rPr>
        <w:t>、</w:t>
      </w:r>
      <w:r>
        <w:rPr>
          <w:rFonts w:hint="eastAsia" w:ascii="仿宋_GB2312" w:eastAsia="仿宋_GB2312"/>
          <w:sz w:val="32"/>
          <w:szCs w:val="22"/>
          <w:lang w:bidi="ar"/>
        </w:rPr>
        <w:t>树干式。</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2.码头岸电设施输出电压和输出频率应符合有关规定。</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3.码头岸电设施向船舶供电电压应符合下列规定：</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（1）供电容量小于630kVA可采用低压供电方式。</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（2）供电容量为630kVA至1600kVA宜采用高压供电方式。</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（3）供电容量大于1600kVA应采取高压供电方式。</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4.供电质量应符合下列规定：</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（1）码头岸电系统的稳态三相输出电压允许偏差应为±5%，频率波动允许偏差应为±5%。</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（2）码头岸电系统瞬态的三相输出电压允许偏差应为﹣5%至20%频率波动，允许偏差应为±10%。</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（3）输出电压，瞬变响应恢复时间不应大于1.5s,输出频率瞬变响应恢复时间不应大于5s。</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（4）岸电系统的电压畸变和注入港区供电系统的谐波电流允许限值，应符合现行国家标准《电能质量公用电网谐波》GB/T 14549-1993的有关规定。</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5.采用变压变频方式的岸电设施系统可采用不断电切换方式向船舶供电；工频方式的岸电设施宜采用断电切换方式向船舶供电。</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6.码头供电与船舶受电分界点，应设置在码头岸电接电装置处。</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7.码头岸电设施接插件应符合下列规定：</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高压供电的接插件应采用AC12kV/500A或AC7.2kV/350A规格，并符合现行国家标准《高压岸电连接系统（</w:t>
      </w:r>
      <w:r>
        <w:rPr>
          <w:rFonts w:ascii="仿宋_GB2312" w:eastAsia="仿宋_GB2312"/>
          <w:sz w:val="32"/>
          <w:szCs w:val="22"/>
          <w:lang w:bidi="ar"/>
        </w:rPr>
        <w:t>HVSC系统）用插头、插座和船用耦合器 第1部分：通用要求</w:t>
      </w:r>
      <w:r>
        <w:rPr>
          <w:rFonts w:hint="eastAsia" w:ascii="仿宋_GB2312" w:eastAsia="仿宋_GB2312"/>
          <w:sz w:val="32"/>
          <w:szCs w:val="22"/>
          <w:lang w:bidi="ar"/>
        </w:rPr>
        <w:t>》GB/T 30845.1-2014的有关规定。</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低压供电的接插件应符合现行国家标准《工业用插头插座和耦合器</w:t>
      </w:r>
      <w:r>
        <w:rPr>
          <w:rFonts w:ascii="仿宋_GB2312" w:eastAsia="仿宋_GB2312"/>
          <w:sz w:val="32"/>
          <w:szCs w:val="22"/>
          <w:lang w:bidi="ar"/>
        </w:rPr>
        <w:t xml:space="preserve"> 第5部分：低压岸电连接系统（LVSC系统）用插头、插座、船用连接器和船用输入插座的尺寸兼容性和互换性要求</w:t>
      </w:r>
      <w:r>
        <w:rPr>
          <w:rFonts w:hint="eastAsia" w:ascii="仿宋_GB2312" w:eastAsia="仿宋_GB2312"/>
          <w:sz w:val="32"/>
          <w:szCs w:val="22"/>
          <w:lang w:bidi="ar"/>
        </w:rPr>
        <w:t>》GB/T 11918.5-2020的有关规定，不具备使用插接插件时可采用M10接线柱连接。</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8.码头岸电设置连接电缆、电缆管理装置的布置，应根据船舶类型、装卸作业情况、船案高度变化等因素综合确定，并应符合下列规定：</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（1）应综合考虑传播接用岸电的安全、便捷需求，必要时配备电缆管理系统。</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（2）应配置插头和船岸连接电缆。</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9.向船舶供电时宜设置电隔离装置。</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10.单套岸电设施向多艘船舶同时供电时应分船采用隔离、保护措施。</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11.配有变频电源的单套岸电设施不宜向多艘船舶同时供电。</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12.用电容量</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（1）新建码头的岸电设施，用电容量应满足船舶岸电用电需求。</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（2）已建码头的岸电设施，用电容量应考虑码头现有供电系统的能力，用电容量无法满足使用要求时应对码头供电系统增容。</w:t>
      </w:r>
    </w:p>
    <w:bookmarkEnd w:id="224"/>
    <w:bookmarkEnd w:id="225"/>
    <w:bookmarkEnd w:id="226"/>
    <w:bookmarkEnd w:id="227"/>
    <w:p>
      <w:pPr>
        <w:pStyle w:val="2"/>
        <w:tabs>
          <w:tab w:val="clear" w:pos="0"/>
        </w:tabs>
        <w:spacing w:line="590" w:lineRule="exact"/>
        <w:ind w:firstLine="640" w:firstLineChars="200"/>
        <w:jc w:val="left"/>
        <w:rPr>
          <w:rFonts w:ascii="Times New Roman"/>
          <w:b w:val="0"/>
          <w:bCs w:val="0"/>
          <w:sz w:val="32"/>
          <w:lang w:bidi="ar"/>
        </w:rPr>
      </w:pPr>
      <w:bookmarkStart w:id="234" w:name="_Toc32253"/>
      <w:bookmarkStart w:id="235" w:name="_Toc78835217"/>
      <w:bookmarkStart w:id="236" w:name="_Toc78835313"/>
      <w:r>
        <w:rPr>
          <w:rFonts w:hint="eastAsia" w:ascii="Times New Roman"/>
          <w:b w:val="0"/>
          <w:bCs w:val="0"/>
          <w:sz w:val="32"/>
          <w:lang w:bidi="ar"/>
        </w:rPr>
        <w:t>七、换电设施</w:t>
      </w:r>
      <w:bookmarkEnd w:id="234"/>
      <w:r>
        <w:rPr>
          <w:rFonts w:hint="eastAsia" w:ascii="Times New Roman"/>
          <w:b w:val="0"/>
          <w:bCs w:val="0"/>
          <w:sz w:val="32"/>
          <w:lang w:bidi="ar"/>
        </w:rPr>
        <w:t>技术要求</w:t>
      </w:r>
      <w:bookmarkEnd w:id="235"/>
      <w:bookmarkEnd w:id="236"/>
    </w:p>
    <w:p>
      <w:pPr>
        <w:pStyle w:val="3"/>
        <w:spacing w:before="0" w:after="0" w:line="590" w:lineRule="exact"/>
        <w:ind w:firstLine="640" w:firstLineChars="200"/>
        <w:jc w:val="left"/>
        <w:rPr>
          <w:rFonts w:ascii="Times New Roman" w:hAnsi="Times New Roman" w:eastAsia="楷体_GB2312"/>
          <w:b w:val="0"/>
          <w:bCs w:val="0"/>
          <w:lang w:bidi="ar"/>
        </w:rPr>
      </w:pPr>
      <w:bookmarkStart w:id="237" w:name="_Toc78835314"/>
      <w:bookmarkStart w:id="238" w:name="_Toc78835218"/>
      <w:bookmarkStart w:id="239" w:name="_Toc27408"/>
      <w:bookmarkStart w:id="240" w:name="_Toc101238666"/>
      <w:bookmarkStart w:id="241" w:name="_Toc101236426"/>
      <w:bookmarkStart w:id="242" w:name="_Toc101236675"/>
      <w:bookmarkStart w:id="243" w:name="_Toc101236552"/>
      <w:r>
        <w:rPr>
          <w:rFonts w:hint="eastAsia" w:ascii="Times New Roman" w:hAnsi="Times New Roman" w:eastAsia="楷体_GB2312"/>
          <w:b w:val="0"/>
          <w:bCs w:val="0"/>
          <w:lang w:bidi="ar"/>
        </w:rPr>
        <w:t>（一）整体要求</w:t>
      </w:r>
      <w:bookmarkEnd w:id="237"/>
      <w:bookmarkEnd w:id="238"/>
      <w:bookmarkEnd w:id="239"/>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1.</w:t>
      </w:r>
      <w:r>
        <w:rPr>
          <w:rFonts w:ascii="仿宋_GB2312" w:eastAsia="仿宋_GB2312"/>
          <w:sz w:val="32"/>
          <w:szCs w:val="22"/>
          <w:lang w:bidi="ar"/>
        </w:rPr>
        <w:t>重卡换电站宜采用“电池后背式垂直换电”，即整车只含1个电池箱且该电池箱位于驾驶室后方，换电装置位于换电车辆上方，设置有可伸缩的电池取放机构，通过与车辆配合，完成换电。</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2.</w:t>
      </w:r>
      <w:r>
        <w:rPr>
          <w:rFonts w:ascii="仿宋_GB2312" w:eastAsia="仿宋_GB2312"/>
          <w:sz w:val="32"/>
          <w:szCs w:val="22"/>
          <w:lang w:bidi="ar"/>
        </w:rPr>
        <w:t>换电站以“设备高度集成化、简化周边设施”的原则建设，包括基础、站体、充电系统、换电装置、电池仓储装置、监控系统、供配电设施及配套的消防、照明、空调、给排水等设施。</w:t>
      </w:r>
    </w:p>
    <w:p>
      <w:pPr>
        <w:pStyle w:val="3"/>
        <w:spacing w:before="0" w:after="0" w:line="590" w:lineRule="exact"/>
        <w:ind w:firstLine="640" w:firstLineChars="200"/>
        <w:jc w:val="left"/>
        <w:rPr>
          <w:rFonts w:ascii="Times New Roman" w:hAnsi="Times New Roman" w:eastAsia="楷体_GB2312"/>
          <w:b w:val="0"/>
          <w:bCs w:val="0"/>
          <w:lang w:bidi="ar"/>
        </w:rPr>
      </w:pPr>
      <w:bookmarkStart w:id="244" w:name="_Toc78835219"/>
      <w:bookmarkStart w:id="245" w:name="_Toc78835315"/>
      <w:bookmarkStart w:id="246" w:name="_Toc30055"/>
      <w:r>
        <w:rPr>
          <w:rFonts w:hint="eastAsia" w:ascii="Times New Roman" w:hAnsi="Times New Roman" w:eastAsia="楷体_GB2312"/>
          <w:b w:val="0"/>
          <w:bCs w:val="0"/>
          <w:lang w:bidi="ar"/>
        </w:rPr>
        <w:t>（二）安装布局</w:t>
      </w:r>
      <w:bookmarkEnd w:id="244"/>
      <w:bookmarkEnd w:id="245"/>
      <w:bookmarkEnd w:id="246"/>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1.</w:t>
      </w:r>
      <w:r>
        <w:rPr>
          <w:rFonts w:ascii="仿宋_GB2312" w:eastAsia="仿宋_GB2312"/>
          <w:sz w:val="32"/>
          <w:szCs w:val="22"/>
          <w:lang w:bidi="ar"/>
        </w:rPr>
        <w:t>整站宜采用模块化轻钢结构，便于整体运输及快速建站，满足整站迁移的技术要求。安装宜采用现场拼接方式。</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2.</w:t>
      </w:r>
      <w:r>
        <w:rPr>
          <w:rFonts w:ascii="仿宋_GB2312" w:eastAsia="仿宋_GB2312"/>
          <w:sz w:val="32"/>
          <w:szCs w:val="22"/>
          <w:lang w:bidi="ar"/>
        </w:rPr>
        <w:t>换电站布局宜采用“即换即走”的设计方案，车辆通道以车辆行驶方向为基准，将车辆通道与车辆换电位重合。可在换电站周围设置充电停车位，在空余时间为车辆提供充电服务。</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3.</w:t>
      </w:r>
      <w:r>
        <w:rPr>
          <w:rFonts w:ascii="仿宋_GB2312" w:eastAsia="仿宋_GB2312"/>
          <w:sz w:val="32"/>
          <w:szCs w:val="22"/>
          <w:lang w:bidi="ar"/>
        </w:rPr>
        <w:t>换电站充电工位不宜少于8个，每天可支持换电168次以上（按照每小时7次*24小时，满足单次换电5-6min，每小时可服务7辆车）。</w:t>
      </w:r>
    </w:p>
    <w:p>
      <w:pPr>
        <w:pStyle w:val="3"/>
        <w:spacing w:before="0" w:after="0" w:line="590" w:lineRule="exact"/>
        <w:ind w:firstLine="640" w:firstLineChars="200"/>
        <w:jc w:val="left"/>
        <w:rPr>
          <w:rFonts w:ascii="Times New Roman" w:hAnsi="Times New Roman" w:eastAsia="楷体_GB2312"/>
          <w:b w:val="0"/>
          <w:bCs w:val="0"/>
          <w:lang w:bidi="ar"/>
        </w:rPr>
      </w:pPr>
      <w:bookmarkStart w:id="247" w:name="_Toc12640"/>
      <w:bookmarkStart w:id="248" w:name="_Toc78835316"/>
      <w:bookmarkStart w:id="249" w:name="_Toc78835220"/>
      <w:r>
        <w:rPr>
          <w:rFonts w:hint="eastAsia" w:ascii="Times New Roman" w:hAnsi="Times New Roman" w:eastAsia="楷体_GB2312"/>
          <w:b w:val="0"/>
          <w:bCs w:val="0"/>
          <w:lang w:bidi="ar"/>
        </w:rPr>
        <w:t>（三）吊装系统</w:t>
      </w:r>
      <w:bookmarkEnd w:id="247"/>
      <w:bookmarkEnd w:id="248"/>
      <w:bookmarkEnd w:id="249"/>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1.总体要求</w:t>
      </w:r>
    </w:p>
    <w:p>
      <w:pPr>
        <w:spacing w:line="590" w:lineRule="exact"/>
        <w:ind w:firstLine="640" w:firstLineChars="200"/>
        <w:jc w:val="left"/>
        <w:rPr>
          <w:rFonts w:ascii="仿宋_GB2312" w:eastAsia="仿宋_GB2312"/>
          <w:sz w:val="32"/>
          <w:szCs w:val="22"/>
          <w:lang w:bidi="ar"/>
        </w:rPr>
      </w:pPr>
      <w:r>
        <w:rPr>
          <w:rFonts w:ascii="仿宋_GB2312" w:eastAsia="仿宋_GB2312"/>
          <w:sz w:val="32"/>
          <w:szCs w:val="22"/>
          <w:lang w:bidi="ar"/>
        </w:rPr>
        <w:t>吊装系统的总体载荷要求大于5吨，吊装过程包括空载落下、锁紧电池箱、提升电池箱、电池箱平移（从车到电池架或从电池架到车）、电池箱落下、空载升起6个步骤，吊装完成时间应控制在200S以内。具备手动控制功能，可通过手动控制进行提升、下降、锁止或解锁电池箱操作。</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2.保护与通信</w:t>
      </w:r>
    </w:p>
    <w:p>
      <w:pPr>
        <w:spacing w:line="590" w:lineRule="exact"/>
        <w:ind w:firstLine="640" w:firstLineChars="200"/>
        <w:jc w:val="left"/>
        <w:rPr>
          <w:rFonts w:ascii="仿宋_GB2312" w:eastAsia="仿宋_GB2312"/>
          <w:sz w:val="32"/>
          <w:szCs w:val="22"/>
          <w:lang w:bidi="ar"/>
        </w:rPr>
      </w:pPr>
      <w:r>
        <w:rPr>
          <w:rFonts w:ascii="仿宋_GB2312" w:eastAsia="仿宋_GB2312"/>
          <w:sz w:val="32"/>
          <w:szCs w:val="22"/>
          <w:lang w:bidi="ar"/>
        </w:rPr>
        <w:t>换电站的工控机与上位机、吊装系统之间应采用RJ45等可靠的通讯媒介连接，防止换电过程中发生通讯故障导致安全事故。配备断电保护，当发生设备突然断电等异常情况时，应保持原位置状态并锁止。</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3.平移机构</w:t>
      </w:r>
    </w:p>
    <w:p>
      <w:pPr>
        <w:spacing w:line="590" w:lineRule="exact"/>
        <w:ind w:firstLine="640" w:firstLineChars="200"/>
        <w:jc w:val="left"/>
        <w:rPr>
          <w:rFonts w:ascii="仿宋_GB2312" w:eastAsia="仿宋_GB2312"/>
          <w:sz w:val="32"/>
          <w:szCs w:val="22"/>
          <w:lang w:bidi="ar"/>
        </w:rPr>
      </w:pPr>
      <w:r>
        <w:rPr>
          <w:rFonts w:ascii="仿宋_GB2312" w:eastAsia="仿宋_GB2312"/>
          <w:sz w:val="32"/>
          <w:szCs w:val="22"/>
          <w:lang w:bidi="ar"/>
        </w:rPr>
        <w:t>吊装系统的平移机构载荷要求大于5吨，行动过程中最低平均速度应大于0.5m/s（按照10s内完成一次平移计算），到达指定位置的定位精度小于5mm，噪声控制在65dB以下。</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4.升降机构</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w:t>
      </w:r>
      <w:r>
        <w:rPr>
          <w:rFonts w:ascii="仿宋_GB2312" w:eastAsia="仿宋_GB2312"/>
          <w:sz w:val="32"/>
          <w:szCs w:val="22"/>
          <w:lang w:bidi="ar"/>
        </w:rPr>
        <w:t>吊装系统升降机构的总体载荷要求大于5吨，顶部安装有导向固定装置，落下速度和提升速度不宜小于0.03m/s（按照设备有效行程1m，落下和提升时间控制在35</w:t>
      </w:r>
      <w:r>
        <w:rPr>
          <w:rFonts w:hint="eastAsia" w:ascii="仿宋_GB2312" w:eastAsia="仿宋_GB2312"/>
          <w:sz w:val="32"/>
          <w:szCs w:val="22"/>
          <w:lang w:bidi="ar"/>
        </w:rPr>
        <w:t>s</w:t>
      </w:r>
      <w:r>
        <w:rPr>
          <w:rFonts w:ascii="仿宋_GB2312" w:eastAsia="仿宋_GB2312"/>
          <w:sz w:val="32"/>
          <w:szCs w:val="22"/>
          <w:lang w:bidi="ar"/>
        </w:rPr>
        <w:t>以内），噪声控制在65dB以下。</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w:t>
      </w:r>
      <w:r>
        <w:rPr>
          <w:rFonts w:ascii="仿宋_GB2312" w:eastAsia="仿宋_GB2312"/>
          <w:sz w:val="32"/>
          <w:szCs w:val="22"/>
          <w:lang w:bidi="ar"/>
        </w:rPr>
        <w:t>吊装系统应配备过载保护：提升过程中如果车辆电池架未解锁，升降机构应启动过载保护，大于一定扭矩后自动断电报警，避免拉坏电池架。</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5.电池箱吊具</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w:t>
      </w:r>
      <w:r>
        <w:rPr>
          <w:rFonts w:ascii="仿宋_GB2312" w:eastAsia="仿宋_GB2312"/>
          <w:sz w:val="32"/>
          <w:szCs w:val="22"/>
          <w:lang w:bidi="ar"/>
        </w:rPr>
        <w:t>电池箱吊具应采用驱动把手抱死电池箱顶部立柱，立柱上方应有限位装置，定位精度小于5mm。</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w:t>
      </w:r>
      <w:r>
        <w:rPr>
          <w:rFonts w:ascii="仿宋_GB2312" w:eastAsia="仿宋_GB2312"/>
          <w:sz w:val="32"/>
          <w:szCs w:val="22"/>
          <w:lang w:bidi="ar"/>
        </w:rPr>
        <w:t>配备电池落下不平检测功能：若电池箱落下过程或者落到电池架不平，应能检测并报警，检测精度控制在1cm以内。</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（3）</w:t>
      </w:r>
      <w:r>
        <w:rPr>
          <w:rFonts w:ascii="仿宋_GB2312" w:eastAsia="仿宋_GB2312"/>
          <w:sz w:val="32"/>
          <w:szCs w:val="22"/>
          <w:lang w:bidi="ar"/>
        </w:rPr>
        <w:t>配备吊具不平衡校正功能，每次吊装提升到顶端，可通过电机自动校正钢缆线长。</w:t>
      </w:r>
    </w:p>
    <w:p>
      <w:pPr>
        <w:pStyle w:val="3"/>
        <w:spacing w:before="0" w:after="0" w:line="590" w:lineRule="exact"/>
        <w:ind w:firstLine="640" w:firstLineChars="200"/>
        <w:jc w:val="left"/>
        <w:rPr>
          <w:rFonts w:ascii="Times New Roman" w:hAnsi="Times New Roman" w:eastAsia="楷体_GB2312"/>
          <w:b w:val="0"/>
          <w:bCs w:val="0"/>
          <w:lang w:bidi="ar"/>
        </w:rPr>
      </w:pPr>
      <w:bookmarkStart w:id="250" w:name="_Toc78835221"/>
      <w:bookmarkStart w:id="251" w:name="_Toc15718"/>
      <w:bookmarkStart w:id="252" w:name="_Toc78835317"/>
      <w:r>
        <w:rPr>
          <w:rFonts w:hint="eastAsia" w:ascii="Times New Roman" w:hAnsi="Times New Roman" w:eastAsia="楷体_GB2312"/>
          <w:b w:val="0"/>
          <w:bCs w:val="0"/>
          <w:lang w:bidi="ar"/>
        </w:rPr>
        <w:t>（四）充电系统</w:t>
      </w:r>
      <w:bookmarkEnd w:id="250"/>
      <w:bookmarkEnd w:id="251"/>
      <w:bookmarkEnd w:id="252"/>
    </w:p>
    <w:p>
      <w:pPr>
        <w:spacing w:line="590" w:lineRule="exact"/>
        <w:ind w:firstLine="640" w:firstLineChars="200"/>
        <w:jc w:val="left"/>
        <w:rPr>
          <w:rFonts w:ascii="仿宋_GB2312" w:eastAsia="仿宋_GB2312"/>
          <w:sz w:val="32"/>
          <w:szCs w:val="22"/>
          <w:lang w:bidi="ar"/>
        </w:rPr>
      </w:pPr>
      <w:r>
        <w:rPr>
          <w:rFonts w:ascii="仿宋_GB2312" w:eastAsia="仿宋_GB2312"/>
          <w:sz w:val="32"/>
          <w:szCs w:val="22"/>
          <w:lang w:bidi="ar"/>
        </w:rPr>
        <w:t>充电系统单工位充电功率不宜小于300千瓦，采用RJ45等可靠的通讯媒介与站内后台系统进行通讯，具备对电池充电状态的检测功能，当电池充电满后向后台反馈电池充满的状态信息。</w:t>
      </w:r>
    </w:p>
    <w:p>
      <w:pPr>
        <w:pStyle w:val="3"/>
        <w:spacing w:before="0" w:after="0" w:line="590" w:lineRule="exact"/>
        <w:ind w:firstLine="640" w:firstLineChars="200"/>
        <w:jc w:val="left"/>
        <w:rPr>
          <w:rFonts w:ascii="Times New Roman" w:hAnsi="Times New Roman" w:eastAsia="楷体_GB2312"/>
          <w:b w:val="0"/>
          <w:bCs w:val="0"/>
          <w:lang w:bidi="ar"/>
        </w:rPr>
      </w:pPr>
      <w:bookmarkStart w:id="253" w:name="_Toc78835222"/>
      <w:bookmarkStart w:id="254" w:name="_Toc78835318"/>
      <w:bookmarkStart w:id="255" w:name="_Toc9905"/>
      <w:r>
        <w:rPr>
          <w:rFonts w:hint="eastAsia" w:ascii="Times New Roman" w:hAnsi="Times New Roman" w:eastAsia="楷体_GB2312"/>
          <w:b w:val="0"/>
          <w:bCs w:val="0"/>
          <w:lang w:bidi="ar"/>
        </w:rPr>
        <w:t>（五）控制系统</w:t>
      </w:r>
      <w:bookmarkEnd w:id="253"/>
      <w:bookmarkEnd w:id="254"/>
      <w:bookmarkEnd w:id="255"/>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w:t>
      </w:r>
      <w:r>
        <w:rPr>
          <w:rFonts w:ascii="仿宋_GB2312" w:eastAsia="仿宋_GB2312"/>
          <w:sz w:val="32"/>
          <w:szCs w:val="22"/>
          <w:lang w:bidi="ar"/>
        </w:rPr>
        <w:t>换电时后台控制系统与换电系统和充电系统保持通信，协调控制整个换电流程。</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w:t>
      </w:r>
      <w:r>
        <w:rPr>
          <w:rFonts w:ascii="仿宋_GB2312" w:eastAsia="仿宋_GB2312"/>
          <w:sz w:val="32"/>
          <w:szCs w:val="22"/>
          <w:lang w:bidi="ar"/>
        </w:rPr>
        <w:t>换电站应配备急停按钮，具备将整站锁止和断电功能，换电站配电应将充电电源与控制电源、换电设备电源分开。</w:t>
      </w:r>
    </w:p>
    <w:p>
      <w:pPr>
        <w:pStyle w:val="3"/>
        <w:spacing w:before="0" w:after="0" w:line="590" w:lineRule="exact"/>
        <w:ind w:firstLine="640" w:firstLineChars="200"/>
        <w:jc w:val="left"/>
        <w:rPr>
          <w:rFonts w:ascii="Times New Roman" w:hAnsi="Times New Roman" w:eastAsia="楷体_GB2312"/>
          <w:b w:val="0"/>
          <w:bCs w:val="0"/>
          <w:lang w:bidi="ar"/>
        </w:rPr>
      </w:pPr>
      <w:bookmarkStart w:id="256" w:name="_Toc78835223"/>
      <w:bookmarkStart w:id="257" w:name="_Toc78835319"/>
      <w:bookmarkStart w:id="258" w:name="_Toc6958"/>
      <w:r>
        <w:rPr>
          <w:rFonts w:hint="eastAsia" w:ascii="Times New Roman" w:hAnsi="Times New Roman" w:eastAsia="楷体_GB2312"/>
          <w:b w:val="0"/>
          <w:bCs w:val="0"/>
          <w:lang w:bidi="ar"/>
        </w:rPr>
        <w:t>（六）换电站房</w:t>
      </w:r>
      <w:bookmarkEnd w:id="256"/>
      <w:bookmarkEnd w:id="257"/>
      <w:bookmarkEnd w:id="258"/>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1.排风系统</w:t>
      </w:r>
    </w:p>
    <w:p>
      <w:pPr>
        <w:spacing w:line="590" w:lineRule="exact"/>
        <w:ind w:firstLine="640" w:firstLineChars="200"/>
        <w:jc w:val="left"/>
        <w:rPr>
          <w:rFonts w:ascii="仿宋_GB2312" w:eastAsia="仿宋_GB2312"/>
          <w:sz w:val="32"/>
          <w:szCs w:val="22"/>
          <w:lang w:bidi="ar"/>
        </w:rPr>
      </w:pPr>
      <w:r>
        <w:rPr>
          <w:rFonts w:ascii="仿宋_GB2312" w:eastAsia="仿宋_GB2312"/>
          <w:sz w:val="32"/>
          <w:szCs w:val="22"/>
          <w:lang w:bidi="ar"/>
        </w:rPr>
        <w:t>充电机排布在房屋外侧，考虑通风口自然散热。</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2.照明系统</w:t>
      </w:r>
    </w:p>
    <w:p>
      <w:pPr>
        <w:spacing w:line="590" w:lineRule="exact"/>
        <w:ind w:firstLine="640" w:firstLineChars="200"/>
        <w:jc w:val="left"/>
        <w:rPr>
          <w:rFonts w:ascii="仿宋_GB2312" w:eastAsia="仿宋_GB2312"/>
          <w:sz w:val="32"/>
          <w:szCs w:val="22"/>
          <w:lang w:bidi="ar"/>
        </w:rPr>
      </w:pPr>
      <w:r>
        <w:rPr>
          <w:rFonts w:ascii="仿宋_GB2312" w:eastAsia="仿宋_GB2312"/>
          <w:sz w:val="32"/>
          <w:szCs w:val="22"/>
          <w:lang w:bidi="ar"/>
        </w:rPr>
        <w:t>应配备换电工位的照明，各类设备的监控照明，各种导引指示照明</w:t>
      </w:r>
      <w:r>
        <w:rPr>
          <w:rFonts w:hint="eastAsia" w:ascii="仿宋_GB2312" w:eastAsia="仿宋_GB2312"/>
          <w:sz w:val="32"/>
          <w:szCs w:val="22"/>
          <w:lang w:bidi="ar"/>
        </w:rPr>
        <w:t>。</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3.消防系统</w:t>
      </w:r>
    </w:p>
    <w:p>
      <w:pPr>
        <w:spacing w:line="590" w:lineRule="exact"/>
        <w:ind w:firstLine="640" w:firstLineChars="200"/>
        <w:jc w:val="left"/>
        <w:rPr>
          <w:rFonts w:ascii="仿宋_GB2312" w:eastAsia="仿宋_GB2312"/>
          <w:sz w:val="32"/>
          <w:szCs w:val="22"/>
          <w:lang w:bidi="ar"/>
        </w:rPr>
      </w:pPr>
      <w:r>
        <w:rPr>
          <w:rFonts w:ascii="仿宋_GB2312" w:eastAsia="仿宋_GB2312"/>
          <w:sz w:val="32"/>
          <w:szCs w:val="22"/>
          <w:lang w:bidi="ar"/>
        </w:rPr>
        <w:t>消防系统应配置灭火器，选配沙坑。</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4.抗风等级</w:t>
      </w:r>
    </w:p>
    <w:p>
      <w:pPr>
        <w:spacing w:line="590" w:lineRule="exact"/>
        <w:ind w:firstLine="640" w:firstLineChars="200"/>
        <w:jc w:val="left"/>
        <w:rPr>
          <w:rFonts w:ascii="仿宋_GB2312" w:eastAsia="仿宋_GB2312"/>
          <w:sz w:val="32"/>
          <w:szCs w:val="22"/>
          <w:lang w:bidi="ar"/>
        </w:rPr>
      </w:pPr>
      <w:r>
        <w:rPr>
          <w:rFonts w:ascii="仿宋_GB2312" w:eastAsia="仿宋_GB2312"/>
          <w:sz w:val="32"/>
          <w:szCs w:val="22"/>
          <w:lang w:bidi="ar"/>
        </w:rPr>
        <w:t>外窗抗风压性能多层建筑应不小于3级（2.0 KPa），高层建筑应不小于4级（2.5 KPa）</w:t>
      </w:r>
      <w:r>
        <w:rPr>
          <w:rFonts w:hint="eastAsia" w:ascii="仿宋_GB2312" w:eastAsia="仿宋_GB2312"/>
          <w:sz w:val="32"/>
          <w:szCs w:val="22"/>
          <w:lang w:bidi="ar"/>
        </w:rPr>
        <w:t>。</w:t>
      </w:r>
    </w:p>
    <w:bookmarkEnd w:id="240"/>
    <w:bookmarkEnd w:id="241"/>
    <w:bookmarkEnd w:id="242"/>
    <w:bookmarkEnd w:id="243"/>
    <w:p>
      <w:pPr>
        <w:pStyle w:val="2"/>
        <w:tabs>
          <w:tab w:val="clear" w:pos="0"/>
        </w:tabs>
        <w:spacing w:line="590" w:lineRule="exact"/>
        <w:ind w:firstLine="640" w:firstLineChars="200"/>
        <w:jc w:val="left"/>
        <w:rPr>
          <w:rFonts w:ascii="Times New Roman"/>
          <w:b w:val="0"/>
          <w:bCs w:val="0"/>
          <w:sz w:val="32"/>
          <w:lang w:bidi="ar"/>
        </w:rPr>
      </w:pPr>
      <w:bookmarkStart w:id="259" w:name="_Toc478584446"/>
      <w:bookmarkEnd w:id="259"/>
      <w:bookmarkStart w:id="260" w:name="_Toc78835320"/>
      <w:bookmarkStart w:id="261" w:name="_Toc25420"/>
      <w:bookmarkStart w:id="262" w:name="_Toc78835224"/>
      <w:r>
        <w:rPr>
          <w:rFonts w:hint="eastAsia" w:ascii="Times New Roman"/>
          <w:b w:val="0"/>
          <w:bCs w:val="0"/>
          <w:sz w:val="32"/>
          <w:lang w:bidi="ar"/>
        </w:rPr>
        <w:t>八、充换电设施储能系统技术要求</w:t>
      </w:r>
      <w:bookmarkEnd w:id="260"/>
      <w:bookmarkEnd w:id="261"/>
      <w:bookmarkEnd w:id="262"/>
    </w:p>
    <w:p>
      <w:pPr>
        <w:pStyle w:val="3"/>
        <w:spacing w:before="0" w:after="0" w:line="590" w:lineRule="exact"/>
        <w:ind w:firstLine="640" w:firstLineChars="200"/>
        <w:jc w:val="left"/>
        <w:rPr>
          <w:rFonts w:ascii="Times New Roman" w:hAnsi="Times New Roman" w:eastAsia="楷体_GB2312"/>
          <w:b w:val="0"/>
          <w:bCs w:val="0"/>
          <w:lang w:bidi="ar"/>
        </w:rPr>
      </w:pPr>
      <w:bookmarkStart w:id="263" w:name="_Toc78835225"/>
      <w:bookmarkStart w:id="264" w:name="_Toc78835321"/>
      <w:bookmarkStart w:id="265" w:name="_Toc13857"/>
      <w:r>
        <w:rPr>
          <w:rFonts w:hint="eastAsia" w:ascii="Times New Roman" w:hAnsi="Times New Roman" w:eastAsia="楷体_GB2312"/>
          <w:b w:val="0"/>
          <w:bCs w:val="0"/>
          <w:lang w:bidi="ar"/>
        </w:rPr>
        <w:t>（一）储能系统类型</w:t>
      </w:r>
      <w:bookmarkEnd w:id="263"/>
      <w:bookmarkEnd w:id="264"/>
      <w:bookmarkEnd w:id="265"/>
    </w:p>
    <w:p>
      <w:pPr>
        <w:spacing w:line="590" w:lineRule="exact"/>
        <w:ind w:firstLine="640" w:firstLineChars="200"/>
        <w:jc w:val="left"/>
        <w:rPr>
          <w:rFonts w:ascii="仿宋_GB2312" w:eastAsia="仿宋_GB2312"/>
          <w:sz w:val="32"/>
          <w:szCs w:val="22"/>
          <w:lang w:bidi="ar"/>
        </w:rPr>
      </w:pPr>
      <w:r>
        <w:rPr>
          <w:rFonts w:ascii="仿宋_GB2312" w:eastAsia="仿宋_GB2312"/>
          <w:sz w:val="32"/>
          <w:szCs w:val="22"/>
          <w:lang w:bidi="ar"/>
        </w:rPr>
        <w:t>充换电设施配置储能系统的，宜使用预制舱式磷酸铁锂电池储能系统。</w:t>
      </w:r>
    </w:p>
    <w:p>
      <w:pPr>
        <w:pStyle w:val="3"/>
        <w:spacing w:before="0" w:after="0" w:line="590" w:lineRule="exact"/>
        <w:ind w:firstLine="640" w:firstLineChars="200"/>
        <w:jc w:val="left"/>
        <w:rPr>
          <w:rFonts w:ascii="Times New Roman" w:hAnsi="Times New Roman" w:eastAsia="楷体_GB2312"/>
          <w:b w:val="0"/>
          <w:bCs w:val="0"/>
          <w:lang w:bidi="ar"/>
        </w:rPr>
      </w:pPr>
      <w:bookmarkStart w:id="266" w:name="_Toc10314"/>
      <w:bookmarkStart w:id="267" w:name="_Toc78835322"/>
      <w:bookmarkStart w:id="268" w:name="_Toc78835226"/>
      <w:r>
        <w:rPr>
          <w:rFonts w:hint="eastAsia" w:ascii="Times New Roman" w:hAnsi="Times New Roman" w:eastAsia="楷体_GB2312"/>
          <w:b w:val="0"/>
          <w:bCs w:val="0"/>
          <w:lang w:bidi="ar"/>
        </w:rPr>
        <w:t>（二）</w:t>
      </w:r>
      <w:r>
        <w:rPr>
          <w:rFonts w:ascii="Times New Roman" w:hAnsi="Times New Roman" w:eastAsia="楷体_GB2312"/>
          <w:b w:val="0"/>
          <w:bCs w:val="0"/>
          <w:lang w:bidi="ar"/>
        </w:rPr>
        <w:t>储能系统磷酸铁锂电池安全技术要求</w:t>
      </w:r>
      <w:bookmarkEnd w:id="266"/>
      <w:bookmarkEnd w:id="267"/>
      <w:bookmarkEnd w:id="268"/>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1.</w:t>
      </w:r>
      <w:r>
        <w:rPr>
          <w:rFonts w:ascii="仿宋_GB2312" w:eastAsia="仿宋_GB2312"/>
          <w:sz w:val="32"/>
          <w:szCs w:val="22"/>
          <w:lang w:bidi="ar"/>
        </w:rPr>
        <w:t>磷酸铁锂电池选型应符合下列要求</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w:t>
      </w:r>
      <w:r>
        <w:rPr>
          <w:rFonts w:ascii="仿宋_GB2312" w:eastAsia="仿宋_GB2312"/>
          <w:sz w:val="32"/>
          <w:szCs w:val="22"/>
          <w:lang w:bidi="ar"/>
        </w:rPr>
        <w:t>磷酸铁锂电池单体、模块、簇，其安全性能应符合</w:t>
      </w:r>
      <w:r>
        <w:rPr>
          <w:rFonts w:hint="eastAsia" w:ascii="仿宋_GB2312" w:eastAsia="仿宋_GB2312"/>
          <w:sz w:val="32"/>
          <w:szCs w:val="22"/>
          <w:lang w:bidi="ar"/>
        </w:rPr>
        <w:t>现行国家标准</w:t>
      </w:r>
      <w:r>
        <w:rPr>
          <w:rFonts w:ascii="仿宋_GB2312" w:eastAsia="仿宋_GB2312"/>
          <w:sz w:val="32"/>
          <w:szCs w:val="22"/>
          <w:lang w:bidi="ar"/>
        </w:rPr>
        <w:t xml:space="preserve">《电力储能用锂离子电池》GB/T 36276-2018， 并提供相应检测报告。 </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w:t>
      </w:r>
      <w:r>
        <w:rPr>
          <w:rFonts w:ascii="仿宋_GB2312" w:eastAsia="仿宋_GB2312"/>
          <w:sz w:val="32"/>
          <w:szCs w:val="22"/>
          <w:lang w:bidi="ar"/>
        </w:rPr>
        <w:t>单体电池额定容量不宜小于80Ah。</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（3）</w:t>
      </w:r>
      <w:r>
        <w:rPr>
          <w:rFonts w:ascii="仿宋_GB2312" w:eastAsia="仿宋_GB2312"/>
          <w:sz w:val="32"/>
          <w:szCs w:val="22"/>
          <w:lang w:bidi="ar"/>
        </w:rPr>
        <w:t>单体电池的壳体应采用阻燃材料，具备防爆功能，阻燃等级不低于V-0。</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（4）</w:t>
      </w:r>
      <w:r>
        <w:rPr>
          <w:rFonts w:ascii="仿宋_GB2312" w:eastAsia="仿宋_GB2312"/>
          <w:sz w:val="32"/>
          <w:szCs w:val="22"/>
          <w:lang w:bidi="ar"/>
        </w:rPr>
        <w:t>电池模块的标称电压不宜超过60V。</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（5）</w:t>
      </w:r>
      <w:r>
        <w:rPr>
          <w:rFonts w:ascii="仿宋_GB2312" w:eastAsia="仿宋_GB2312"/>
          <w:sz w:val="32"/>
          <w:szCs w:val="22"/>
          <w:lang w:bidi="ar"/>
        </w:rPr>
        <w:t>如采用软体磷酸铁锂储能电池， 设备厂家应提供经实体火灾模拟试验验证有效的灭火技术方案。</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2.</w:t>
      </w:r>
      <w:r>
        <w:rPr>
          <w:rFonts w:ascii="仿宋_GB2312" w:eastAsia="仿宋_GB2312"/>
          <w:sz w:val="32"/>
          <w:szCs w:val="22"/>
          <w:lang w:bidi="ar"/>
        </w:rPr>
        <w:t>电池模块端子极性标识应正确、清晰，正极标志为红色</w:t>
      </w:r>
      <w:r>
        <w:rPr>
          <w:rFonts w:hint="eastAsia" w:ascii="仿宋_GB2312" w:eastAsia="仿宋_GB2312"/>
          <w:sz w:val="32"/>
          <w:szCs w:val="22"/>
          <w:lang w:bidi="ar"/>
        </w:rPr>
        <w:t>“</w:t>
      </w:r>
      <w:r>
        <w:rPr>
          <w:rFonts w:hint="eastAsia" w:ascii="宋体" w:hAnsi="宋体" w:cs="宋体"/>
          <w:color w:val="FF0000"/>
          <w:sz w:val="32"/>
          <w:szCs w:val="22"/>
          <w:lang w:bidi="ar"/>
        </w:rPr>
        <w:t>⊕</w:t>
      </w:r>
      <w:r>
        <w:rPr>
          <w:rFonts w:hint="eastAsia" w:ascii="仿宋_GB2312" w:eastAsia="仿宋_GB2312"/>
          <w:sz w:val="32"/>
          <w:szCs w:val="22"/>
          <w:lang w:bidi="ar"/>
        </w:rPr>
        <w:t>”</w:t>
      </w:r>
      <w:r>
        <w:rPr>
          <w:rFonts w:ascii="仿宋_GB2312" w:eastAsia="仿宋_GB2312"/>
          <w:sz w:val="32"/>
          <w:szCs w:val="22"/>
          <w:lang w:bidi="ar"/>
        </w:rPr>
        <w:t>，负极标志为黑色</w:t>
      </w:r>
      <w:r>
        <w:rPr>
          <w:rFonts w:hint="eastAsia" w:ascii="仿宋_GB2312" w:eastAsia="仿宋_GB2312"/>
          <w:sz w:val="32"/>
          <w:szCs w:val="22"/>
          <w:lang w:bidi="ar"/>
        </w:rPr>
        <w:t>“ -○ ”</w:t>
      </w:r>
      <w:r>
        <w:rPr>
          <w:rFonts w:ascii="仿宋_GB2312" w:eastAsia="仿宋_GB2312"/>
          <w:sz w:val="32"/>
          <w:szCs w:val="22"/>
          <w:lang w:bidi="ar"/>
        </w:rPr>
        <w:t>，具备结构性防反接功能，防止电池模块成簇接线时出现人为短路。</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3.</w:t>
      </w:r>
      <w:r>
        <w:rPr>
          <w:rFonts w:ascii="仿宋_GB2312" w:eastAsia="仿宋_GB2312"/>
          <w:sz w:val="32"/>
          <w:szCs w:val="22"/>
          <w:lang w:bidi="ar"/>
        </w:rPr>
        <w:t>电池模块、电池簇结构应符合以下要求</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w:t>
      </w:r>
      <w:r>
        <w:rPr>
          <w:rFonts w:ascii="仿宋_GB2312" w:eastAsia="仿宋_GB2312"/>
          <w:sz w:val="32"/>
          <w:szCs w:val="22"/>
          <w:lang w:bidi="ar"/>
        </w:rPr>
        <w:t>电池模块成组设计时应考虑在触电、短路或紧急情况下迅速断开回路，进行事故隔离，保证人身安全。</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w:t>
      </w:r>
      <w:r>
        <w:rPr>
          <w:rFonts w:ascii="仿宋_GB2312" w:eastAsia="仿宋_GB2312"/>
          <w:sz w:val="32"/>
          <w:szCs w:val="22"/>
          <w:lang w:bidi="ar"/>
        </w:rPr>
        <w:t>电池模块、簇外壳设计，应与固定自动灭火系统相关技术要求匹配，保留部分非密封面，便于实施灭火。</w:t>
      </w:r>
    </w:p>
    <w:p>
      <w:pPr>
        <w:pStyle w:val="3"/>
        <w:spacing w:before="0" w:after="0" w:line="590" w:lineRule="exact"/>
        <w:ind w:firstLine="640" w:firstLineChars="200"/>
        <w:jc w:val="left"/>
        <w:rPr>
          <w:rFonts w:ascii="Times New Roman" w:hAnsi="Times New Roman" w:eastAsia="楷体_GB2312"/>
          <w:b w:val="0"/>
          <w:bCs w:val="0"/>
          <w:lang w:bidi="ar"/>
        </w:rPr>
      </w:pPr>
      <w:bookmarkStart w:id="269" w:name="_Toc3398"/>
      <w:bookmarkStart w:id="270" w:name="_Toc78835227"/>
      <w:bookmarkStart w:id="271" w:name="_Toc78835323"/>
      <w:r>
        <w:rPr>
          <w:rFonts w:hint="eastAsia" w:ascii="Times New Roman" w:hAnsi="Times New Roman" w:eastAsia="楷体_GB2312"/>
          <w:b w:val="0"/>
          <w:bCs w:val="0"/>
          <w:lang w:bidi="ar"/>
        </w:rPr>
        <w:t>（三）</w:t>
      </w:r>
      <w:r>
        <w:rPr>
          <w:rFonts w:ascii="Times New Roman" w:hAnsi="Times New Roman" w:eastAsia="楷体_GB2312"/>
          <w:b w:val="0"/>
          <w:bCs w:val="0"/>
          <w:lang w:bidi="ar"/>
        </w:rPr>
        <w:t>储能系统电池管理系统安全技术要求</w:t>
      </w:r>
      <w:bookmarkEnd w:id="269"/>
      <w:bookmarkEnd w:id="270"/>
      <w:bookmarkEnd w:id="271"/>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w:t>
      </w:r>
      <w:r>
        <w:rPr>
          <w:rFonts w:ascii="仿宋_GB2312" w:eastAsia="仿宋_GB2312"/>
          <w:sz w:val="32"/>
          <w:szCs w:val="22"/>
          <w:lang w:bidi="ar"/>
        </w:rPr>
        <w:t>电池管理系统（BMS）应符合现行国家标准《电化学储能电站用锂离子电池管理系统技术规范》GB/T 34131</w:t>
      </w:r>
      <w:r>
        <w:rPr>
          <w:rFonts w:hint="eastAsia" w:ascii="仿宋_GB2312" w:eastAsia="仿宋_GB2312"/>
          <w:sz w:val="32"/>
          <w:szCs w:val="22"/>
          <w:lang w:bidi="ar"/>
        </w:rPr>
        <w:t>-</w:t>
      </w:r>
      <w:r>
        <w:rPr>
          <w:rFonts w:ascii="仿宋_GB2312" w:eastAsia="仿宋_GB2312"/>
          <w:sz w:val="32"/>
          <w:szCs w:val="22"/>
          <w:lang w:bidi="ar"/>
        </w:rPr>
        <w:t>2017的规定，并增加可燃气体监测功能。</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w:t>
      </w:r>
      <w:r>
        <w:rPr>
          <w:rFonts w:ascii="仿宋_GB2312" w:eastAsia="仿宋_GB2312"/>
          <w:sz w:val="32"/>
          <w:szCs w:val="22"/>
          <w:lang w:bidi="ar"/>
        </w:rPr>
        <w:t xml:space="preserve">电池管理系统（BMS）应具有保护功能，具备电池过压保护、欠压保护、过流保护、短路保护、绝缘保护等电量保护功能，具备过温保护、气体保护等非电量保护功能，并能发出分级告警信号或跳闸指令，实现故障隔离。 </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3.</w:t>
      </w:r>
      <w:r>
        <w:rPr>
          <w:rFonts w:ascii="仿宋_GB2312" w:eastAsia="仿宋_GB2312"/>
          <w:sz w:val="32"/>
          <w:szCs w:val="22"/>
          <w:lang w:bidi="ar"/>
        </w:rPr>
        <w:t>每个电池模块的温度采集点数不少于4个，且每个串联节点至少设置1个温度采集点。</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4.</w:t>
      </w:r>
      <w:r>
        <w:rPr>
          <w:rFonts w:ascii="仿宋_GB2312" w:eastAsia="仿宋_GB2312"/>
          <w:sz w:val="32"/>
          <w:szCs w:val="22"/>
          <w:lang w:bidi="ar"/>
        </w:rPr>
        <w:t>每个预制舱应设置 H2、CO 等可燃气体探测采集点数不少于3个。可燃气体探测器宜选用红外光学型，采用防爆隔爆技术，具有硬接点、RS485等至少两路通信接口。每个可燃气体探测器一路信号传输给 BMS，进行判断，发出告警、跳闸，启动风机和预制舱外警示灯，并上送至监控系统；另一路信号传输给火灾报警控制器，用于启动灭火系统。</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5.</w:t>
      </w:r>
      <w:r>
        <w:rPr>
          <w:rFonts w:ascii="仿宋_GB2312" w:eastAsia="仿宋_GB2312"/>
          <w:sz w:val="32"/>
          <w:szCs w:val="22"/>
          <w:lang w:bidi="ar"/>
        </w:rPr>
        <w:t>电池簇并网时，应具有防止产生环流的措施。</w:t>
      </w:r>
    </w:p>
    <w:p>
      <w:pPr>
        <w:pStyle w:val="3"/>
        <w:spacing w:before="0" w:after="0" w:line="590" w:lineRule="exact"/>
        <w:ind w:firstLine="640" w:firstLineChars="200"/>
        <w:jc w:val="left"/>
        <w:rPr>
          <w:rFonts w:ascii="Times New Roman" w:hAnsi="Times New Roman" w:eastAsia="楷体_GB2312"/>
          <w:b w:val="0"/>
          <w:bCs w:val="0"/>
          <w:lang w:bidi="ar"/>
        </w:rPr>
      </w:pPr>
      <w:bookmarkStart w:id="272" w:name="_Toc78835228"/>
      <w:bookmarkStart w:id="273" w:name="_Toc78835324"/>
      <w:bookmarkStart w:id="274" w:name="_Toc31131"/>
      <w:r>
        <w:rPr>
          <w:rFonts w:hint="eastAsia" w:ascii="Times New Roman" w:hAnsi="Times New Roman" w:eastAsia="楷体_GB2312"/>
          <w:b w:val="0"/>
          <w:bCs w:val="0"/>
          <w:lang w:bidi="ar"/>
        </w:rPr>
        <w:t>（四）</w:t>
      </w:r>
      <w:r>
        <w:rPr>
          <w:rFonts w:ascii="Times New Roman" w:hAnsi="Times New Roman" w:eastAsia="楷体_GB2312"/>
          <w:b w:val="0"/>
          <w:bCs w:val="0"/>
          <w:lang w:bidi="ar"/>
        </w:rPr>
        <w:t>储能系统电池预制舱安全技术要求</w:t>
      </w:r>
      <w:bookmarkEnd w:id="272"/>
      <w:bookmarkEnd w:id="273"/>
      <w:bookmarkEnd w:id="274"/>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1.</w:t>
      </w:r>
      <w:r>
        <w:rPr>
          <w:rFonts w:ascii="仿宋_GB2312" w:eastAsia="仿宋_GB2312"/>
          <w:sz w:val="32"/>
          <w:szCs w:val="22"/>
          <w:lang w:bidi="ar"/>
        </w:rPr>
        <w:t>电池预制舱防火设计</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w:t>
      </w:r>
      <w:r>
        <w:rPr>
          <w:rFonts w:ascii="仿宋_GB2312" w:eastAsia="仿宋_GB2312"/>
          <w:sz w:val="32"/>
          <w:szCs w:val="22"/>
          <w:lang w:bidi="ar"/>
        </w:rPr>
        <w:t>电池预制舱防火设计应采取防止火势蔓延的措施，满足防腐、防爆、防火、防水、防潮、事故通风、应急疏散等要求，耐火极限应符合现行国家标准《建筑设计防火规范》GB 50016</w:t>
      </w:r>
      <w:r>
        <w:rPr>
          <w:rFonts w:hint="eastAsia" w:ascii="仿宋_GB2312" w:eastAsia="仿宋_GB2312"/>
          <w:sz w:val="32"/>
          <w:szCs w:val="22"/>
          <w:lang w:bidi="ar"/>
        </w:rPr>
        <w:t>-</w:t>
      </w:r>
      <w:r>
        <w:rPr>
          <w:rFonts w:ascii="仿宋_GB2312" w:eastAsia="仿宋_GB2312"/>
          <w:sz w:val="32"/>
          <w:szCs w:val="22"/>
          <w:lang w:bidi="ar"/>
        </w:rPr>
        <w:t>2014的有关规定。</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w:t>
      </w:r>
      <w:r>
        <w:rPr>
          <w:rFonts w:ascii="仿宋_GB2312" w:eastAsia="仿宋_GB2312"/>
          <w:sz w:val="32"/>
          <w:szCs w:val="22"/>
          <w:lang w:bidi="ar"/>
        </w:rPr>
        <w:t>电池预制舱外壳结构、隔热保温材料、内外部装饰材料等全部使用不燃材料。保温材料应采用岩棉。钢柱、箱柜和围护结构应采取防火保护。舱内装修材料的燃烧性能等级不应低于A级。</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（3）</w:t>
      </w:r>
      <w:r>
        <w:rPr>
          <w:rFonts w:ascii="仿宋_GB2312" w:eastAsia="仿宋_GB2312"/>
          <w:sz w:val="32"/>
          <w:szCs w:val="22"/>
          <w:lang w:bidi="ar"/>
        </w:rPr>
        <w:t>电池预制舱隔墙上有管线穿过时，管线四周空隙应采用不燃材料填密实，做好防火封堵。</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（4）</w:t>
      </w:r>
      <w:r>
        <w:rPr>
          <w:rFonts w:ascii="仿宋_GB2312" w:eastAsia="仿宋_GB2312"/>
          <w:sz w:val="32"/>
          <w:szCs w:val="22"/>
          <w:lang w:bidi="ar"/>
        </w:rPr>
        <w:t>电池预制舱应单层布置。两预制舱并列放置间距小于3m时，其间应设置不燃性防火墙，防火墙长度、高度超出预制舱外廓各1m，耐火极限不应低于3h。</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2.</w:t>
      </w:r>
      <w:r>
        <w:rPr>
          <w:rFonts w:ascii="仿宋_GB2312" w:eastAsia="仿宋_GB2312"/>
          <w:sz w:val="32"/>
          <w:szCs w:val="22"/>
          <w:lang w:bidi="ar"/>
        </w:rPr>
        <w:t>电池预制舱防护等级</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w:t>
      </w:r>
      <w:r>
        <w:rPr>
          <w:rFonts w:ascii="仿宋_GB2312" w:eastAsia="仿宋_GB2312"/>
          <w:sz w:val="32"/>
          <w:szCs w:val="22"/>
          <w:lang w:bidi="ar"/>
        </w:rPr>
        <w:t>电池预制舱防护等级不应低于现行国家标准《外壳防护等级（IP 代码）》GB 4208</w:t>
      </w:r>
      <w:r>
        <w:rPr>
          <w:rFonts w:hint="eastAsia" w:ascii="仿宋_GB2312" w:eastAsia="仿宋_GB2312"/>
          <w:sz w:val="32"/>
          <w:szCs w:val="22"/>
          <w:lang w:bidi="ar"/>
        </w:rPr>
        <w:t>-</w:t>
      </w:r>
      <w:r>
        <w:rPr>
          <w:rFonts w:ascii="仿宋_GB2312" w:eastAsia="仿宋_GB2312"/>
          <w:sz w:val="32"/>
          <w:szCs w:val="22"/>
          <w:lang w:bidi="ar"/>
        </w:rPr>
        <w:t>2017规定的IP55。</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w:t>
      </w:r>
      <w:r>
        <w:rPr>
          <w:rFonts w:ascii="仿宋_GB2312" w:eastAsia="仿宋_GB2312"/>
          <w:sz w:val="32"/>
          <w:szCs w:val="22"/>
          <w:lang w:bidi="ar"/>
        </w:rPr>
        <w:t>通风装置的风道应具备防尘防水措施。</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3.</w:t>
      </w:r>
      <w:r>
        <w:rPr>
          <w:rFonts w:ascii="仿宋_GB2312" w:eastAsia="仿宋_GB2312"/>
          <w:sz w:val="32"/>
          <w:szCs w:val="22"/>
          <w:lang w:bidi="ar"/>
        </w:rPr>
        <w:t>电池预制舱防爆要求</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w:t>
      </w:r>
      <w:r>
        <w:rPr>
          <w:rFonts w:ascii="仿宋_GB2312" w:eastAsia="仿宋_GB2312"/>
          <w:sz w:val="32"/>
          <w:szCs w:val="22"/>
          <w:lang w:bidi="ar"/>
        </w:rPr>
        <w:t>设置防爆型通风装置、防爆空调和防爆照明灯具、防爆开关。</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w:t>
      </w:r>
      <w:r>
        <w:rPr>
          <w:rFonts w:ascii="仿宋_GB2312" w:eastAsia="仿宋_GB2312"/>
          <w:sz w:val="32"/>
          <w:szCs w:val="22"/>
          <w:lang w:bidi="ar"/>
        </w:rPr>
        <w:t>投切储能电池簇用的继电器，应采用防爆型，或放置在专用密闭抽屉式开关柜内。</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（3）</w:t>
      </w:r>
      <w:r>
        <w:rPr>
          <w:rFonts w:ascii="仿宋_GB2312" w:eastAsia="仿宋_GB2312"/>
          <w:sz w:val="32"/>
          <w:szCs w:val="22"/>
          <w:lang w:bidi="ar"/>
        </w:rPr>
        <w:t>预制舱设泄压口，用于舱内电池发生火灾时泄压，宜设置在预制舱上部，可采用爆破式或常闭翻板式，开口面积根据试验核定。</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4.</w:t>
      </w:r>
      <w:r>
        <w:rPr>
          <w:rFonts w:ascii="仿宋_GB2312" w:eastAsia="仿宋_GB2312"/>
          <w:sz w:val="32"/>
          <w:szCs w:val="22"/>
          <w:lang w:bidi="ar"/>
        </w:rPr>
        <w:t>通风、空调和排烟</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w:t>
      </w:r>
      <w:r>
        <w:rPr>
          <w:rFonts w:ascii="仿宋_GB2312" w:eastAsia="仿宋_GB2312"/>
          <w:sz w:val="32"/>
          <w:szCs w:val="22"/>
          <w:lang w:bidi="ar"/>
        </w:rPr>
        <w:t>采暖、通风与空气调节设计应符合现行国家标准《工业建筑供暧通风与空气调节设计规范》GB 50019</w:t>
      </w:r>
      <w:r>
        <w:rPr>
          <w:rFonts w:hint="eastAsia" w:ascii="仿宋_GB2312" w:eastAsia="仿宋_GB2312"/>
          <w:sz w:val="32"/>
          <w:szCs w:val="22"/>
          <w:lang w:bidi="ar"/>
        </w:rPr>
        <w:t>-</w:t>
      </w:r>
      <w:r>
        <w:rPr>
          <w:rFonts w:ascii="仿宋_GB2312" w:eastAsia="仿宋_GB2312"/>
          <w:sz w:val="32"/>
          <w:szCs w:val="22"/>
          <w:lang w:bidi="ar"/>
        </w:rPr>
        <w:t>2015和《建筑设计防火规范》GB 50016</w:t>
      </w:r>
      <w:r>
        <w:rPr>
          <w:rFonts w:hint="eastAsia" w:ascii="仿宋_GB2312" w:eastAsia="仿宋_GB2312"/>
          <w:sz w:val="32"/>
          <w:szCs w:val="22"/>
          <w:lang w:bidi="ar"/>
        </w:rPr>
        <w:t>-</w:t>
      </w:r>
      <w:r>
        <w:rPr>
          <w:rFonts w:ascii="仿宋_GB2312" w:eastAsia="仿宋_GB2312"/>
          <w:sz w:val="32"/>
          <w:szCs w:val="22"/>
          <w:lang w:bidi="ar"/>
        </w:rPr>
        <w:t>2014的规定。</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w:t>
      </w:r>
      <w:r>
        <w:rPr>
          <w:rFonts w:ascii="仿宋_GB2312" w:eastAsia="仿宋_GB2312"/>
          <w:sz w:val="32"/>
          <w:szCs w:val="22"/>
          <w:lang w:bidi="ar"/>
        </w:rPr>
        <w:t>预制舱运行环境温度应在0~45</w:t>
      </w:r>
      <w:r>
        <w:rPr>
          <w:rFonts w:hint="eastAsia" w:ascii="仿宋_GB2312" w:eastAsia="仿宋_GB2312"/>
          <w:sz w:val="32"/>
          <w:szCs w:val="22"/>
          <w:lang w:bidi="ar"/>
        </w:rPr>
        <w:t>℃</w:t>
      </w:r>
      <w:r>
        <w:rPr>
          <w:rFonts w:ascii="仿宋_GB2312" w:eastAsia="仿宋_GB2312"/>
          <w:sz w:val="32"/>
          <w:szCs w:val="22"/>
          <w:lang w:bidi="ar"/>
        </w:rPr>
        <w:t>之间。</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（3）</w:t>
      </w:r>
      <w:r>
        <w:rPr>
          <w:rFonts w:ascii="仿宋_GB2312" w:eastAsia="仿宋_GB2312"/>
          <w:sz w:val="32"/>
          <w:szCs w:val="22"/>
          <w:lang w:bidi="ar"/>
        </w:rPr>
        <w:t>设置事故通风排烟装置，当电池发生热失控时，由 BMS 启动通风装置。排风系统应设置导除静电的接地装置，进风口设置应满足排风需要。</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5.</w:t>
      </w:r>
      <w:r>
        <w:rPr>
          <w:rFonts w:ascii="仿宋_GB2312" w:eastAsia="仿宋_GB2312"/>
          <w:sz w:val="32"/>
          <w:szCs w:val="22"/>
          <w:lang w:bidi="ar"/>
        </w:rPr>
        <w:t>防小动物等措施</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w:t>
      </w:r>
      <w:r>
        <w:rPr>
          <w:rFonts w:ascii="仿宋_GB2312" w:eastAsia="仿宋_GB2312"/>
          <w:sz w:val="32"/>
          <w:szCs w:val="22"/>
          <w:lang w:bidi="ar"/>
        </w:rPr>
        <w:t>预制舱的通风口、孔洞、门、电缆沟等与室外相通部位，应设置防止雨雪、风沙、小动物进入设施。</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w:t>
      </w:r>
      <w:r>
        <w:rPr>
          <w:rFonts w:ascii="仿宋_GB2312" w:eastAsia="仿宋_GB2312"/>
          <w:sz w:val="32"/>
          <w:szCs w:val="22"/>
          <w:lang w:bidi="ar"/>
        </w:rPr>
        <w:t>通风窗、通风机、孔洞的一侧可设细孔钢丝网，门槛处应设置挡鼠板。</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6.</w:t>
      </w:r>
      <w:r>
        <w:rPr>
          <w:rFonts w:ascii="仿宋_GB2312" w:eastAsia="仿宋_GB2312"/>
          <w:sz w:val="32"/>
          <w:szCs w:val="22"/>
          <w:lang w:bidi="ar"/>
        </w:rPr>
        <w:t>逃生设施与其他</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w:t>
      </w:r>
      <w:r>
        <w:rPr>
          <w:rFonts w:ascii="仿宋_GB2312" w:eastAsia="仿宋_GB2312"/>
          <w:sz w:val="32"/>
          <w:szCs w:val="22"/>
          <w:lang w:bidi="ar"/>
        </w:rPr>
        <w:t>预制舱内应设计有明确的安全逃生通道标识。一旦发生危险，人员可根据安全标识迅速逃离现场，并可手动启动报警系统。</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w:t>
      </w:r>
      <w:r>
        <w:rPr>
          <w:rFonts w:ascii="仿宋_GB2312" w:eastAsia="仿宋_GB2312"/>
          <w:sz w:val="32"/>
          <w:szCs w:val="22"/>
          <w:lang w:bidi="ar"/>
        </w:rPr>
        <w:t>门锁选用从内向外即推即开型，便于逃生。</w:t>
      </w:r>
    </w:p>
    <w:p>
      <w:pPr>
        <w:pStyle w:val="3"/>
        <w:spacing w:before="0" w:after="0" w:line="590" w:lineRule="exact"/>
        <w:ind w:firstLine="640" w:firstLineChars="200"/>
        <w:jc w:val="left"/>
        <w:rPr>
          <w:rFonts w:ascii="Times New Roman" w:hAnsi="Times New Roman" w:eastAsia="楷体_GB2312"/>
          <w:b w:val="0"/>
          <w:bCs w:val="0"/>
          <w:lang w:bidi="ar"/>
        </w:rPr>
      </w:pPr>
      <w:bookmarkStart w:id="275" w:name="_Toc78835229"/>
      <w:bookmarkStart w:id="276" w:name="_Toc14768"/>
      <w:bookmarkStart w:id="277" w:name="_Toc78835325"/>
      <w:r>
        <w:rPr>
          <w:rFonts w:hint="eastAsia" w:ascii="Times New Roman" w:hAnsi="Times New Roman" w:eastAsia="楷体_GB2312"/>
          <w:b w:val="0"/>
          <w:bCs w:val="0"/>
          <w:lang w:bidi="ar"/>
        </w:rPr>
        <w:t>（五）</w:t>
      </w:r>
      <w:r>
        <w:rPr>
          <w:rFonts w:ascii="Times New Roman" w:hAnsi="Times New Roman" w:eastAsia="楷体_GB2312"/>
          <w:b w:val="0"/>
          <w:bCs w:val="0"/>
          <w:lang w:bidi="ar"/>
        </w:rPr>
        <w:t>消防设施技术要求</w:t>
      </w:r>
      <w:bookmarkEnd w:id="275"/>
      <w:bookmarkEnd w:id="276"/>
      <w:bookmarkEnd w:id="277"/>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1.总体要求</w:t>
      </w:r>
    </w:p>
    <w:p>
      <w:pPr>
        <w:spacing w:line="590" w:lineRule="exact"/>
        <w:ind w:firstLine="640" w:firstLineChars="200"/>
        <w:jc w:val="left"/>
        <w:rPr>
          <w:rFonts w:ascii="仿宋_GB2312" w:eastAsia="仿宋_GB2312"/>
          <w:sz w:val="32"/>
          <w:szCs w:val="22"/>
          <w:lang w:bidi="ar"/>
        </w:rPr>
      </w:pPr>
      <w:r>
        <w:rPr>
          <w:rFonts w:ascii="仿宋_GB2312" w:eastAsia="仿宋_GB2312"/>
          <w:sz w:val="32"/>
          <w:szCs w:val="22"/>
          <w:lang w:bidi="ar"/>
        </w:rPr>
        <w:t>储能系统消防设计应遵循“预防为主、防消结合”的原则， 落实现行国家标准的强制性规定，系统性从电池、电池管理系统、灭火系统等方面进行综合考虑。</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2.</w:t>
      </w:r>
      <w:r>
        <w:rPr>
          <w:rFonts w:ascii="仿宋_GB2312" w:eastAsia="仿宋_GB2312"/>
          <w:sz w:val="32"/>
          <w:szCs w:val="22"/>
          <w:lang w:bidi="ar"/>
        </w:rPr>
        <w:t>火灾报警系统</w:t>
      </w:r>
    </w:p>
    <w:p>
      <w:pPr>
        <w:spacing w:line="590" w:lineRule="exact"/>
        <w:ind w:firstLine="640" w:firstLineChars="200"/>
        <w:jc w:val="left"/>
        <w:rPr>
          <w:rFonts w:ascii="仿宋_GB2312" w:eastAsia="仿宋_GB2312"/>
          <w:sz w:val="32"/>
          <w:szCs w:val="22"/>
          <w:lang w:bidi="ar"/>
        </w:rPr>
      </w:pPr>
      <w:r>
        <w:rPr>
          <w:rFonts w:ascii="仿宋_GB2312" w:eastAsia="仿宋_GB2312"/>
          <w:sz w:val="32"/>
          <w:szCs w:val="22"/>
          <w:lang w:bidi="ar"/>
        </w:rPr>
        <w:t xml:space="preserve">电池预制舱内设置单独的火灾报警及其联动控制系统，用于火灾探测、逻辑判断和固定自动灭火系统的联动控制。火灾报警系统应符合现行国家标准《火灾自动报警系统设计规范》GB 50116的规定。 </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3.</w:t>
      </w:r>
      <w:r>
        <w:rPr>
          <w:rFonts w:ascii="仿宋_GB2312" w:eastAsia="仿宋_GB2312"/>
          <w:sz w:val="32"/>
          <w:szCs w:val="22"/>
          <w:lang w:bidi="ar"/>
        </w:rPr>
        <w:t>固定式灭火系统</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w:t>
      </w:r>
      <w:r>
        <w:rPr>
          <w:rFonts w:ascii="仿宋_GB2312" w:eastAsia="仿宋_GB2312"/>
          <w:sz w:val="32"/>
          <w:szCs w:val="22"/>
          <w:lang w:bidi="ar"/>
        </w:rPr>
        <w:t>消防给水系统的设置应符合现行国家标准《电化学储能电站设计规范》GB 51048的规定。消火栓系统设计应符合现行国家标准《消防给水及消火栓系统技术规范》GB 50974</w:t>
      </w:r>
      <w:r>
        <w:rPr>
          <w:rFonts w:hint="eastAsia" w:ascii="仿宋_GB2312" w:eastAsia="仿宋_GB2312"/>
          <w:sz w:val="32"/>
          <w:szCs w:val="22"/>
          <w:lang w:bidi="ar"/>
        </w:rPr>
        <w:t>-</w:t>
      </w:r>
      <w:r>
        <w:rPr>
          <w:rFonts w:ascii="仿宋_GB2312" w:eastAsia="仿宋_GB2312"/>
          <w:sz w:val="32"/>
          <w:szCs w:val="22"/>
          <w:lang w:bidi="ar"/>
        </w:rPr>
        <w:t>2014 的规定。电池预制舱内不设室内消火栓。</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w:t>
      </w:r>
      <w:r>
        <w:rPr>
          <w:rFonts w:ascii="仿宋_GB2312" w:eastAsia="仿宋_GB2312"/>
          <w:sz w:val="32"/>
          <w:szCs w:val="22"/>
          <w:lang w:bidi="ar"/>
        </w:rPr>
        <w:t>磷酸铁锂电池预制舱内应设置固定式自动灭火系统，宜采用细水雾灭火系统。</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（3）</w:t>
      </w:r>
      <w:r>
        <w:rPr>
          <w:rFonts w:ascii="仿宋_GB2312" w:eastAsia="仿宋_GB2312"/>
          <w:sz w:val="32"/>
          <w:szCs w:val="22"/>
          <w:lang w:bidi="ar"/>
        </w:rPr>
        <w:t>细水雾灭火系统应具有自动、手动、现场机械启动方式和远方应急启动方式。</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（4）</w:t>
      </w:r>
      <w:r>
        <w:rPr>
          <w:rFonts w:ascii="仿宋_GB2312" w:eastAsia="仿宋_GB2312"/>
          <w:sz w:val="32"/>
          <w:szCs w:val="22"/>
          <w:lang w:bidi="ar"/>
        </w:rPr>
        <w:t>细水雾灭火系统的启动应符合“先断电、后灭火” 的要求。灭火系统控制组件在接收到预警信号或火灾信号后，根据既定灭火策略，自动启动灭火系统。</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（5）</w:t>
      </w:r>
      <w:r>
        <w:rPr>
          <w:rFonts w:ascii="仿宋_GB2312" w:eastAsia="仿宋_GB2312"/>
          <w:sz w:val="32"/>
          <w:szCs w:val="22"/>
          <w:lang w:bidi="ar"/>
        </w:rPr>
        <w:t>施工单位在预制舱安装电池模块前，应将细水雾灭火系统安装调试到位。检修单位检修时，应确保细水雾灭火系统处于正常运行状态。当在施工、调试或检修过程中发生预制舱电池火灾时，应立即启动灭火系统进行灭火。</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4.</w:t>
      </w:r>
      <w:r>
        <w:rPr>
          <w:rFonts w:ascii="仿宋_GB2312" w:eastAsia="仿宋_GB2312"/>
          <w:sz w:val="32"/>
          <w:szCs w:val="22"/>
          <w:lang w:bidi="ar"/>
        </w:rPr>
        <w:t>防火安全距离</w:t>
      </w:r>
    </w:p>
    <w:p>
      <w:pPr>
        <w:spacing w:line="590" w:lineRule="exact"/>
        <w:ind w:firstLine="640" w:firstLineChars="200"/>
        <w:jc w:val="left"/>
        <w:rPr>
          <w:rFonts w:ascii="仿宋_GB2312" w:eastAsia="仿宋_GB2312"/>
          <w:sz w:val="32"/>
          <w:szCs w:val="22"/>
          <w:lang w:bidi="ar"/>
        </w:rPr>
      </w:pPr>
      <w:r>
        <w:rPr>
          <w:rFonts w:ascii="仿宋_GB2312" w:eastAsia="仿宋_GB2312"/>
          <w:sz w:val="32"/>
          <w:szCs w:val="22"/>
          <w:lang w:bidi="ar"/>
        </w:rPr>
        <w:t>储能系统与建、构筑物及设备的防火间距执行现行国家标准《电化学储能电站设计规范》GB 51048表4.0.3的规定。</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5.</w:t>
      </w:r>
      <w:r>
        <w:rPr>
          <w:rFonts w:ascii="仿宋_GB2312" w:eastAsia="仿宋_GB2312"/>
          <w:sz w:val="32"/>
          <w:szCs w:val="22"/>
          <w:lang w:bidi="ar"/>
        </w:rPr>
        <w:t>消防供电与防雷接地</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w:t>
      </w:r>
      <w:r>
        <w:rPr>
          <w:rFonts w:ascii="仿宋_GB2312" w:eastAsia="仿宋_GB2312"/>
          <w:sz w:val="32"/>
          <w:szCs w:val="22"/>
          <w:lang w:bidi="ar"/>
        </w:rPr>
        <w:t>储能系统消防供电设计应符合现行国家标准《建筑设计防火规范》GB 50016-2014的规定。电池预制舱细水雾灭火系统应采用一级消防供电，其中一路电源可采用储能电源。</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w:t>
      </w:r>
      <w:r>
        <w:rPr>
          <w:rFonts w:ascii="仿宋_GB2312" w:eastAsia="仿宋_GB2312"/>
          <w:sz w:val="32"/>
          <w:szCs w:val="22"/>
          <w:lang w:bidi="ar"/>
        </w:rPr>
        <w:t>建筑物防雷设计，应符合现行国家标准《建筑物防雷设计规范》GB 50057</w:t>
      </w:r>
      <w:r>
        <w:rPr>
          <w:rFonts w:hint="eastAsia" w:ascii="仿宋_GB2312" w:eastAsia="仿宋_GB2312"/>
          <w:sz w:val="32"/>
          <w:szCs w:val="22"/>
          <w:lang w:bidi="ar"/>
        </w:rPr>
        <w:t>-</w:t>
      </w:r>
      <w:r>
        <w:rPr>
          <w:rFonts w:ascii="仿宋_GB2312" w:eastAsia="仿宋_GB2312"/>
          <w:sz w:val="32"/>
          <w:szCs w:val="22"/>
          <w:lang w:bidi="ar"/>
        </w:rPr>
        <w:t>2010的规定。</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（3）</w:t>
      </w:r>
      <w:r>
        <w:rPr>
          <w:rFonts w:ascii="仿宋_GB2312" w:eastAsia="仿宋_GB2312"/>
          <w:sz w:val="32"/>
          <w:szCs w:val="22"/>
          <w:lang w:bidi="ar"/>
        </w:rPr>
        <w:t>电力设备接地设计应符合现行国家标准《交流电气装置的接地设计规范》GB/T 50065</w:t>
      </w:r>
      <w:r>
        <w:rPr>
          <w:rFonts w:hint="eastAsia" w:ascii="仿宋_GB2312" w:eastAsia="仿宋_GB2312"/>
          <w:sz w:val="32"/>
          <w:szCs w:val="22"/>
          <w:lang w:bidi="ar"/>
        </w:rPr>
        <w:t>-</w:t>
      </w:r>
      <w:r>
        <w:rPr>
          <w:rFonts w:ascii="仿宋_GB2312" w:eastAsia="仿宋_GB2312"/>
          <w:sz w:val="32"/>
          <w:szCs w:val="22"/>
          <w:lang w:bidi="ar"/>
        </w:rPr>
        <w:t>2011的规定。</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（4）</w:t>
      </w:r>
      <w:r>
        <w:rPr>
          <w:rFonts w:ascii="仿宋_GB2312" w:eastAsia="仿宋_GB2312"/>
          <w:sz w:val="32"/>
          <w:szCs w:val="22"/>
          <w:lang w:bidi="ar"/>
        </w:rPr>
        <w:t xml:space="preserve">电池预制舱内消防管道应可靠接地。 </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6.</w:t>
      </w:r>
      <w:r>
        <w:rPr>
          <w:rFonts w:ascii="仿宋_GB2312" w:eastAsia="仿宋_GB2312"/>
          <w:sz w:val="32"/>
          <w:szCs w:val="22"/>
          <w:lang w:bidi="ar"/>
        </w:rPr>
        <w:t>灭火救援设施</w:t>
      </w:r>
    </w:p>
    <w:p>
      <w:pPr>
        <w:spacing w:line="590" w:lineRule="exact"/>
        <w:ind w:firstLine="640" w:firstLineChars="200"/>
        <w:jc w:val="left"/>
        <w:rPr>
          <w:rFonts w:ascii="仿宋_GB2312" w:eastAsia="仿宋_GB2312"/>
          <w:sz w:val="32"/>
          <w:szCs w:val="22"/>
          <w:lang w:bidi="ar"/>
        </w:rPr>
      </w:pPr>
      <w:r>
        <w:rPr>
          <w:rFonts w:ascii="仿宋_GB2312" w:eastAsia="仿宋_GB2312"/>
          <w:sz w:val="32"/>
          <w:szCs w:val="22"/>
          <w:lang w:bidi="ar"/>
        </w:rPr>
        <w:t>消防救援设施设</w:t>
      </w:r>
      <w:bookmarkStart w:id="283" w:name="_GoBack"/>
      <w:bookmarkEnd w:id="283"/>
      <w:r>
        <w:rPr>
          <w:rFonts w:ascii="仿宋_GB2312" w:eastAsia="仿宋_GB2312"/>
          <w:sz w:val="32"/>
          <w:szCs w:val="22"/>
          <w:lang w:bidi="ar"/>
        </w:rPr>
        <w:t>计应符合现行国家标准《建筑防火设计规范》GB 50016</w:t>
      </w:r>
      <w:r>
        <w:rPr>
          <w:rFonts w:hint="eastAsia" w:ascii="仿宋_GB2312" w:eastAsia="仿宋_GB2312"/>
          <w:sz w:val="32"/>
          <w:szCs w:val="22"/>
          <w:lang w:bidi="ar"/>
        </w:rPr>
        <w:t>-</w:t>
      </w:r>
      <w:r>
        <w:rPr>
          <w:rFonts w:ascii="仿宋_GB2312" w:eastAsia="仿宋_GB2312"/>
          <w:sz w:val="32"/>
          <w:szCs w:val="22"/>
          <w:lang w:bidi="ar"/>
        </w:rPr>
        <w:t>2014第7章的规定。</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7.</w:t>
      </w:r>
      <w:r>
        <w:rPr>
          <w:rFonts w:ascii="仿宋_GB2312" w:eastAsia="仿宋_GB2312"/>
          <w:sz w:val="32"/>
          <w:szCs w:val="22"/>
          <w:lang w:bidi="ar"/>
        </w:rPr>
        <w:t>防火门及疏散</w:t>
      </w:r>
    </w:p>
    <w:p>
      <w:pPr>
        <w:spacing w:line="590" w:lineRule="exact"/>
        <w:ind w:firstLine="640" w:firstLineChars="200"/>
        <w:jc w:val="left"/>
        <w:rPr>
          <w:rFonts w:ascii="仿宋_GB2312" w:eastAsia="仿宋_GB2312"/>
          <w:sz w:val="32"/>
          <w:szCs w:val="22"/>
          <w:lang w:bidi="ar"/>
        </w:rPr>
      </w:pPr>
      <w:r>
        <w:rPr>
          <w:rFonts w:ascii="仿宋_GB2312" w:eastAsia="仿宋_GB2312"/>
          <w:sz w:val="32"/>
          <w:szCs w:val="22"/>
          <w:lang w:bidi="ar"/>
        </w:rPr>
        <w:t>执行现行国家标准《建筑防火设计规范》GB 50016</w:t>
      </w:r>
      <w:r>
        <w:rPr>
          <w:rFonts w:hint="eastAsia" w:ascii="仿宋_GB2312" w:eastAsia="仿宋_GB2312"/>
          <w:sz w:val="32"/>
          <w:szCs w:val="22"/>
          <w:lang w:bidi="ar"/>
        </w:rPr>
        <w:t>-</w:t>
      </w:r>
      <w:r>
        <w:rPr>
          <w:rFonts w:ascii="仿宋_GB2312" w:eastAsia="仿宋_GB2312"/>
          <w:sz w:val="32"/>
          <w:szCs w:val="22"/>
          <w:lang w:bidi="ar"/>
        </w:rPr>
        <w:t xml:space="preserve">2014 的相关规定。 </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8.</w:t>
      </w:r>
      <w:r>
        <w:rPr>
          <w:rFonts w:ascii="仿宋_GB2312" w:eastAsia="仿宋_GB2312"/>
          <w:sz w:val="32"/>
          <w:szCs w:val="22"/>
          <w:lang w:bidi="ar"/>
        </w:rPr>
        <w:t>给水排水</w:t>
      </w:r>
    </w:p>
    <w:p>
      <w:pPr>
        <w:spacing w:line="590" w:lineRule="exact"/>
        <w:ind w:firstLine="640" w:firstLineChars="200"/>
        <w:jc w:val="left"/>
        <w:rPr>
          <w:rFonts w:ascii="仿宋_GB2312" w:eastAsia="仿宋_GB2312"/>
          <w:sz w:val="32"/>
          <w:szCs w:val="22"/>
          <w:lang w:bidi="ar"/>
        </w:rPr>
      </w:pPr>
      <w:r>
        <w:rPr>
          <w:rFonts w:ascii="仿宋_GB2312" w:eastAsia="仿宋_GB2312"/>
          <w:sz w:val="32"/>
          <w:szCs w:val="22"/>
          <w:lang w:bidi="ar"/>
        </w:rPr>
        <w:t>执行现行国家标准《建筑给水排水设计规范》GB 50015</w:t>
      </w:r>
      <w:r>
        <w:rPr>
          <w:rFonts w:hint="eastAsia" w:ascii="仿宋_GB2312" w:eastAsia="仿宋_GB2312"/>
          <w:sz w:val="32"/>
          <w:szCs w:val="22"/>
          <w:lang w:bidi="ar"/>
        </w:rPr>
        <w:t>-</w:t>
      </w:r>
      <w:r>
        <w:rPr>
          <w:rFonts w:ascii="仿宋_GB2312" w:eastAsia="仿宋_GB2312"/>
          <w:sz w:val="32"/>
          <w:szCs w:val="22"/>
          <w:lang w:bidi="ar"/>
        </w:rPr>
        <w:t>2019的相关规定。</w:t>
      </w:r>
    </w:p>
    <w:p>
      <w:pPr>
        <w:spacing w:line="590" w:lineRule="exact"/>
        <w:ind w:firstLine="640" w:firstLineChars="200"/>
        <w:jc w:val="left"/>
        <w:outlineLvl w:val="2"/>
        <w:rPr>
          <w:rFonts w:ascii="仿宋_GB2312" w:eastAsia="仿宋_GB2312"/>
          <w:sz w:val="32"/>
          <w:szCs w:val="22"/>
          <w:lang w:bidi="ar"/>
        </w:rPr>
      </w:pPr>
      <w:r>
        <w:rPr>
          <w:rFonts w:hint="eastAsia" w:ascii="仿宋_GB2312" w:eastAsia="仿宋_GB2312"/>
          <w:sz w:val="32"/>
          <w:szCs w:val="22"/>
          <w:lang w:bidi="ar"/>
        </w:rPr>
        <w:t>9.</w:t>
      </w:r>
      <w:r>
        <w:rPr>
          <w:rFonts w:ascii="仿宋_GB2312" w:eastAsia="仿宋_GB2312"/>
          <w:sz w:val="32"/>
          <w:szCs w:val="22"/>
          <w:lang w:bidi="ar"/>
        </w:rPr>
        <w:t>消防器材配置</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（1）</w:t>
      </w:r>
      <w:r>
        <w:rPr>
          <w:rFonts w:ascii="仿宋_GB2312" w:eastAsia="仿宋_GB2312"/>
          <w:sz w:val="32"/>
          <w:szCs w:val="22"/>
          <w:lang w:bidi="ar"/>
        </w:rPr>
        <w:t>灭火器配置应符合现行国家标准《建筑灭火器配置设计规范》GB 50140</w:t>
      </w:r>
      <w:r>
        <w:rPr>
          <w:rFonts w:hint="eastAsia" w:ascii="仿宋_GB2312" w:eastAsia="仿宋_GB2312"/>
          <w:sz w:val="32"/>
          <w:szCs w:val="22"/>
          <w:lang w:bidi="ar"/>
        </w:rPr>
        <w:t>-</w:t>
      </w:r>
      <w:r>
        <w:rPr>
          <w:rFonts w:ascii="仿宋_GB2312" w:eastAsia="仿宋_GB2312"/>
          <w:sz w:val="32"/>
          <w:szCs w:val="22"/>
          <w:lang w:bidi="ar"/>
        </w:rPr>
        <w:t>2005的相关规定。</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（2）</w:t>
      </w:r>
      <w:r>
        <w:rPr>
          <w:rFonts w:ascii="仿宋_GB2312" w:eastAsia="仿宋_GB2312"/>
          <w:sz w:val="32"/>
          <w:szCs w:val="22"/>
          <w:lang w:bidi="ar"/>
        </w:rPr>
        <w:t xml:space="preserve">电池预制舱场地内应配置至少1处锂离子电池事故处理水池。水池具有充水管路，水位保持在80%以上。  </w:t>
      </w:r>
    </w:p>
    <w:p>
      <w:pPr>
        <w:spacing w:line="590" w:lineRule="exact"/>
        <w:ind w:firstLine="640" w:firstLineChars="200"/>
        <w:jc w:val="left"/>
        <w:rPr>
          <w:rFonts w:ascii="仿宋_GB2312" w:eastAsia="仿宋_GB2312"/>
          <w:sz w:val="32"/>
          <w:szCs w:val="22"/>
          <w:lang w:bidi="ar"/>
        </w:rPr>
      </w:pPr>
      <w:r>
        <w:rPr>
          <w:rFonts w:hint="eastAsia" w:ascii="仿宋_GB2312" w:eastAsia="仿宋_GB2312"/>
          <w:sz w:val="32"/>
          <w:szCs w:val="22"/>
          <w:lang w:bidi="ar"/>
        </w:rPr>
        <w:t>（3）</w:t>
      </w:r>
      <w:r>
        <w:rPr>
          <w:rFonts w:ascii="仿宋_GB2312" w:eastAsia="仿宋_GB2312"/>
          <w:sz w:val="32"/>
          <w:szCs w:val="22"/>
          <w:lang w:bidi="ar"/>
        </w:rPr>
        <w:t xml:space="preserve">储能系统运维单位应在有人值班场所或储能系统内配置正压式空气呼吸器，不少于2套。正压式空气呼吸器应放置在专用设备柜内，定期检查，确保完好可用。 </w:t>
      </w:r>
      <w:bookmarkStart w:id="278" w:name="_Toc478584447"/>
      <w:bookmarkEnd w:id="278"/>
    </w:p>
    <w:p>
      <w:pPr>
        <w:spacing w:line="590" w:lineRule="exact"/>
        <w:ind w:firstLine="640" w:firstLineChars="200"/>
        <w:jc w:val="left"/>
        <w:rPr>
          <w:rFonts w:ascii="仿宋_GB2312" w:eastAsia="仿宋_GB2312"/>
          <w:sz w:val="32"/>
          <w:szCs w:val="22"/>
          <w:lang w:bidi="ar"/>
        </w:rPr>
      </w:pPr>
      <w:r>
        <w:rPr>
          <w:rFonts w:ascii="仿宋_GB2312" w:eastAsia="仿宋_GB2312"/>
          <w:sz w:val="32"/>
          <w:szCs w:val="22"/>
          <w:lang w:bidi="ar"/>
        </w:rPr>
        <w:br w:type="page"/>
      </w:r>
    </w:p>
    <w:p>
      <w:pPr>
        <w:pStyle w:val="2"/>
        <w:tabs>
          <w:tab w:val="clear" w:pos="0"/>
        </w:tabs>
        <w:spacing w:line="590" w:lineRule="exact"/>
        <w:ind w:firstLine="640" w:firstLineChars="200"/>
        <w:jc w:val="left"/>
        <w:rPr>
          <w:rFonts w:ascii="Times New Roman"/>
          <w:b w:val="0"/>
          <w:bCs w:val="0"/>
          <w:sz w:val="32"/>
        </w:rPr>
      </w:pPr>
      <w:bookmarkStart w:id="279" w:name="_Toc78835230"/>
      <w:bookmarkStart w:id="280" w:name="_Toc78835326"/>
      <w:r>
        <w:rPr>
          <w:rFonts w:ascii="Times New Roman"/>
          <w:b w:val="0"/>
          <w:bCs w:val="0"/>
          <w:sz w:val="32"/>
        </w:rPr>
        <w:t>附录A</w:t>
      </w:r>
      <w:r>
        <w:rPr>
          <w:rFonts w:hint="eastAsia" w:ascii="Times New Roman"/>
          <w:b w:val="0"/>
          <w:bCs w:val="0"/>
          <w:sz w:val="32"/>
        </w:rPr>
        <w:t>参考文献</w:t>
      </w:r>
      <w:bookmarkEnd w:id="279"/>
      <w:bookmarkEnd w:id="280"/>
    </w:p>
    <w:p>
      <w:pPr>
        <w:spacing w:line="590" w:lineRule="exact"/>
        <w:ind w:firstLine="640" w:firstLineChars="200"/>
        <w:jc w:val="left"/>
        <w:rPr>
          <w:rFonts w:ascii="仿宋_GB2312" w:eastAsia="仿宋_GB2312"/>
          <w:sz w:val="32"/>
          <w:szCs w:val="22"/>
          <w:lang w:bidi="ar"/>
        </w:rPr>
      </w:pPr>
    </w:p>
    <w:p>
      <w:pPr>
        <w:pStyle w:val="37"/>
        <w:spacing w:line="590" w:lineRule="exact"/>
        <w:ind w:firstLine="640"/>
        <w:jc w:val="left"/>
        <w:rPr>
          <w:rFonts w:ascii="仿宋_GB2312" w:eastAsia="仿宋_GB2312"/>
          <w:kern w:val="2"/>
          <w:sz w:val="32"/>
          <w:szCs w:val="22"/>
          <w:lang w:bidi="ar"/>
        </w:rPr>
      </w:pPr>
      <w:r>
        <w:rPr>
          <w:rFonts w:ascii="仿宋_GB2312" w:eastAsia="仿宋_GB2312"/>
          <w:kern w:val="2"/>
          <w:sz w:val="32"/>
          <w:szCs w:val="22"/>
          <w:lang w:bidi="ar"/>
        </w:rPr>
        <w:t xml:space="preserve">[1] </w:t>
      </w:r>
      <w:r>
        <w:fldChar w:fldCharType="begin"/>
      </w:r>
      <w:r>
        <w:instrText xml:space="preserve"> HYPERLINK "javascript:void(0)" </w:instrText>
      </w:r>
      <w:r>
        <w:fldChar w:fldCharType="separate"/>
      </w:r>
      <w:r>
        <w:rPr>
          <w:rFonts w:ascii="仿宋_GB2312" w:eastAsia="仿宋_GB2312"/>
          <w:kern w:val="2"/>
          <w:sz w:val="32"/>
          <w:szCs w:val="22"/>
          <w:lang w:bidi="ar"/>
        </w:rPr>
        <w:t>GB/T 20234.2-2015</w:t>
      </w:r>
      <w:r>
        <w:rPr>
          <w:rFonts w:ascii="仿宋_GB2312" w:eastAsia="仿宋_GB2312"/>
          <w:kern w:val="2"/>
          <w:sz w:val="32"/>
          <w:szCs w:val="22"/>
          <w:lang w:bidi="ar"/>
        </w:rPr>
        <w:fldChar w:fldCharType="end"/>
      </w:r>
      <w:r>
        <w:rPr>
          <w:rFonts w:ascii="仿宋_GB2312" w:eastAsia="仿宋_GB2312"/>
          <w:kern w:val="2"/>
          <w:sz w:val="32"/>
          <w:szCs w:val="22"/>
          <w:lang w:bidi="ar"/>
        </w:rPr>
        <w:t xml:space="preserve"> </w:t>
      </w:r>
      <w:r>
        <w:rPr>
          <w:rFonts w:hint="eastAsia" w:ascii="仿宋_GB2312" w:eastAsia="仿宋_GB2312"/>
          <w:kern w:val="2"/>
          <w:sz w:val="32"/>
          <w:szCs w:val="22"/>
          <w:lang w:bidi="ar"/>
        </w:rPr>
        <w:t>《</w:t>
      </w:r>
      <w:r>
        <w:rPr>
          <w:rFonts w:ascii="仿宋_GB2312" w:eastAsia="仿宋_GB2312"/>
          <w:kern w:val="2"/>
          <w:sz w:val="32"/>
          <w:szCs w:val="22"/>
          <w:lang w:bidi="ar"/>
        </w:rPr>
        <w:t>电动汽车传导充电用连接装置 第2部分：交流充电接口</w:t>
      </w:r>
      <w:r>
        <w:rPr>
          <w:rFonts w:hint="eastAsia" w:ascii="仿宋_GB2312" w:eastAsia="仿宋_GB2312"/>
          <w:kern w:val="2"/>
          <w:sz w:val="32"/>
          <w:szCs w:val="22"/>
          <w:lang w:bidi="ar"/>
        </w:rPr>
        <w:t>》</w:t>
      </w:r>
    </w:p>
    <w:p>
      <w:pPr>
        <w:pStyle w:val="37"/>
        <w:spacing w:line="590" w:lineRule="exact"/>
        <w:ind w:firstLine="640"/>
        <w:jc w:val="left"/>
        <w:rPr>
          <w:rFonts w:ascii="仿宋_GB2312" w:eastAsia="仿宋_GB2312"/>
          <w:kern w:val="2"/>
          <w:sz w:val="32"/>
          <w:szCs w:val="22"/>
          <w:lang w:bidi="ar"/>
        </w:rPr>
      </w:pPr>
      <w:r>
        <w:rPr>
          <w:rFonts w:ascii="仿宋_GB2312" w:eastAsia="仿宋_GB2312"/>
          <w:kern w:val="2"/>
          <w:sz w:val="32"/>
          <w:szCs w:val="22"/>
          <w:lang w:bidi="ar"/>
        </w:rPr>
        <w:t xml:space="preserve">[2] GB/T 20234.3-2015 </w:t>
      </w:r>
      <w:r>
        <w:rPr>
          <w:rFonts w:hint="eastAsia" w:ascii="仿宋_GB2312" w:eastAsia="仿宋_GB2312"/>
          <w:kern w:val="2"/>
          <w:sz w:val="32"/>
          <w:szCs w:val="22"/>
          <w:lang w:bidi="ar"/>
        </w:rPr>
        <w:t>《电动汽车传导充电用连接装置</w:t>
      </w:r>
      <w:r>
        <w:rPr>
          <w:rFonts w:ascii="仿宋_GB2312" w:eastAsia="仿宋_GB2312"/>
          <w:kern w:val="2"/>
          <w:sz w:val="32"/>
          <w:szCs w:val="22"/>
          <w:lang w:bidi="ar"/>
        </w:rPr>
        <w:t xml:space="preserve"> 第3部分：直流充电接口</w:t>
      </w:r>
      <w:r>
        <w:rPr>
          <w:rFonts w:hint="eastAsia" w:ascii="仿宋_GB2312" w:eastAsia="仿宋_GB2312"/>
          <w:kern w:val="2"/>
          <w:sz w:val="32"/>
          <w:szCs w:val="22"/>
          <w:lang w:bidi="ar"/>
        </w:rPr>
        <w:t>》</w:t>
      </w:r>
    </w:p>
    <w:p>
      <w:pPr>
        <w:pStyle w:val="37"/>
        <w:spacing w:line="590" w:lineRule="exact"/>
        <w:ind w:firstLine="640"/>
        <w:jc w:val="left"/>
        <w:rPr>
          <w:rFonts w:ascii="仿宋_GB2312" w:eastAsia="仿宋_GB2312"/>
          <w:kern w:val="2"/>
          <w:sz w:val="32"/>
          <w:szCs w:val="22"/>
          <w:lang w:bidi="ar"/>
        </w:rPr>
      </w:pPr>
      <w:r>
        <w:rPr>
          <w:rFonts w:ascii="仿宋_GB2312" w:eastAsia="仿宋_GB2312"/>
          <w:kern w:val="2"/>
          <w:sz w:val="32"/>
          <w:szCs w:val="22"/>
          <w:lang w:bidi="ar"/>
        </w:rPr>
        <w:t xml:space="preserve">[3] GB/T 34658-2017  </w:t>
      </w:r>
      <w:r>
        <w:rPr>
          <w:rFonts w:hint="eastAsia" w:ascii="仿宋_GB2312" w:eastAsia="仿宋_GB2312"/>
          <w:kern w:val="2"/>
          <w:sz w:val="32"/>
          <w:szCs w:val="22"/>
          <w:lang w:bidi="ar"/>
        </w:rPr>
        <w:t>《电动汽车非车载传导式充电机与电池管理系统之间的通信协议一致性测试》</w:t>
      </w:r>
    </w:p>
    <w:p>
      <w:pPr>
        <w:pStyle w:val="37"/>
        <w:spacing w:line="590" w:lineRule="exact"/>
        <w:ind w:firstLine="640"/>
        <w:jc w:val="left"/>
        <w:rPr>
          <w:rFonts w:ascii="仿宋_GB2312" w:eastAsia="仿宋_GB2312"/>
          <w:kern w:val="2"/>
          <w:sz w:val="32"/>
          <w:szCs w:val="22"/>
          <w:lang w:bidi="ar"/>
        </w:rPr>
      </w:pPr>
      <w:r>
        <w:rPr>
          <w:rFonts w:ascii="仿宋_GB2312" w:eastAsia="仿宋_GB2312"/>
          <w:kern w:val="2"/>
          <w:sz w:val="32"/>
          <w:szCs w:val="22"/>
          <w:lang w:bidi="ar"/>
        </w:rPr>
        <w:t xml:space="preserve">[4] GB 17625.1-2012   </w:t>
      </w:r>
      <w:r>
        <w:rPr>
          <w:rFonts w:hint="eastAsia" w:ascii="仿宋_GB2312" w:eastAsia="仿宋_GB2312"/>
          <w:kern w:val="2"/>
          <w:sz w:val="32"/>
          <w:szCs w:val="22"/>
          <w:lang w:bidi="ar"/>
        </w:rPr>
        <w:t>《</w:t>
      </w:r>
      <w:r>
        <w:rPr>
          <w:rFonts w:ascii="仿宋_GB2312" w:eastAsia="仿宋_GB2312"/>
          <w:kern w:val="2"/>
          <w:sz w:val="32"/>
          <w:szCs w:val="22"/>
          <w:lang w:bidi="ar"/>
        </w:rPr>
        <w:t>电磁兼容 限值 谐波电流发射限值（设备每相输入电流≤16A）</w:t>
      </w:r>
      <w:r>
        <w:rPr>
          <w:rFonts w:hint="eastAsia" w:ascii="仿宋_GB2312" w:eastAsia="仿宋_GB2312"/>
          <w:kern w:val="2"/>
          <w:sz w:val="32"/>
          <w:szCs w:val="22"/>
          <w:lang w:bidi="ar"/>
        </w:rPr>
        <w:t>》</w:t>
      </w:r>
    </w:p>
    <w:p>
      <w:pPr>
        <w:pStyle w:val="37"/>
        <w:spacing w:line="590" w:lineRule="exact"/>
        <w:jc w:val="left"/>
      </w:pPr>
    </w:p>
    <w:p>
      <w:pPr>
        <w:pStyle w:val="37"/>
        <w:spacing w:line="590" w:lineRule="exact"/>
        <w:jc w:val="left"/>
      </w:pPr>
    </w:p>
    <w:p>
      <w:pPr>
        <w:pStyle w:val="37"/>
        <w:spacing w:line="590" w:lineRule="exact"/>
        <w:jc w:val="left"/>
      </w:pPr>
    </w:p>
    <w:p>
      <w:pPr>
        <w:pStyle w:val="37"/>
        <w:spacing w:line="590" w:lineRule="exact"/>
        <w:jc w:val="left"/>
      </w:pPr>
    </w:p>
    <w:p>
      <w:pPr>
        <w:pStyle w:val="37"/>
        <w:spacing w:line="590" w:lineRule="exact"/>
        <w:jc w:val="left"/>
      </w:pPr>
    </w:p>
    <w:p>
      <w:pPr>
        <w:pStyle w:val="37"/>
        <w:spacing w:line="590" w:lineRule="exact"/>
        <w:jc w:val="left"/>
      </w:pPr>
    </w:p>
    <w:p>
      <w:pPr>
        <w:pStyle w:val="37"/>
        <w:spacing w:line="590" w:lineRule="exact"/>
        <w:jc w:val="left"/>
      </w:pPr>
    </w:p>
    <w:p>
      <w:pPr>
        <w:pStyle w:val="37"/>
        <w:spacing w:line="590" w:lineRule="exact"/>
        <w:jc w:val="left"/>
      </w:pPr>
    </w:p>
    <w:p>
      <w:pPr>
        <w:pStyle w:val="37"/>
        <w:spacing w:line="590" w:lineRule="exact"/>
        <w:jc w:val="left"/>
      </w:pPr>
    </w:p>
    <w:p>
      <w:pPr>
        <w:pStyle w:val="37"/>
        <w:spacing w:line="590" w:lineRule="exact"/>
        <w:jc w:val="left"/>
      </w:pPr>
    </w:p>
    <w:p>
      <w:pPr>
        <w:pStyle w:val="37"/>
        <w:spacing w:line="590" w:lineRule="exact"/>
        <w:jc w:val="left"/>
      </w:pPr>
    </w:p>
    <w:p>
      <w:pPr>
        <w:pStyle w:val="37"/>
        <w:spacing w:line="590" w:lineRule="exact"/>
        <w:jc w:val="left"/>
      </w:pPr>
    </w:p>
    <w:p>
      <w:pPr>
        <w:pStyle w:val="2"/>
        <w:tabs>
          <w:tab w:val="clear" w:pos="0"/>
        </w:tabs>
        <w:spacing w:line="590" w:lineRule="exact"/>
        <w:ind w:firstLine="640" w:firstLineChars="200"/>
        <w:jc w:val="left"/>
        <w:rPr>
          <w:rFonts w:ascii="Times New Roman"/>
          <w:b w:val="0"/>
          <w:bCs w:val="0"/>
          <w:sz w:val="32"/>
        </w:rPr>
      </w:pPr>
      <w:bookmarkStart w:id="281" w:name="_Toc78835231"/>
      <w:bookmarkStart w:id="282" w:name="_Toc78835327"/>
      <w:r>
        <w:rPr>
          <w:rFonts w:ascii="Times New Roman"/>
          <w:b w:val="0"/>
          <w:bCs w:val="0"/>
          <w:sz w:val="32"/>
        </w:rPr>
        <w:t>附录</w:t>
      </w:r>
      <w:r>
        <w:rPr>
          <w:rFonts w:hint="eastAsia" w:ascii="Times New Roman"/>
          <w:b w:val="0"/>
          <w:bCs w:val="0"/>
          <w:sz w:val="32"/>
        </w:rPr>
        <w:t>B编制说明</w:t>
      </w:r>
      <w:bookmarkEnd w:id="281"/>
      <w:bookmarkEnd w:id="282"/>
    </w:p>
    <w:p>
      <w:pPr>
        <w:pStyle w:val="37"/>
        <w:spacing w:line="590" w:lineRule="exact"/>
        <w:ind w:firstLine="640"/>
        <w:jc w:val="left"/>
        <w:rPr>
          <w:rFonts w:ascii="仿宋_GB2312" w:eastAsia="仿宋_GB2312"/>
          <w:kern w:val="2"/>
          <w:sz w:val="32"/>
          <w:szCs w:val="22"/>
          <w:lang w:bidi="ar"/>
        </w:rPr>
      </w:pPr>
    </w:p>
    <w:p>
      <w:pPr>
        <w:pStyle w:val="37"/>
        <w:spacing w:line="590" w:lineRule="exact"/>
        <w:ind w:firstLine="640"/>
        <w:jc w:val="left"/>
        <w:rPr>
          <w:rFonts w:ascii="仿宋_GB2312" w:eastAsia="仿宋_GB2312"/>
          <w:kern w:val="2"/>
          <w:sz w:val="32"/>
          <w:szCs w:val="22"/>
          <w:lang w:bidi="ar"/>
        </w:rPr>
      </w:pPr>
      <w:r>
        <w:rPr>
          <w:rFonts w:hint="eastAsia" w:ascii="仿宋_GB2312" w:eastAsia="仿宋_GB2312"/>
          <w:kern w:val="2"/>
          <w:sz w:val="32"/>
          <w:szCs w:val="22"/>
          <w:lang w:bidi="ar"/>
        </w:rPr>
        <w:t>本规范由河北雄安新区</w:t>
      </w:r>
      <w:r>
        <w:rPr>
          <w:rFonts w:hint="eastAsia" w:ascii="仿宋_GB2312" w:eastAsia="仿宋_GB2312"/>
          <w:kern w:val="2"/>
          <w:sz w:val="32"/>
          <w:szCs w:val="22"/>
          <w:lang w:val="en-US" w:eastAsia="zh-CN" w:bidi="ar"/>
        </w:rPr>
        <w:t>管理委员会</w:t>
      </w:r>
      <w:r>
        <w:rPr>
          <w:rFonts w:hint="eastAsia" w:ascii="仿宋_GB2312" w:eastAsia="仿宋_GB2312"/>
          <w:kern w:val="2"/>
          <w:sz w:val="32"/>
          <w:szCs w:val="22"/>
          <w:lang w:bidi="ar"/>
        </w:rPr>
        <w:t>提出并解释。</w:t>
      </w:r>
    </w:p>
    <w:p>
      <w:pPr>
        <w:pStyle w:val="37"/>
        <w:spacing w:line="590" w:lineRule="exact"/>
        <w:ind w:firstLine="640"/>
        <w:jc w:val="left"/>
        <w:rPr>
          <w:rFonts w:ascii="仿宋_GB2312" w:eastAsia="仿宋_GB2312"/>
          <w:kern w:val="2"/>
          <w:sz w:val="32"/>
          <w:szCs w:val="22"/>
          <w:lang w:bidi="ar"/>
        </w:rPr>
      </w:pPr>
      <w:r>
        <w:rPr>
          <w:rFonts w:hint="eastAsia" w:ascii="仿宋_GB2312" w:eastAsia="仿宋_GB2312"/>
          <w:kern w:val="2"/>
          <w:sz w:val="32"/>
          <w:szCs w:val="22"/>
          <w:lang w:bidi="ar"/>
        </w:rPr>
        <w:t>本规范起草单位：国网河北省电力有限公司雄安新区供电公司、北京国网普瑞特高压输电技术有限公司、国电南瑞南京控制系统有限公司、特来电新能源股份有限公司、国网雄安综合能源服务有限公司。</w:t>
      </w:r>
    </w:p>
    <w:p>
      <w:pPr>
        <w:pStyle w:val="37"/>
        <w:spacing w:line="590" w:lineRule="exact"/>
        <w:ind w:firstLine="640"/>
        <w:jc w:val="left"/>
        <w:rPr>
          <w:rFonts w:ascii="仿宋_GB2312" w:eastAsia="仿宋_GB2312"/>
          <w:kern w:val="2"/>
          <w:sz w:val="32"/>
          <w:szCs w:val="22"/>
          <w:lang w:bidi="ar"/>
        </w:rPr>
      </w:pPr>
      <w:r>
        <w:rPr>
          <w:rFonts w:hint="eastAsia" w:ascii="仿宋_GB2312" w:eastAsia="仿宋_GB2312"/>
          <w:kern w:val="2"/>
          <w:sz w:val="32"/>
          <w:szCs w:val="22"/>
          <w:lang w:bidi="ar"/>
        </w:rPr>
        <w:t>本规范主要起草人：唐凡、王勇、李月强、马涛、张坤、赵翔、刘华锋、王冰、吕金立。</w:t>
      </w:r>
    </w:p>
    <w:sectPr>
      <w:footerReference r:id="rId4" w:type="default"/>
      <w:pgSz w:w="11906" w:h="16838"/>
      <w:pgMar w:top="1928" w:right="1531" w:bottom="1814" w:left="1531"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EU-F1">
    <w:altName w:val="黑体"/>
    <w:panose1 w:val="00000000000000000000"/>
    <w:charset w:val="86"/>
    <w:family w:val="script"/>
    <w:pitch w:val="default"/>
    <w:sig w:usb0="00000000" w:usb1="00000000" w:usb2="00000010" w:usb3="00000000" w:csb0="00040000" w:csb1="00000000"/>
  </w:font>
  <w:font w:name="Microsoft YaHei UI">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Yu Mincho Light">
    <w:altName w:val="Yu Gothic UI Light"/>
    <w:panose1 w:val="02020300000000000000"/>
    <w:charset w:val="80"/>
    <w:family w:val="roman"/>
    <w:pitch w:val="default"/>
    <w:sig w:usb0="00000000" w:usb1="00000000" w:usb2="00000012" w:usb3="00000000" w:csb0="200200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Yu Gothic UI Light">
    <w:panose1 w:val="020B03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0"/>
      <w:jc w:val="both"/>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0"/>
      <w:jc w:val="center"/>
      <w:rPr>
        <w:rFonts w:ascii="Times New Roman"/>
        <w:sz w:val="28"/>
        <w:szCs w:val="28"/>
      </w:rPr>
    </w:pPr>
    <w:r>
      <w:rPr>
        <w:rFonts w:ascii="Times New Roman"/>
        <w:sz w:val="28"/>
        <w:szCs w:val="28"/>
      </w:rPr>
      <w:fldChar w:fldCharType="begin"/>
    </w:r>
    <w:r>
      <w:rPr>
        <w:rFonts w:ascii="Times New Roman"/>
        <w:sz w:val="28"/>
        <w:szCs w:val="28"/>
      </w:rPr>
      <w:instrText xml:space="preserve"> PAGE  \* MERGEFORMAT </w:instrText>
    </w:r>
    <w:r>
      <w:rPr>
        <w:rFonts w:ascii="Times New Roman"/>
        <w:sz w:val="28"/>
        <w:szCs w:val="28"/>
      </w:rPr>
      <w:fldChar w:fldCharType="separate"/>
    </w:r>
    <w:r>
      <w:rPr>
        <w:rFonts w:ascii="Times New Roman"/>
        <w:sz w:val="28"/>
        <w:szCs w:val="28"/>
      </w:rPr>
      <w:t>1</w:t>
    </w:r>
    <w:r>
      <w:rPr>
        <w:rFonts w:ascii="Times New Roman"/>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EED879"/>
    <w:multiLevelType w:val="multilevel"/>
    <w:tmpl w:val="FFEED879"/>
    <w:lvl w:ilvl="0" w:tentative="0">
      <w:start w:val="1"/>
      <w:numFmt w:val="decimal"/>
      <w:pStyle w:val="145"/>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79102AD"/>
    <w:multiLevelType w:val="multilevel"/>
    <w:tmpl w:val="079102AD"/>
    <w:lvl w:ilvl="0" w:tentative="0">
      <w:start w:val="1"/>
      <w:numFmt w:val="decimal"/>
      <w:pStyle w:val="190"/>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tentative="0">
      <w:start w:val="1"/>
      <w:numFmt w:val="decimal"/>
      <w:pStyle w:val="103"/>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149"/>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D983844"/>
    <w:multiLevelType w:val="multilevel"/>
    <w:tmpl w:val="0D983844"/>
    <w:lvl w:ilvl="0" w:tentative="0">
      <w:start w:val="1"/>
      <w:numFmt w:val="decimal"/>
      <w:pStyle w:val="194"/>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0DDE2B46"/>
    <w:multiLevelType w:val="multilevel"/>
    <w:tmpl w:val="0DDE2B46"/>
    <w:lvl w:ilvl="0" w:tentative="0">
      <w:start w:val="1"/>
      <w:numFmt w:val="lowerLetter"/>
      <w:pStyle w:val="138"/>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6">
    <w:nsid w:val="1DBF583A"/>
    <w:multiLevelType w:val="multilevel"/>
    <w:tmpl w:val="1DBF583A"/>
    <w:lvl w:ilvl="0" w:tentative="0">
      <w:start w:val="1"/>
      <w:numFmt w:val="decimal"/>
      <w:pStyle w:val="132"/>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tentative="0">
      <w:start w:val="1"/>
      <w:numFmt w:val="decimal"/>
      <w:pStyle w:val="125"/>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52"/>
      <w:suff w:val="nothing"/>
      <w:lvlText w:val="%1.%2　"/>
      <w:lvlJc w:val="left"/>
      <w:pPr>
        <w:ind w:left="993"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160"/>
      <w:suff w:val="nothing"/>
      <w:lvlText w:val="%1.%2.%3　"/>
      <w:lvlJc w:val="left"/>
      <w:pPr>
        <w:ind w:left="1134" w:firstLine="0"/>
      </w:pPr>
      <w:rPr>
        <w:rFonts w:hint="eastAsia" w:ascii="黑体" w:hAnsi="Times New Roman" w:eastAsia="黑体"/>
        <w:b w:val="0"/>
        <w:i w:val="0"/>
        <w:sz w:val="21"/>
      </w:rPr>
    </w:lvl>
    <w:lvl w:ilvl="3" w:tentative="0">
      <w:start w:val="1"/>
      <w:numFmt w:val="decimal"/>
      <w:suff w:val="nothing"/>
      <w:lvlText w:val="%1.%2.%3.%4　"/>
      <w:lvlJc w:val="left"/>
      <w:pPr>
        <w:ind w:left="1135" w:firstLine="0"/>
      </w:pPr>
      <w:rPr>
        <w:rFonts w:hint="eastAsia" w:ascii="黑体" w:hAnsi="Times New Roman" w:eastAsia="黑体"/>
        <w:b w:val="0"/>
        <w:i w:val="0"/>
        <w:sz w:val="21"/>
      </w:rPr>
    </w:lvl>
    <w:lvl w:ilvl="4" w:tentative="0">
      <w:start w:val="1"/>
      <w:numFmt w:val="decimal"/>
      <w:pStyle w:val="158"/>
      <w:suff w:val="nothing"/>
      <w:lvlText w:val="%1.%2.%3.%4.%5　"/>
      <w:lvlJc w:val="left"/>
      <w:pPr>
        <w:ind w:left="0" w:firstLine="0"/>
      </w:pPr>
      <w:rPr>
        <w:rFonts w:hint="eastAsia" w:ascii="黑体" w:hAnsi="Times New Roman" w:eastAsia="黑体"/>
        <w:b w:val="0"/>
        <w:i w:val="0"/>
        <w:sz w:val="21"/>
      </w:rPr>
    </w:lvl>
    <w:lvl w:ilvl="5" w:tentative="0">
      <w:start w:val="1"/>
      <w:numFmt w:val="decimal"/>
      <w:pStyle w:val="17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22827D5B"/>
    <w:multiLevelType w:val="multilevel"/>
    <w:tmpl w:val="22827D5B"/>
    <w:lvl w:ilvl="0" w:tentative="0">
      <w:start w:val="1"/>
      <w:numFmt w:val="none"/>
      <w:pStyle w:val="198"/>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9">
    <w:nsid w:val="2A8F7113"/>
    <w:multiLevelType w:val="multilevel"/>
    <w:tmpl w:val="2A8F7113"/>
    <w:lvl w:ilvl="0" w:tentative="0">
      <w:start w:val="1"/>
      <w:numFmt w:val="upperLetter"/>
      <w:pStyle w:val="185"/>
      <w:suff w:val="space"/>
      <w:lvlText w:val="%1"/>
      <w:lvlJc w:val="left"/>
      <w:pPr>
        <w:ind w:left="623" w:hanging="425"/>
      </w:pPr>
      <w:rPr>
        <w:rFonts w:hint="eastAsia"/>
      </w:rPr>
    </w:lvl>
    <w:lvl w:ilvl="1" w:tentative="0">
      <w:start w:val="1"/>
      <w:numFmt w:val="decimal"/>
      <w:pStyle w:val="193"/>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0">
    <w:nsid w:val="2C5917C3"/>
    <w:multiLevelType w:val="multilevel"/>
    <w:tmpl w:val="2C5917C3"/>
    <w:lvl w:ilvl="0" w:tentative="0">
      <w:start w:val="1"/>
      <w:numFmt w:val="none"/>
      <w:pStyle w:val="180"/>
      <w:suff w:val="nothing"/>
      <w:lvlText w:val="%1——"/>
      <w:lvlJc w:val="left"/>
      <w:pPr>
        <w:ind w:left="833" w:hanging="408"/>
      </w:pPr>
      <w:rPr>
        <w:rFonts w:hint="eastAsia"/>
      </w:rPr>
    </w:lvl>
    <w:lvl w:ilvl="1" w:tentative="0">
      <w:start w:val="1"/>
      <w:numFmt w:val="bullet"/>
      <w:pStyle w:val="163"/>
      <w:lvlText w:val=""/>
      <w:lvlJc w:val="left"/>
      <w:pPr>
        <w:tabs>
          <w:tab w:val="left" w:pos="760"/>
        </w:tabs>
        <w:ind w:left="1264" w:hanging="413"/>
      </w:pPr>
      <w:rPr>
        <w:rFonts w:hint="default" w:ascii="Symbol" w:hAnsi="Symbol"/>
        <w:color w:val="auto"/>
      </w:rPr>
    </w:lvl>
    <w:lvl w:ilvl="2" w:tentative="0">
      <w:start w:val="1"/>
      <w:numFmt w:val="bullet"/>
      <w:pStyle w:val="137"/>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D733618"/>
    <w:multiLevelType w:val="multilevel"/>
    <w:tmpl w:val="3D733618"/>
    <w:lvl w:ilvl="0" w:tentative="0">
      <w:start w:val="1"/>
      <w:numFmt w:val="decimal"/>
      <w:pStyle w:val="39"/>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4B733A5F"/>
    <w:multiLevelType w:val="multilevel"/>
    <w:tmpl w:val="4B733A5F"/>
    <w:lvl w:ilvl="0" w:tentative="0">
      <w:start w:val="1"/>
      <w:numFmt w:val="decimal"/>
      <w:pStyle w:val="127"/>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3">
    <w:nsid w:val="60B55DC2"/>
    <w:multiLevelType w:val="multilevel"/>
    <w:tmpl w:val="60B55DC2"/>
    <w:lvl w:ilvl="0" w:tentative="0">
      <w:start w:val="1"/>
      <w:numFmt w:val="upperLetter"/>
      <w:pStyle w:val="200"/>
      <w:lvlText w:val="%1"/>
      <w:lvlJc w:val="left"/>
      <w:pPr>
        <w:tabs>
          <w:tab w:val="left" w:pos="0"/>
        </w:tabs>
        <w:ind w:left="0" w:hanging="425"/>
      </w:pPr>
      <w:rPr>
        <w:rFonts w:hint="eastAsia"/>
      </w:rPr>
    </w:lvl>
    <w:lvl w:ilvl="1" w:tentative="0">
      <w:start w:val="1"/>
      <w:numFmt w:val="decimal"/>
      <w:pStyle w:val="18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tentative="0">
      <w:start w:val="1"/>
      <w:numFmt w:val="decimal"/>
      <w:pStyle w:val="192"/>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57D3FBC"/>
    <w:multiLevelType w:val="multilevel"/>
    <w:tmpl w:val="657D3FBC"/>
    <w:lvl w:ilvl="0" w:tentative="0">
      <w:start w:val="1"/>
      <w:numFmt w:val="upperLetter"/>
      <w:pStyle w:val="172"/>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6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67"/>
      <w:suff w:val="nothing"/>
      <w:lvlText w:val="%1.%2.%3　"/>
      <w:lvlJc w:val="left"/>
      <w:pPr>
        <w:ind w:left="0" w:firstLine="0"/>
      </w:pPr>
      <w:rPr>
        <w:rFonts w:hint="eastAsia" w:ascii="黑体" w:hAnsi="Times New Roman" w:eastAsia="黑体"/>
        <w:b w:val="0"/>
        <w:i w:val="0"/>
        <w:sz w:val="21"/>
      </w:rPr>
    </w:lvl>
    <w:lvl w:ilvl="3" w:tentative="0">
      <w:start w:val="1"/>
      <w:numFmt w:val="decimal"/>
      <w:pStyle w:val="123"/>
      <w:suff w:val="nothing"/>
      <w:lvlText w:val="%1.%2.%3.%4　"/>
      <w:lvlJc w:val="left"/>
      <w:pPr>
        <w:ind w:left="0" w:firstLine="0"/>
      </w:pPr>
      <w:rPr>
        <w:rFonts w:hint="eastAsia" w:ascii="黑体" w:hAnsi="Times New Roman" w:eastAsia="黑体"/>
        <w:b w:val="0"/>
        <w:i w:val="0"/>
        <w:sz w:val="21"/>
      </w:rPr>
    </w:lvl>
    <w:lvl w:ilvl="4" w:tentative="0">
      <w:start w:val="1"/>
      <w:numFmt w:val="decimal"/>
      <w:pStyle w:val="122"/>
      <w:suff w:val="nothing"/>
      <w:lvlText w:val="%1.%2.%3.%4.%5　"/>
      <w:lvlJc w:val="left"/>
      <w:pPr>
        <w:ind w:left="0" w:firstLine="0"/>
      </w:pPr>
      <w:rPr>
        <w:rFonts w:hint="eastAsia" w:ascii="黑体" w:hAnsi="Times New Roman" w:eastAsia="黑体"/>
        <w:b w:val="0"/>
        <w:i w:val="0"/>
        <w:sz w:val="21"/>
      </w:rPr>
    </w:lvl>
    <w:lvl w:ilvl="5" w:tentative="0">
      <w:start w:val="1"/>
      <w:numFmt w:val="decimal"/>
      <w:pStyle w:val="121"/>
      <w:suff w:val="nothing"/>
      <w:lvlText w:val="%1.%2.%3.%4.%5.%6　"/>
      <w:lvlJc w:val="left"/>
      <w:pPr>
        <w:ind w:left="0" w:firstLine="0"/>
      </w:pPr>
      <w:rPr>
        <w:rFonts w:hint="eastAsia" w:ascii="黑体" w:hAnsi="Times New Roman" w:eastAsia="黑体"/>
        <w:b w:val="0"/>
        <w:i w:val="0"/>
        <w:sz w:val="21"/>
      </w:rPr>
    </w:lvl>
    <w:lvl w:ilvl="6" w:tentative="0">
      <w:start w:val="1"/>
      <w:numFmt w:val="decimal"/>
      <w:pStyle w:val="12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D6C07CD"/>
    <w:multiLevelType w:val="multilevel"/>
    <w:tmpl w:val="6D6C07CD"/>
    <w:lvl w:ilvl="0" w:tentative="0">
      <w:start w:val="1"/>
      <w:numFmt w:val="lowerLetter"/>
      <w:pStyle w:val="195"/>
      <w:lvlText w:val="%1)"/>
      <w:lvlJc w:val="left"/>
      <w:pPr>
        <w:tabs>
          <w:tab w:val="left" w:pos="839"/>
        </w:tabs>
        <w:ind w:left="839" w:hanging="419"/>
      </w:pPr>
      <w:rPr>
        <w:rFonts w:hint="eastAsia" w:ascii="宋体" w:eastAsia="宋体"/>
        <w:b w:val="0"/>
        <w:i w:val="0"/>
        <w:sz w:val="21"/>
      </w:rPr>
    </w:lvl>
    <w:lvl w:ilvl="1" w:tentative="0">
      <w:start w:val="1"/>
      <w:numFmt w:val="decimal"/>
      <w:pStyle w:val="205"/>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tentative="0">
      <w:start w:val="1"/>
      <w:numFmt w:val="none"/>
      <w:pStyle w:val="199"/>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8">
    <w:nsid w:val="795A3E36"/>
    <w:multiLevelType w:val="multilevel"/>
    <w:tmpl w:val="795A3E36"/>
    <w:lvl w:ilvl="0" w:tentative="0">
      <w:start w:val="1"/>
      <w:numFmt w:val="lowerLetter"/>
      <w:pStyle w:val="184"/>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33"/>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11"/>
  </w:num>
  <w:num w:numId="2">
    <w:abstractNumId w:val="2"/>
  </w:num>
  <w:num w:numId="3">
    <w:abstractNumId w:val="15"/>
  </w:num>
  <w:num w:numId="4">
    <w:abstractNumId w:val="7"/>
  </w:num>
  <w:num w:numId="5">
    <w:abstractNumId w:val="12"/>
  </w:num>
  <w:num w:numId="6">
    <w:abstractNumId w:val="6"/>
  </w:num>
  <w:num w:numId="7">
    <w:abstractNumId w:val="18"/>
  </w:num>
  <w:num w:numId="8">
    <w:abstractNumId w:val="10"/>
  </w:num>
  <w:num w:numId="9">
    <w:abstractNumId w:val="5"/>
  </w:num>
  <w:num w:numId="10">
    <w:abstractNumId w:val="0"/>
  </w:num>
  <w:num w:numId="11">
    <w:abstractNumId w:val="3"/>
  </w:num>
  <w:num w:numId="12">
    <w:abstractNumId w:val="9"/>
  </w:num>
  <w:num w:numId="13">
    <w:abstractNumId w:val="13"/>
  </w:num>
  <w:num w:numId="14">
    <w:abstractNumId w:val="1"/>
  </w:num>
  <w:num w:numId="15">
    <w:abstractNumId w:val="14"/>
  </w:num>
  <w:num w:numId="16">
    <w:abstractNumId w:val="4"/>
  </w:num>
  <w:num w:numId="17">
    <w:abstractNumId w:val="16"/>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85F"/>
    <w:rsid w:val="0000586F"/>
    <w:rsid w:val="00013D86"/>
    <w:rsid w:val="00013E02"/>
    <w:rsid w:val="00021166"/>
    <w:rsid w:val="0002143C"/>
    <w:rsid w:val="00025A65"/>
    <w:rsid w:val="00026C31"/>
    <w:rsid w:val="00027280"/>
    <w:rsid w:val="00030643"/>
    <w:rsid w:val="000320A7"/>
    <w:rsid w:val="00035925"/>
    <w:rsid w:val="00046701"/>
    <w:rsid w:val="00067CDF"/>
    <w:rsid w:val="0007214F"/>
    <w:rsid w:val="00074FBE"/>
    <w:rsid w:val="00076CD9"/>
    <w:rsid w:val="00083A09"/>
    <w:rsid w:val="000879E9"/>
    <w:rsid w:val="0009005E"/>
    <w:rsid w:val="00092857"/>
    <w:rsid w:val="000A20A9"/>
    <w:rsid w:val="000A3E55"/>
    <w:rsid w:val="000A48B1"/>
    <w:rsid w:val="000A65C6"/>
    <w:rsid w:val="000A67F7"/>
    <w:rsid w:val="000A7633"/>
    <w:rsid w:val="000B1DBB"/>
    <w:rsid w:val="000B1F2E"/>
    <w:rsid w:val="000B3143"/>
    <w:rsid w:val="000B42D7"/>
    <w:rsid w:val="000C0E28"/>
    <w:rsid w:val="000C2B3B"/>
    <w:rsid w:val="000C3BD7"/>
    <w:rsid w:val="000C6B05"/>
    <w:rsid w:val="000C6DD6"/>
    <w:rsid w:val="000C73D4"/>
    <w:rsid w:val="000D2CF3"/>
    <w:rsid w:val="000D3D4C"/>
    <w:rsid w:val="000D4F51"/>
    <w:rsid w:val="000D718B"/>
    <w:rsid w:val="000E049C"/>
    <w:rsid w:val="000E0C46"/>
    <w:rsid w:val="000E4989"/>
    <w:rsid w:val="000F030C"/>
    <w:rsid w:val="000F129C"/>
    <w:rsid w:val="0010461E"/>
    <w:rsid w:val="001056DE"/>
    <w:rsid w:val="001124C0"/>
    <w:rsid w:val="00113D7C"/>
    <w:rsid w:val="00130C9F"/>
    <w:rsid w:val="0013175F"/>
    <w:rsid w:val="00131AE9"/>
    <w:rsid w:val="00135997"/>
    <w:rsid w:val="00135A29"/>
    <w:rsid w:val="00137535"/>
    <w:rsid w:val="0014752B"/>
    <w:rsid w:val="001512B4"/>
    <w:rsid w:val="00161AD8"/>
    <w:rsid w:val="001620A5"/>
    <w:rsid w:val="00164E53"/>
    <w:rsid w:val="0016655D"/>
    <w:rsid w:val="0016699D"/>
    <w:rsid w:val="001710B2"/>
    <w:rsid w:val="00171340"/>
    <w:rsid w:val="00175159"/>
    <w:rsid w:val="00176208"/>
    <w:rsid w:val="0018211B"/>
    <w:rsid w:val="001840D3"/>
    <w:rsid w:val="001900F8"/>
    <w:rsid w:val="00191258"/>
    <w:rsid w:val="00192680"/>
    <w:rsid w:val="00193037"/>
    <w:rsid w:val="00193A2C"/>
    <w:rsid w:val="00196C77"/>
    <w:rsid w:val="001A288E"/>
    <w:rsid w:val="001A325D"/>
    <w:rsid w:val="001A49C5"/>
    <w:rsid w:val="001B0232"/>
    <w:rsid w:val="001B2B61"/>
    <w:rsid w:val="001B409D"/>
    <w:rsid w:val="001B6DC2"/>
    <w:rsid w:val="001C149C"/>
    <w:rsid w:val="001C213E"/>
    <w:rsid w:val="001C21AC"/>
    <w:rsid w:val="001C47BA"/>
    <w:rsid w:val="001C59EA"/>
    <w:rsid w:val="001D3EAA"/>
    <w:rsid w:val="001D406C"/>
    <w:rsid w:val="001D41EE"/>
    <w:rsid w:val="001D59BA"/>
    <w:rsid w:val="001E0380"/>
    <w:rsid w:val="001E0E2D"/>
    <w:rsid w:val="001E13B1"/>
    <w:rsid w:val="001E4419"/>
    <w:rsid w:val="001E6E42"/>
    <w:rsid w:val="001E79FF"/>
    <w:rsid w:val="001F0A84"/>
    <w:rsid w:val="001F3A19"/>
    <w:rsid w:val="00203642"/>
    <w:rsid w:val="002040BC"/>
    <w:rsid w:val="00207435"/>
    <w:rsid w:val="00225836"/>
    <w:rsid w:val="002274B0"/>
    <w:rsid w:val="00234467"/>
    <w:rsid w:val="00234B32"/>
    <w:rsid w:val="0023663A"/>
    <w:rsid w:val="00237D8D"/>
    <w:rsid w:val="00241DA2"/>
    <w:rsid w:val="00245197"/>
    <w:rsid w:val="00245313"/>
    <w:rsid w:val="00247FEE"/>
    <w:rsid w:val="00250E7D"/>
    <w:rsid w:val="002565D5"/>
    <w:rsid w:val="002622C0"/>
    <w:rsid w:val="002655F7"/>
    <w:rsid w:val="00266B5F"/>
    <w:rsid w:val="00270BA5"/>
    <w:rsid w:val="002778AE"/>
    <w:rsid w:val="0028269A"/>
    <w:rsid w:val="00283590"/>
    <w:rsid w:val="0028633D"/>
    <w:rsid w:val="00286973"/>
    <w:rsid w:val="00294E70"/>
    <w:rsid w:val="002A0530"/>
    <w:rsid w:val="002A1924"/>
    <w:rsid w:val="002A7420"/>
    <w:rsid w:val="002B028C"/>
    <w:rsid w:val="002B0F12"/>
    <w:rsid w:val="002B1308"/>
    <w:rsid w:val="002B3E51"/>
    <w:rsid w:val="002B4130"/>
    <w:rsid w:val="002B4554"/>
    <w:rsid w:val="002B76D4"/>
    <w:rsid w:val="002C3396"/>
    <w:rsid w:val="002C4662"/>
    <w:rsid w:val="002C72D8"/>
    <w:rsid w:val="002D11FA"/>
    <w:rsid w:val="002D478F"/>
    <w:rsid w:val="002D69D4"/>
    <w:rsid w:val="002E0DDF"/>
    <w:rsid w:val="002E2906"/>
    <w:rsid w:val="002E34EA"/>
    <w:rsid w:val="002E35E2"/>
    <w:rsid w:val="002E363B"/>
    <w:rsid w:val="002E5635"/>
    <w:rsid w:val="002E64C3"/>
    <w:rsid w:val="002E6636"/>
    <w:rsid w:val="002E6A2C"/>
    <w:rsid w:val="002F0D87"/>
    <w:rsid w:val="002F1D8C"/>
    <w:rsid w:val="002F21DA"/>
    <w:rsid w:val="002F41F6"/>
    <w:rsid w:val="00301F39"/>
    <w:rsid w:val="00324B18"/>
    <w:rsid w:val="00325926"/>
    <w:rsid w:val="003275C1"/>
    <w:rsid w:val="00327A8A"/>
    <w:rsid w:val="00330E6E"/>
    <w:rsid w:val="003350BA"/>
    <w:rsid w:val="00336610"/>
    <w:rsid w:val="00341EF5"/>
    <w:rsid w:val="00343F73"/>
    <w:rsid w:val="00344D94"/>
    <w:rsid w:val="00345060"/>
    <w:rsid w:val="003516B1"/>
    <w:rsid w:val="0035323B"/>
    <w:rsid w:val="0035607D"/>
    <w:rsid w:val="00357275"/>
    <w:rsid w:val="003609D2"/>
    <w:rsid w:val="00363F22"/>
    <w:rsid w:val="00365390"/>
    <w:rsid w:val="00375564"/>
    <w:rsid w:val="003814F5"/>
    <w:rsid w:val="00383191"/>
    <w:rsid w:val="00386DED"/>
    <w:rsid w:val="003912E7"/>
    <w:rsid w:val="00393947"/>
    <w:rsid w:val="003A2275"/>
    <w:rsid w:val="003A2A52"/>
    <w:rsid w:val="003A4748"/>
    <w:rsid w:val="003A6A4F"/>
    <w:rsid w:val="003A7088"/>
    <w:rsid w:val="003B00DF"/>
    <w:rsid w:val="003B04DD"/>
    <w:rsid w:val="003B1275"/>
    <w:rsid w:val="003B1778"/>
    <w:rsid w:val="003B3D7C"/>
    <w:rsid w:val="003C11CB"/>
    <w:rsid w:val="003C75F3"/>
    <w:rsid w:val="003C78A3"/>
    <w:rsid w:val="003D39EA"/>
    <w:rsid w:val="003E1867"/>
    <w:rsid w:val="003E5729"/>
    <w:rsid w:val="003F125D"/>
    <w:rsid w:val="003F4EE0"/>
    <w:rsid w:val="00402104"/>
    <w:rsid w:val="00402153"/>
    <w:rsid w:val="00402FC1"/>
    <w:rsid w:val="00421A6D"/>
    <w:rsid w:val="00423EE5"/>
    <w:rsid w:val="00425082"/>
    <w:rsid w:val="00431DEB"/>
    <w:rsid w:val="00446B29"/>
    <w:rsid w:val="00453F9A"/>
    <w:rsid w:val="0046494B"/>
    <w:rsid w:val="004658BB"/>
    <w:rsid w:val="004677D7"/>
    <w:rsid w:val="00471E91"/>
    <w:rsid w:val="00474675"/>
    <w:rsid w:val="0047470C"/>
    <w:rsid w:val="00474E93"/>
    <w:rsid w:val="00484971"/>
    <w:rsid w:val="00495C8B"/>
    <w:rsid w:val="00495FE8"/>
    <w:rsid w:val="004A1AE5"/>
    <w:rsid w:val="004A29C5"/>
    <w:rsid w:val="004A35F9"/>
    <w:rsid w:val="004A3624"/>
    <w:rsid w:val="004A4A7D"/>
    <w:rsid w:val="004B24C1"/>
    <w:rsid w:val="004C292F"/>
    <w:rsid w:val="004D3AF5"/>
    <w:rsid w:val="004E36E4"/>
    <w:rsid w:val="004F4B26"/>
    <w:rsid w:val="00500E72"/>
    <w:rsid w:val="005031EC"/>
    <w:rsid w:val="0050346F"/>
    <w:rsid w:val="00503568"/>
    <w:rsid w:val="005042A7"/>
    <w:rsid w:val="00507BCD"/>
    <w:rsid w:val="00510280"/>
    <w:rsid w:val="00513D73"/>
    <w:rsid w:val="00514A43"/>
    <w:rsid w:val="005174E5"/>
    <w:rsid w:val="0052035B"/>
    <w:rsid w:val="00522393"/>
    <w:rsid w:val="00522620"/>
    <w:rsid w:val="00523006"/>
    <w:rsid w:val="00525656"/>
    <w:rsid w:val="00526C3C"/>
    <w:rsid w:val="00530901"/>
    <w:rsid w:val="005334C9"/>
    <w:rsid w:val="00534C02"/>
    <w:rsid w:val="0053756C"/>
    <w:rsid w:val="0054264B"/>
    <w:rsid w:val="00543257"/>
    <w:rsid w:val="00543786"/>
    <w:rsid w:val="005468B2"/>
    <w:rsid w:val="005533D7"/>
    <w:rsid w:val="005566DB"/>
    <w:rsid w:val="005661A6"/>
    <w:rsid w:val="005673D1"/>
    <w:rsid w:val="005703DE"/>
    <w:rsid w:val="0058464E"/>
    <w:rsid w:val="00593B48"/>
    <w:rsid w:val="00595A1D"/>
    <w:rsid w:val="005A01CB"/>
    <w:rsid w:val="005A2BA6"/>
    <w:rsid w:val="005A58FF"/>
    <w:rsid w:val="005A5EAF"/>
    <w:rsid w:val="005A64C0"/>
    <w:rsid w:val="005A6C8B"/>
    <w:rsid w:val="005A7452"/>
    <w:rsid w:val="005B3C11"/>
    <w:rsid w:val="005C1C28"/>
    <w:rsid w:val="005C466D"/>
    <w:rsid w:val="005C4713"/>
    <w:rsid w:val="005C6DB5"/>
    <w:rsid w:val="005E19E7"/>
    <w:rsid w:val="005F08EA"/>
    <w:rsid w:val="005F0D35"/>
    <w:rsid w:val="005F1E73"/>
    <w:rsid w:val="00600BDB"/>
    <w:rsid w:val="00606B00"/>
    <w:rsid w:val="00615B7F"/>
    <w:rsid w:val="0061716C"/>
    <w:rsid w:val="00622083"/>
    <w:rsid w:val="006243A1"/>
    <w:rsid w:val="00626239"/>
    <w:rsid w:val="00626B6A"/>
    <w:rsid w:val="006306F4"/>
    <w:rsid w:val="00632E56"/>
    <w:rsid w:val="006354BA"/>
    <w:rsid w:val="00635CBA"/>
    <w:rsid w:val="00635EE1"/>
    <w:rsid w:val="0064338B"/>
    <w:rsid w:val="00646542"/>
    <w:rsid w:val="006504F4"/>
    <w:rsid w:val="00654BC9"/>
    <w:rsid w:val="006552FD"/>
    <w:rsid w:val="006577AF"/>
    <w:rsid w:val="00663AF3"/>
    <w:rsid w:val="006644D8"/>
    <w:rsid w:val="00666B6C"/>
    <w:rsid w:val="006760FA"/>
    <w:rsid w:val="00682682"/>
    <w:rsid w:val="00682702"/>
    <w:rsid w:val="00682CAE"/>
    <w:rsid w:val="006842B2"/>
    <w:rsid w:val="00692368"/>
    <w:rsid w:val="006965DE"/>
    <w:rsid w:val="00697D87"/>
    <w:rsid w:val="006A03B5"/>
    <w:rsid w:val="006A2EBC"/>
    <w:rsid w:val="006A5EA0"/>
    <w:rsid w:val="006A783B"/>
    <w:rsid w:val="006A7B33"/>
    <w:rsid w:val="006B4E13"/>
    <w:rsid w:val="006B6787"/>
    <w:rsid w:val="006B72C8"/>
    <w:rsid w:val="006B75DD"/>
    <w:rsid w:val="006C437F"/>
    <w:rsid w:val="006C67E0"/>
    <w:rsid w:val="006C7ABA"/>
    <w:rsid w:val="006D0D60"/>
    <w:rsid w:val="006D0DEB"/>
    <w:rsid w:val="006D1122"/>
    <w:rsid w:val="006D3C00"/>
    <w:rsid w:val="006D6CF4"/>
    <w:rsid w:val="006E0C23"/>
    <w:rsid w:val="006E3675"/>
    <w:rsid w:val="006E3B64"/>
    <w:rsid w:val="006E4A7F"/>
    <w:rsid w:val="006F4727"/>
    <w:rsid w:val="00704DF6"/>
    <w:rsid w:val="0070651C"/>
    <w:rsid w:val="007132A3"/>
    <w:rsid w:val="00716421"/>
    <w:rsid w:val="00724EFB"/>
    <w:rsid w:val="007272A7"/>
    <w:rsid w:val="007335C4"/>
    <w:rsid w:val="00734E79"/>
    <w:rsid w:val="0073778B"/>
    <w:rsid w:val="00740FDA"/>
    <w:rsid w:val="007419C3"/>
    <w:rsid w:val="00744F22"/>
    <w:rsid w:val="007467A7"/>
    <w:rsid w:val="007469DD"/>
    <w:rsid w:val="00746F41"/>
    <w:rsid w:val="0074741B"/>
    <w:rsid w:val="0074759E"/>
    <w:rsid w:val="007478EA"/>
    <w:rsid w:val="00750E6E"/>
    <w:rsid w:val="0075415C"/>
    <w:rsid w:val="007561C4"/>
    <w:rsid w:val="00763502"/>
    <w:rsid w:val="00765A76"/>
    <w:rsid w:val="007913AB"/>
    <w:rsid w:val="007914F7"/>
    <w:rsid w:val="007A703D"/>
    <w:rsid w:val="007B1625"/>
    <w:rsid w:val="007B706E"/>
    <w:rsid w:val="007B71EB"/>
    <w:rsid w:val="007B7AEF"/>
    <w:rsid w:val="007C27E8"/>
    <w:rsid w:val="007C6205"/>
    <w:rsid w:val="007C6557"/>
    <w:rsid w:val="007C686A"/>
    <w:rsid w:val="007C728E"/>
    <w:rsid w:val="007D2C53"/>
    <w:rsid w:val="007D3D60"/>
    <w:rsid w:val="007D5868"/>
    <w:rsid w:val="007D60AC"/>
    <w:rsid w:val="007E02A6"/>
    <w:rsid w:val="007E1980"/>
    <w:rsid w:val="007E3D13"/>
    <w:rsid w:val="007E4B76"/>
    <w:rsid w:val="007E5EA8"/>
    <w:rsid w:val="007F0CF1"/>
    <w:rsid w:val="007F12A5"/>
    <w:rsid w:val="007F4252"/>
    <w:rsid w:val="007F4C07"/>
    <w:rsid w:val="007F4CF1"/>
    <w:rsid w:val="007F7067"/>
    <w:rsid w:val="007F758D"/>
    <w:rsid w:val="007F7D52"/>
    <w:rsid w:val="007F7F95"/>
    <w:rsid w:val="008050D9"/>
    <w:rsid w:val="0080654C"/>
    <w:rsid w:val="008071C6"/>
    <w:rsid w:val="00817A00"/>
    <w:rsid w:val="008255CE"/>
    <w:rsid w:val="00830599"/>
    <w:rsid w:val="00830B0B"/>
    <w:rsid w:val="00834FB3"/>
    <w:rsid w:val="00835DB3"/>
    <w:rsid w:val="0083617B"/>
    <w:rsid w:val="0083661F"/>
    <w:rsid w:val="008371BD"/>
    <w:rsid w:val="00837A03"/>
    <w:rsid w:val="0084479D"/>
    <w:rsid w:val="008504A8"/>
    <w:rsid w:val="0085282E"/>
    <w:rsid w:val="00855085"/>
    <w:rsid w:val="008554F2"/>
    <w:rsid w:val="00860E53"/>
    <w:rsid w:val="0086242E"/>
    <w:rsid w:val="0086780F"/>
    <w:rsid w:val="00870AB8"/>
    <w:rsid w:val="0087198C"/>
    <w:rsid w:val="00872C1F"/>
    <w:rsid w:val="00873B42"/>
    <w:rsid w:val="00874EBC"/>
    <w:rsid w:val="00882017"/>
    <w:rsid w:val="008856D8"/>
    <w:rsid w:val="00892E82"/>
    <w:rsid w:val="008B2ACA"/>
    <w:rsid w:val="008B4195"/>
    <w:rsid w:val="008B68E6"/>
    <w:rsid w:val="008C1B58"/>
    <w:rsid w:val="008C26C1"/>
    <w:rsid w:val="008C39AE"/>
    <w:rsid w:val="008C590D"/>
    <w:rsid w:val="008D4C4B"/>
    <w:rsid w:val="008D4D97"/>
    <w:rsid w:val="008E031B"/>
    <w:rsid w:val="008E0787"/>
    <w:rsid w:val="008E0916"/>
    <w:rsid w:val="008E2EB7"/>
    <w:rsid w:val="008E44FD"/>
    <w:rsid w:val="008E67EF"/>
    <w:rsid w:val="008E6AEE"/>
    <w:rsid w:val="008E7029"/>
    <w:rsid w:val="008E7EF6"/>
    <w:rsid w:val="008F1F98"/>
    <w:rsid w:val="008F2B85"/>
    <w:rsid w:val="008F6758"/>
    <w:rsid w:val="009040DD"/>
    <w:rsid w:val="00905B47"/>
    <w:rsid w:val="0091187E"/>
    <w:rsid w:val="0091331C"/>
    <w:rsid w:val="00915DBC"/>
    <w:rsid w:val="00916D80"/>
    <w:rsid w:val="009279DE"/>
    <w:rsid w:val="00930116"/>
    <w:rsid w:val="00941417"/>
    <w:rsid w:val="0094212C"/>
    <w:rsid w:val="00944B12"/>
    <w:rsid w:val="00954689"/>
    <w:rsid w:val="00960215"/>
    <w:rsid w:val="009617C9"/>
    <w:rsid w:val="00961C93"/>
    <w:rsid w:val="00964FE0"/>
    <w:rsid w:val="00965324"/>
    <w:rsid w:val="0097091E"/>
    <w:rsid w:val="00974604"/>
    <w:rsid w:val="009760D3"/>
    <w:rsid w:val="009766E7"/>
    <w:rsid w:val="00977132"/>
    <w:rsid w:val="00977823"/>
    <w:rsid w:val="00980AE5"/>
    <w:rsid w:val="00981A4B"/>
    <w:rsid w:val="00982501"/>
    <w:rsid w:val="009877D3"/>
    <w:rsid w:val="009928F7"/>
    <w:rsid w:val="00994C4B"/>
    <w:rsid w:val="00994E8F"/>
    <w:rsid w:val="009951DC"/>
    <w:rsid w:val="00995498"/>
    <w:rsid w:val="009959BB"/>
    <w:rsid w:val="00997158"/>
    <w:rsid w:val="009A3256"/>
    <w:rsid w:val="009A3A7C"/>
    <w:rsid w:val="009A4B68"/>
    <w:rsid w:val="009A4B76"/>
    <w:rsid w:val="009A5647"/>
    <w:rsid w:val="009A71FC"/>
    <w:rsid w:val="009B01EC"/>
    <w:rsid w:val="009B2ADB"/>
    <w:rsid w:val="009B603A"/>
    <w:rsid w:val="009C2AB2"/>
    <w:rsid w:val="009C2D0E"/>
    <w:rsid w:val="009C3DAC"/>
    <w:rsid w:val="009C42E0"/>
    <w:rsid w:val="009C59DE"/>
    <w:rsid w:val="009C5DE8"/>
    <w:rsid w:val="009C6B9E"/>
    <w:rsid w:val="009D4A70"/>
    <w:rsid w:val="009D5362"/>
    <w:rsid w:val="009E03EF"/>
    <w:rsid w:val="009E1415"/>
    <w:rsid w:val="009E14EB"/>
    <w:rsid w:val="009E6116"/>
    <w:rsid w:val="009F5105"/>
    <w:rsid w:val="00A02E43"/>
    <w:rsid w:val="00A065F9"/>
    <w:rsid w:val="00A07F34"/>
    <w:rsid w:val="00A14F28"/>
    <w:rsid w:val="00A22154"/>
    <w:rsid w:val="00A25489"/>
    <w:rsid w:val="00A25843"/>
    <w:rsid w:val="00A25C38"/>
    <w:rsid w:val="00A2601A"/>
    <w:rsid w:val="00A34878"/>
    <w:rsid w:val="00A36BBE"/>
    <w:rsid w:val="00A37481"/>
    <w:rsid w:val="00A4307A"/>
    <w:rsid w:val="00A47EBB"/>
    <w:rsid w:val="00A51CDD"/>
    <w:rsid w:val="00A5252B"/>
    <w:rsid w:val="00A57342"/>
    <w:rsid w:val="00A57855"/>
    <w:rsid w:val="00A6730D"/>
    <w:rsid w:val="00A67C3F"/>
    <w:rsid w:val="00A71625"/>
    <w:rsid w:val="00A71B9B"/>
    <w:rsid w:val="00A72B7E"/>
    <w:rsid w:val="00A751C7"/>
    <w:rsid w:val="00A87844"/>
    <w:rsid w:val="00A933B2"/>
    <w:rsid w:val="00A9402C"/>
    <w:rsid w:val="00A945CD"/>
    <w:rsid w:val="00A95BC4"/>
    <w:rsid w:val="00AA038C"/>
    <w:rsid w:val="00AA4602"/>
    <w:rsid w:val="00AA7522"/>
    <w:rsid w:val="00AA7A09"/>
    <w:rsid w:val="00AA7B5A"/>
    <w:rsid w:val="00AB3B50"/>
    <w:rsid w:val="00AC05B1"/>
    <w:rsid w:val="00AC1EFE"/>
    <w:rsid w:val="00AC2984"/>
    <w:rsid w:val="00AC642A"/>
    <w:rsid w:val="00AD356C"/>
    <w:rsid w:val="00AE2914"/>
    <w:rsid w:val="00AE4162"/>
    <w:rsid w:val="00AE6D15"/>
    <w:rsid w:val="00AE7361"/>
    <w:rsid w:val="00AF07E2"/>
    <w:rsid w:val="00AF73EB"/>
    <w:rsid w:val="00B04182"/>
    <w:rsid w:val="00B07AE3"/>
    <w:rsid w:val="00B07FDB"/>
    <w:rsid w:val="00B11430"/>
    <w:rsid w:val="00B149AE"/>
    <w:rsid w:val="00B16726"/>
    <w:rsid w:val="00B20724"/>
    <w:rsid w:val="00B2692A"/>
    <w:rsid w:val="00B30207"/>
    <w:rsid w:val="00B353EB"/>
    <w:rsid w:val="00B40884"/>
    <w:rsid w:val="00B415B1"/>
    <w:rsid w:val="00B439C4"/>
    <w:rsid w:val="00B4535E"/>
    <w:rsid w:val="00B52A8C"/>
    <w:rsid w:val="00B540D7"/>
    <w:rsid w:val="00B636A8"/>
    <w:rsid w:val="00B641BB"/>
    <w:rsid w:val="00B665C6"/>
    <w:rsid w:val="00B71D1C"/>
    <w:rsid w:val="00B75C45"/>
    <w:rsid w:val="00B805AF"/>
    <w:rsid w:val="00B84760"/>
    <w:rsid w:val="00B869EC"/>
    <w:rsid w:val="00B9397A"/>
    <w:rsid w:val="00B9633D"/>
    <w:rsid w:val="00B97DCB"/>
    <w:rsid w:val="00BA080E"/>
    <w:rsid w:val="00BA0B75"/>
    <w:rsid w:val="00BA2EBE"/>
    <w:rsid w:val="00BA352F"/>
    <w:rsid w:val="00BB0F28"/>
    <w:rsid w:val="00BB1A68"/>
    <w:rsid w:val="00BB3B04"/>
    <w:rsid w:val="00BB458A"/>
    <w:rsid w:val="00BC1F9B"/>
    <w:rsid w:val="00BC3F2B"/>
    <w:rsid w:val="00BC5657"/>
    <w:rsid w:val="00BD00D3"/>
    <w:rsid w:val="00BD1659"/>
    <w:rsid w:val="00BD3881"/>
    <w:rsid w:val="00BD3AA9"/>
    <w:rsid w:val="00BD4A18"/>
    <w:rsid w:val="00BD6DB2"/>
    <w:rsid w:val="00BE11CF"/>
    <w:rsid w:val="00BE21AB"/>
    <w:rsid w:val="00BE40A9"/>
    <w:rsid w:val="00BE55CB"/>
    <w:rsid w:val="00BF0611"/>
    <w:rsid w:val="00BF27B2"/>
    <w:rsid w:val="00BF617A"/>
    <w:rsid w:val="00BF6FCE"/>
    <w:rsid w:val="00C0379D"/>
    <w:rsid w:val="00C03931"/>
    <w:rsid w:val="00C05FE3"/>
    <w:rsid w:val="00C160EE"/>
    <w:rsid w:val="00C163BD"/>
    <w:rsid w:val="00C17BD6"/>
    <w:rsid w:val="00C202B8"/>
    <w:rsid w:val="00C2136D"/>
    <w:rsid w:val="00C214EE"/>
    <w:rsid w:val="00C2314B"/>
    <w:rsid w:val="00C24276"/>
    <w:rsid w:val="00C24971"/>
    <w:rsid w:val="00C260F1"/>
    <w:rsid w:val="00C26BE5"/>
    <w:rsid w:val="00C26E4D"/>
    <w:rsid w:val="00C27909"/>
    <w:rsid w:val="00C27B03"/>
    <w:rsid w:val="00C314E1"/>
    <w:rsid w:val="00C34397"/>
    <w:rsid w:val="00C3788B"/>
    <w:rsid w:val="00C37DA1"/>
    <w:rsid w:val="00C4095D"/>
    <w:rsid w:val="00C42857"/>
    <w:rsid w:val="00C5215D"/>
    <w:rsid w:val="00C56AE0"/>
    <w:rsid w:val="00C601D2"/>
    <w:rsid w:val="00C65BCC"/>
    <w:rsid w:val="00C66970"/>
    <w:rsid w:val="00C8691C"/>
    <w:rsid w:val="00C9561E"/>
    <w:rsid w:val="00CA168A"/>
    <w:rsid w:val="00CA357E"/>
    <w:rsid w:val="00CA44F9"/>
    <w:rsid w:val="00CA4A69"/>
    <w:rsid w:val="00CA6B18"/>
    <w:rsid w:val="00CB7EDC"/>
    <w:rsid w:val="00CC3E0C"/>
    <w:rsid w:val="00CC58D3"/>
    <w:rsid w:val="00CC784D"/>
    <w:rsid w:val="00CD39A3"/>
    <w:rsid w:val="00CD4195"/>
    <w:rsid w:val="00CE74C7"/>
    <w:rsid w:val="00CE7798"/>
    <w:rsid w:val="00CF4D35"/>
    <w:rsid w:val="00D0050B"/>
    <w:rsid w:val="00D0337B"/>
    <w:rsid w:val="00D03F26"/>
    <w:rsid w:val="00D0459E"/>
    <w:rsid w:val="00D079B2"/>
    <w:rsid w:val="00D114E9"/>
    <w:rsid w:val="00D11EA5"/>
    <w:rsid w:val="00D1757B"/>
    <w:rsid w:val="00D333FB"/>
    <w:rsid w:val="00D341EE"/>
    <w:rsid w:val="00D35EDE"/>
    <w:rsid w:val="00D42501"/>
    <w:rsid w:val="00D429C6"/>
    <w:rsid w:val="00D47748"/>
    <w:rsid w:val="00D4788F"/>
    <w:rsid w:val="00D509DA"/>
    <w:rsid w:val="00D54CC3"/>
    <w:rsid w:val="00D55FFD"/>
    <w:rsid w:val="00D6041A"/>
    <w:rsid w:val="00D61ACE"/>
    <w:rsid w:val="00D624A3"/>
    <w:rsid w:val="00D633EB"/>
    <w:rsid w:val="00D66356"/>
    <w:rsid w:val="00D7344F"/>
    <w:rsid w:val="00D82FF7"/>
    <w:rsid w:val="00D83DBC"/>
    <w:rsid w:val="00D847FE"/>
    <w:rsid w:val="00D8657D"/>
    <w:rsid w:val="00D86F25"/>
    <w:rsid w:val="00D871F7"/>
    <w:rsid w:val="00D950C8"/>
    <w:rsid w:val="00D964EA"/>
    <w:rsid w:val="00D966D0"/>
    <w:rsid w:val="00D97EFA"/>
    <w:rsid w:val="00DA0C59"/>
    <w:rsid w:val="00DA1B8A"/>
    <w:rsid w:val="00DA3991"/>
    <w:rsid w:val="00DA54B9"/>
    <w:rsid w:val="00DA6818"/>
    <w:rsid w:val="00DB0990"/>
    <w:rsid w:val="00DB1429"/>
    <w:rsid w:val="00DB342B"/>
    <w:rsid w:val="00DB7E6C"/>
    <w:rsid w:val="00DC6A12"/>
    <w:rsid w:val="00DC6B9B"/>
    <w:rsid w:val="00DD5A29"/>
    <w:rsid w:val="00DD5D9D"/>
    <w:rsid w:val="00DE35CB"/>
    <w:rsid w:val="00DE3ED0"/>
    <w:rsid w:val="00DF21E9"/>
    <w:rsid w:val="00DF440A"/>
    <w:rsid w:val="00DF55E4"/>
    <w:rsid w:val="00E00F14"/>
    <w:rsid w:val="00E06386"/>
    <w:rsid w:val="00E06AE7"/>
    <w:rsid w:val="00E071A0"/>
    <w:rsid w:val="00E12BED"/>
    <w:rsid w:val="00E14100"/>
    <w:rsid w:val="00E2042D"/>
    <w:rsid w:val="00E210F0"/>
    <w:rsid w:val="00E22597"/>
    <w:rsid w:val="00E24EB4"/>
    <w:rsid w:val="00E26420"/>
    <w:rsid w:val="00E320ED"/>
    <w:rsid w:val="00E33AFB"/>
    <w:rsid w:val="00E34218"/>
    <w:rsid w:val="00E3521E"/>
    <w:rsid w:val="00E46282"/>
    <w:rsid w:val="00E5216E"/>
    <w:rsid w:val="00E577E2"/>
    <w:rsid w:val="00E61656"/>
    <w:rsid w:val="00E656DA"/>
    <w:rsid w:val="00E67771"/>
    <w:rsid w:val="00E67886"/>
    <w:rsid w:val="00E71D6E"/>
    <w:rsid w:val="00E74B25"/>
    <w:rsid w:val="00E82344"/>
    <w:rsid w:val="00E84C82"/>
    <w:rsid w:val="00E84D64"/>
    <w:rsid w:val="00E87408"/>
    <w:rsid w:val="00E914C4"/>
    <w:rsid w:val="00E934F5"/>
    <w:rsid w:val="00E95DA5"/>
    <w:rsid w:val="00E966BC"/>
    <w:rsid w:val="00E96961"/>
    <w:rsid w:val="00EA0C7F"/>
    <w:rsid w:val="00EA3AD1"/>
    <w:rsid w:val="00EA72EC"/>
    <w:rsid w:val="00EB0D55"/>
    <w:rsid w:val="00EB11CB"/>
    <w:rsid w:val="00EB16EE"/>
    <w:rsid w:val="00EB275A"/>
    <w:rsid w:val="00EB786A"/>
    <w:rsid w:val="00EC1085"/>
    <w:rsid w:val="00EC1578"/>
    <w:rsid w:val="00EC1C72"/>
    <w:rsid w:val="00EC3CC9"/>
    <w:rsid w:val="00EC680A"/>
    <w:rsid w:val="00ED12B6"/>
    <w:rsid w:val="00EE2BED"/>
    <w:rsid w:val="00EE374B"/>
    <w:rsid w:val="00EF188E"/>
    <w:rsid w:val="00EF5811"/>
    <w:rsid w:val="00F10088"/>
    <w:rsid w:val="00F11BB5"/>
    <w:rsid w:val="00F1417B"/>
    <w:rsid w:val="00F23470"/>
    <w:rsid w:val="00F248AC"/>
    <w:rsid w:val="00F279B6"/>
    <w:rsid w:val="00F27A8B"/>
    <w:rsid w:val="00F34B99"/>
    <w:rsid w:val="00F40E1D"/>
    <w:rsid w:val="00F42503"/>
    <w:rsid w:val="00F46C54"/>
    <w:rsid w:val="00F52DAB"/>
    <w:rsid w:val="00F543F0"/>
    <w:rsid w:val="00F56ED8"/>
    <w:rsid w:val="00F6614F"/>
    <w:rsid w:val="00F67370"/>
    <w:rsid w:val="00F70B16"/>
    <w:rsid w:val="00F77D1B"/>
    <w:rsid w:val="00F81D29"/>
    <w:rsid w:val="00F91C4D"/>
    <w:rsid w:val="00F92FD9"/>
    <w:rsid w:val="00FA0459"/>
    <w:rsid w:val="00FA6684"/>
    <w:rsid w:val="00FA731E"/>
    <w:rsid w:val="00FA7AFB"/>
    <w:rsid w:val="00FB2B38"/>
    <w:rsid w:val="00FB7F80"/>
    <w:rsid w:val="00FC6358"/>
    <w:rsid w:val="00FD006E"/>
    <w:rsid w:val="00FD01CF"/>
    <w:rsid w:val="00FD320D"/>
    <w:rsid w:val="00FE23DE"/>
    <w:rsid w:val="00FE622B"/>
    <w:rsid w:val="00FE7CE5"/>
    <w:rsid w:val="04451871"/>
    <w:rsid w:val="07CD7E69"/>
    <w:rsid w:val="0A15745D"/>
    <w:rsid w:val="0AC361B1"/>
    <w:rsid w:val="0ADB422D"/>
    <w:rsid w:val="0B46346A"/>
    <w:rsid w:val="0C5F3C4C"/>
    <w:rsid w:val="0CE52495"/>
    <w:rsid w:val="0F337E9E"/>
    <w:rsid w:val="0FFE2E9A"/>
    <w:rsid w:val="12557403"/>
    <w:rsid w:val="152D3A47"/>
    <w:rsid w:val="15371C63"/>
    <w:rsid w:val="172723B6"/>
    <w:rsid w:val="18DF1ED9"/>
    <w:rsid w:val="193056FF"/>
    <w:rsid w:val="19BC4B50"/>
    <w:rsid w:val="1AF92DE1"/>
    <w:rsid w:val="1CB27A27"/>
    <w:rsid w:val="1D995C96"/>
    <w:rsid w:val="1E486BD6"/>
    <w:rsid w:val="1FD7711C"/>
    <w:rsid w:val="1FFC7A85"/>
    <w:rsid w:val="218B005F"/>
    <w:rsid w:val="251E7588"/>
    <w:rsid w:val="252B0B4D"/>
    <w:rsid w:val="29336626"/>
    <w:rsid w:val="2A721798"/>
    <w:rsid w:val="2B540E8C"/>
    <w:rsid w:val="2B7F15B0"/>
    <w:rsid w:val="2BB7C6BB"/>
    <w:rsid w:val="2BD4390C"/>
    <w:rsid w:val="2C3E7C40"/>
    <w:rsid w:val="2F7AA487"/>
    <w:rsid w:val="30E451BC"/>
    <w:rsid w:val="3203291F"/>
    <w:rsid w:val="33070FA6"/>
    <w:rsid w:val="3D9F58BB"/>
    <w:rsid w:val="3DFF019E"/>
    <w:rsid w:val="3E5AB452"/>
    <w:rsid w:val="3FF78EA9"/>
    <w:rsid w:val="42B46BE7"/>
    <w:rsid w:val="46485832"/>
    <w:rsid w:val="473531D3"/>
    <w:rsid w:val="4A987804"/>
    <w:rsid w:val="4B3C1CCF"/>
    <w:rsid w:val="4FBAA9B2"/>
    <w:rsid w:val="5420006C"/>
    <w:rsid w:val="54416C69"/>
    <w:rsid w:val="56A25C29"/>
    <w:rsid w:val="56D62822"/>
    <w:rsid w:val="57471D23"/>
    <w:rsid w:val="58EE756D"/>
    <w:rsid w:val="59A34440"/>
    <w:rsid w:val="5A6253F2"/>
    <w:rsid w:val="5DB1498B"/>
    <w:rsid w:val="5FF8000C"/>
    <w:rsid w:val="62B727B7"/>
    <w:rsid w:val="6424635D"/>
    <w:rsid w:val="64652907"/>
    <w:rsid w:val="64AB6831"/>
    <w:rsid w:val="6902682F"/>
    <w:rsid w:val="6BA633B6"/>
    <w:rsid w:val="706106FD"/>
    <w:rsid w:val="710532AF"/>
    <w:rsid w:val="7155475F"/>
    <w:rsid w:val="745409AC"/>
    <w:rsid w:val="74C4075C"/>
    <w:rsid w:val="791F7B7A"/>
    <w:rsid w:val="796C4660"/>
    <w:rsid w:val="7B4D257D"/>
    <w:rsid w:val="7BEB1FEE"/>
    <w:rsid w:val="7BFE9317"/>
    <w:rsid w:val="7BFF16ED"/>
    <w:rsid w:val="7C122105"/>
    <w:rsid w:val="7C5E0EDA"/>
    <w:rsid w:val="7D495C8E"/>
    <w:rsid w:val="7E9AA9E1"/>
    <w:rsid w:val="7EC71FC2"/>
    <w:rsid w:val="7F7F9E2E"/>
    <w:rsid w:val="97F7CC35"/>
    <w:rsid w:val="9B6FF5EB"/>
    <w:rsid w:val="B7FA95BD"/>
    <w:rsid w:val="BFFE6C0A"/>
    <w:rsid w:val="D6BDE577"/>
    <w:rsid w:val="DDFF8C81"/>
    <w:rsid w:val="DFFF840E"/>
    <w:rsid w:val="F6EB0F6F"/>
    <w:rsid w:val="F7EF1C41"/>
    <w:rsid w:val="F9E7B4E2"/>
    <w:rsid w:val="FBFF6E86"/>
    <w:rsid w:val="FDF848C8"/>
    <w:rsid w:val="FEDE9B05"/>
    <w:rsid w:val="FF5FC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99"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99" w:name="footnote reference"/>
    <w:lsdException w:qFormat="1" w:uiPriority="99" w:semiHidden="0" w:name="annotation reference"/>
    <w:lsdException w:uiPriority="0" w:name="line number"/>
    <w:lsdException w:qFormat="1" w:unhideWhenUsed="0" w:uiPriority="99" w:semiHidden="0" w:name="page number"/>
    <w:lsdException w:qFormat="1" w:unhideWhenUsed="0" w:uiPriority="0" w:name="endnote reference"/>
    <w:lsdException w:qFormat="1" w:unhideWhenUsed="0"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11" w:semiHidden="0" w:name="Subtitle"/>
    <w:lsdException w:uiPriority="0" w:name="Salutation"/>
    <w:lsdException w:qFormat="1" w:uiPriority="99"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name="Document Map"/>
    <w:lsdException w:qFormat="1" w:uiPriority="99" w:semiHidden="0" w:name="Plain Text"/>
    <w:lsdException w:uiPriority="0" w:name="E-mail Signature"/>
    <w:lsdException w:qFormat="1" w:uiPriority="99" w:semiHidden="0" w:name="Normal (Web)"/>
    <w:lsdException w:uiPriority="0" w:name="HTML Acronym"/>
    <w:lsdException w:qFormat="1" w:uiPriority="99" w:semiHidden="0" w:name="HTML Address"/>
    <w:lsdException w:uiPriority="0" w:name="HTML Cite"/>
    <w:lsdException w:qFormat="1" w:uiPriority="99" w:semiHidden="0" w:name="HTML Code"/>
    <w:lsdException w:uiPriority="0" w:name="HTML Definition"/>
    <w:lsdException w:qFormat="1" w:uiPriority="99" w:semiHidden="0" w:name="HTML Keyboard"/>
    <w:lsdException w:qFormat="1" w:uiPriority="99" w:semiHidden="0" w:name="HTML Preformatted"/>
    <w:lsdException w:qFormat="1" w:uiPriority="99" w:semiHidden="0" w:name="HTML Sample"/>
    <w:lsdException w:qFormat="1" w:uiPriority="99" w:semiHidden="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6"/>
    <w:qFormat/>
    <w:uiPriority w:val="0"/>
    <w:pPr>
      <w:keepNext/>
      <w:keepLines/>
      <w:tabs>
        <w:tab w:val="left" w:pos="0"/>
      </w:tabs>
      <w:outlineLvl w:val="0"/>
    </w:pPr>
    <w:rPr>
      <w:rFonts w:ascii="宋体" w:eastAsia="黑体"/>
      <w:b/>
      <w:bCs/>
      <w:kern w:val="44"/>
      <w:szCs w:val="44"/>
    </w:rPr>
  </w:style>
  <w:style w:type="paragraph" w:styleId="3">
    <w:name w:val="heading 2"/>
    <w:basedOn w:val="1"/>
    <w:next w:val="1"/>
    <w:link w:val="67"/>
    <w:qFormat/>
    <w:uiPriority w:val="0"/>
    <w:pPr>
      <w:keepNext/>
      <w:keepLines/>
      <w:spacing w:before="260" w:after="260" w:line="416" w:lineRule="auto"/>
      <w:outlineLvl w:val="1"/>
    </w:pPr>
    <w:rPr>
      <w:rFonts w:ascii="Arial" w:hAnsi="Arial" w:eastAsia="黑体"/>
      <w:b/>
      <w:bCs/>
      <w:kern w:val="0"/>
      <w:sz w:val="32"/>
      <w:szCs w:val="32"/>
    </w:rPr>
  </w:style>
  <w:style w:type="paragraph" w:styleId="4">
    <w:name w:val="heading 3"/>
    <w:basedOn w:val="1"/>
    <w:next w:val="1"/>
    <w:link w:val="68"/>
    <w:qFormat/>
    <w:uiPriority w:val="9"/>
    <w:pPr>
      <w:keepNext/>
      <w:keepLines/>
      <w:spacing w:before="260" w:after="260" w:line="416" w:lineRule="auto"/>
      <w:outlineLvl w:val="2"/>
    </w:pPr>
    <w:rPr>
      <w:rFonts w:ascii="宋体"/>
      <w:b/>
      <w:bCs/>
      <w:kern w:val="0"/>
      <w:sz w:val="32"/>
      <w:szCs w:val="32"/>
    </w:rPr>
  </w:style>
  <w:style w:type="paragraph" w:styleId="5">
    <w:name w:val="heading 4"/>
    <w:basedOn w:val="1"/>
    <w:next w:val="1"/>
    <w:link w:val="69"/>
    <w:qFormat/>
    <w:uiPriority w:val="9"/>
    <w:pPr>
      <w:keepNext/>
      <w:keepLines/>
      <w:spacing w:before="280" w:after="290" w:line="376" w:lineRule="auto"/>
      <w:outlineLvl w:val="3"/>
    </w:pPr>
    <w:rPr>
      <w:rFonts w:ascii="Cambria" w:hAnsi="Cambria"/>
      <w:b/>
      <w:bCs/>
      <w:sz w:val="28"/>
      <w:szCs w:val="28"/>
    </w:rPr>
  </w:style>
  <w:style w:type="paragraph" w:styleId="6">
    <w:name w:val="heading 5"/>
    <w:basedOn w:val="1"/>
    <w:next w:val="1"/>
    <w:link w:val="70"/>
    <w:qFormat/>
    <w:uiPriority w:val="9"/>
    <w:pPr>
      <w:keepNext/>
      <w:keepLines/>
      <w:spacing w:before="280" w:after="290" w:line="372" w:lineRule="auto"/>
      <w:outlineLvl w:val="4"/>
    </w:pPr>
    <w:rPr>
      <w:rFonts w:ascii="等线" w:hAnsi="等线" w:eastAsia="等线"/>
      <w:b/>
      <w:sz w:val="28"/>
      <w:szCs w:val="22"/>
    </w:rPr>
  </w:style>
  <w:style w:type="paragraph" w:styleId="7">
    <w:name w:val="heading 6"/>
    <w:basedOn w:val="1"/>
    <w:next w:val="1"/>
    <w:link w:val="71"/>
    <w:qFormat/>
    <w:uiPriority w:val="9"/>
    <w:pPr>
      <w:keepNext/>
      <w:keepLines/>
      <w:spacing w:before="240" w:after="64" w:line="317" w:lineRule="auto"/>
      <w:outlineLvl w:val="5"/>
    </w:pPr>
    <w:rPr>
      <w:rFonts w:ascii="Arial" w:hAnsi="Arial" w:eastAsia="黑体"/>
      <w:b/>
      <w:sz w:val="24"/>
      <w:szCs w:val="22"/>
    </w:rPr>
  </w:style>
  <w:style w:type="paragraph" w:styleId="8">
    <w:name w:val="heading 7"/>
    <w:basedOn w:val="1"/>
    <w:next w:val="1"/>
    <w:link w:val="72"/>
    <w:qFormat/>
    <w:uiPriority w:val="9"/>
    <w:pPr>
      <w:keepNext/>
      <w:keepLines/>
      <w:spacing w:before="240" w:after="64" w:line="317" w:lineRule="auto"/>
      <w:outlineLvl w:val="6"/>
    </w:pPr>
    <w:rPr>
      <w:rFonts w:ascii="等线" w:hAnsi="等线" w:eastAsia="等线"/>
      <w:b/>
      <w:sz w:val="24"/>
      <w:szCs w:val="22"/>
    </w:rPr>
  </w:style>
  <w:style w:type="paragraph" w:styleId="9">
    <w:name w:val="heading 8"/>
    <w:basedOn w:val="1"/>
    <w:next w:val="1"/>
    <w:link w:val="73"/>
    <w:qFormat/>
    <w:uiPriority w:val="9"/>
    <w:pPr>
      <w:keepNext/>
      <w:keepLines/>
      <w:spacing w:before="240" w:after="64" w:line="317" w:lineRule="auto"/>
      <w:outlineLvl w:val="7"/>
    </w:pPr>
    <w:rPr>
      <w:rFonts w:ascii="Arial" w:hAnsi="Arial" w:eastAsia="黑体"/>
      <w:sz w:val="24"/>
      <w:szCs w:val="22"/>
    </w:rPr>
  </w:style>
  <w:style w:type="paragraph" w:styleId="10">
    <w:name w:val="heading 9"/>
    <w:basedOn w:val="1"/>
    <w:next w:val="1"/>
    <w:link w:val="74"/>
    <w:qFormat/>
    <w:uiPriority w:val="9"/>
    <w:pPr>
      <w:keepNext/>
      <w:keepLines/>
      <w:spacing w:before="240" w:after="64" w:line="317" w:lineRule="auto"/>
      <w:outlineLvl w:val="8"/>
    </w:pPr>
    <w:rPr>
      <w:rFonts w:ascii="Arial" w:hAnsi="Arial" w:eastAsia="黑体"/>
      <w:szCs w:val="22"/>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tabs>
        <w:tab w:val="right" w:leader="dot" w:pos="9241"/>
      </w:tabs>
      <w:ind w:firstLine="505" w:firstLineChars="500"/>
      <w:jc w:val="left"/>
    </w:pPr>
    <w:rPr>
      <w:rFonts w:ascii="宋体"/>
      <w:szCs w:val="21"/>
    </w:rPr>
  </w:style>
  <w:style w:type="paragraph" w:styleId="12">
    <w:name w:val="index 8"/>
    <w:basedOn w:val="1"/>
    <w:next w:val="1"/>
    <w:qFormat/>
    <w:uiPriority w:val="0"/>
    <w:pPr>
      <w:ind w:left="1680" w:hanging="210"/>
      <w:jc w:val="left"/>
    </w:pPr>
    <w:rPr>
      <w:rFonts w:ascii="Calibri" w:hAnsi="Calibri"/>
      <w:sz w:val="20"/>
      <w:szCs w:val="20"/>
    </w:rPr>
  </w:style>
  <w:style w:type="paragraph" w:styleId="13">
    <w:name w:val="Normal Indent"/>
    <w:basedOn w:val="1"/>
    <w:link w:val="75"/>
    <w:qFormat/>
    <w:uiPriority w:val="99"/>
    <w:pPr>
      <w:adjustRightInd w:val="0"/>
      <w:spacing w:line="360" w:lineRule="atLeast"/>
      <w:ind w:firstLine="420" w:firstLineChars="200"/>
      <w:jc w:val="left"/>
      <w:textAlignment w:val="baseline"/>
    </w:pPr>
    <w:rPr>
      <w:kern w:val="0"/>
      <w:szCs w:val="20"/>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index 5"/>
    <w:basedOn w:val="1"/>
    <w:next w:val="1"/>
    <w:qFormat/>
    <w:uiPriority w:val="0"/>
    <w:pPr>
      <w:ind w:left="1050" w:hanging="210"/>
      <w:jc w:val="left"/>
    </w:pPr>
    <w:rPr>
      <w:rFonts w:ascii="Calibri" w:hAnsi="Calibri"/>
      <w:sz w:val="20"/>
      <w:szCs w:val="20"/>
    </w:rPr>
  </w:style>
  <w:style w:type="paragraph" w:styleId="16">
    <w:name w:val="Document Map"/>
    <w:basedOn w:val="1"/>
    <w:link w:val="76"/>
    <w:semiHidden/>
    <w:qFormat/>
    <w:uiPriority w:val="99"/>
    <w:pPr>
      <w:shd w:val="clear" w:color="auto" w:fill="000080"/>
    </w:pPr>
  </w:style>
  <w:style w:type="paragraph" w:styleId="17">
    <w:name w:val="annotation text"/>
    <w:basedOn w:val="1"/>
    <w:link w:val="77"/>
    <w:unhideWhenUsed/>
    <w:qFormat/>
    <w:uiPriority w:val="99"/>
    <w:pPr>
      <w:jc w:val="left"/>
    </w:pPr>
    <w:rPr>
      <w:rFonts w:ascii="等线" w:hAnsi="等线" w:eastAsia="等线"/>
      <w:szCs w:val="22"/>
    </w:rPr>
  </w:style>
  <w:style w:type="paragraph" w:styleId="18">
    <w:name w:val="index 6"/>
    <w:basedOn w:val="1"/>
    <w:next w:val="1"/>
    <w:qFormat/>
    <w:uiPriority w:val="0"/>
    <w:pPr>
      <w:ind w:left="1260" w:hanging="210"/>
      <w:jc w:val="left"/>
    </w:pPr>
    <w:rPr>
      <w:rFonts w:ascii="Calibri" w:hAnsi="Calibri"/>
      <w:sz w:val="20"/>
      <w:szCs w:val="20"/>
    </w:rPr>
  </w:style>
  <w:style w:type="paragraph" w:styleId="19">
    <w:name w:val="Body Text"/>
    <w:basedOn w:val="1"/>
    <w:link w:val="78"/>
    <w:qFormat/>
    <w:uiPriority w:val="0"/>
    <w:pPr>
      <w:spacing w:after="120"/>
    </w:pPr>
  </w:style>
  <w:style w:type="paragraph" w:styleId="20">
    <w:name w:val="Body Text Indent"/>
    <w:basedOn w:val="1"/>
    <w:link w:val="79"/>
    <w:unhideWhenUsed/>
    <w:qFormat/>
    <w:uiPriority w:val="99"/>
    <w:pPr>
      <w:autoSpaceDE w:val="0"/>
      <w:autoSpaceDN w:val="0"/>
      <w:adjustRightInd w:val="0"/>
      <w:spacing w:after="120" w:line="360" w:lineRule="auto"/>
      <w:ind w:left="420" w:leftChars="200"/>
      <w:jc w:val="left"/>
    </w:pPr>
    <w:rPr>
      <w:rFonts w:hint="eastAsia" w:ascii="宋体" w:hAnsi="宋体" w:eastAsia="仿宋"/>
      <w:color w:val="000000"/>
      <w:kern w:val="0"/>
      <w:sz w:val="28"/>
      <w:szCs w:val="20"/>
    </w:rPr>
  </w:style>
  <w:style w:type="paragraph" w:styleId="21">
    <w:name w:val="HTML Address"/>
    <w:basedOn w:val="1"/>
    <w:link w:val="80"/>
    <w:unhideWhenUsed/>
    <w:qFormat/>
    <w:uiPriority w:val="99"/>
    <w:rPr>
      <w:rFonts w:ascii="等线" w:hAnsi="等线" w:eastAsia="等线"/>
      <w:i/>
      <w:szCs w:val="22"/>
    </w:rPr>
  </w:style>
  <w:style w:type="paragraph" w:styleId="22">
    <w:name w:val="index 4"/>
    <w:basedOn w:val="1"/>
    <w:next w:val="1"/>
    <w:qFormat/>
    <w:uiPriority w:val="0"/>
    <w:pPr>
      <w:ind w:left="840" w:hanging="210"/>
      <w:jc w:val="left"/>
    </w:pPr>
    <w:rPr>
      <w:rFonts w:ascii="Calibri" w:hAnsi="Calibri"/>
      <w:sz w:val="20"/>
      <w:szCs w:val="20"/>
    </w:rPr>
  </w:style>
  <w:style w:type="paragraph" w:styleId="23">
    <w:name w:val="toc 5"/>
    <w:basedOn w:val="1"/>
    <w:next w:val="1"/>
    <w:qFormat/>
    <w:uiPriority w:val="39"/>
    <w:pPr>
      <w:tabs>
        <w:tab w:val="right" w:leader="dot" w:pos="9241"/>
      </w:tabs>
      <w:ind w:firstLine="300" w:firstLineChars="300"/>
      <w:jc w:val="left"/>
    </w:pPr>
    <w:rPr>
      <w:rFonts w:ascii="宋体"/>
      <w:szCs w:val="21"/>
    </w:rPr>
  </w:style>
  <w:style w:type="paragraph" w:styleId="24">
    <w:name w:val="toc 3"/>
    <w:basedOn w:val="1"/>
    <w:next w:val="1"/>
    <w:qFormat/>
    <w:uiPriority w:val="39"/>
    <w:pPr>
      <w:tabs>
        <w:tab w:val="right" w:leader="dot" w:pos="9241"/>
      </w:tabs>
      <w:ind w:firstLine="102" w:firstLineChars="100"/>
      <w:jc w:val="left"/>
    </w:pPr>
    <w:rPr>
      <w:rFonts w:ascii="宋体"/>
      <w:szCs w:val="21"/>
    </w:rPr>
  </w:style>
  <w:style w:type="paragraph" w:styleId="25">
    <w:name w:val="Plain Text"/>
    <w:basedOn w:val="1"/>
    <w:link w:val="81"/>
    <w:unhideWhenUsed/>
    <w:qFormat/>
    <w:uiPriority w:val="99"/>
    <w:rPr>
      <w:rFonts w:ascii="宋体" w:hAnsi="Courier New" w:eastAsia="等线"/>
      <w:szCs w:val="22"/>
    </w:rPr>
  </w:style>
  <w:style w:type="paragraph" w:styleId="26">
    <w:name w:val="toc 8"/>
    <w:basedOn w:val="1"/>
    <w:next w:val="1"/>
    <w:qFormat/>
    <w:uiPriority w:val="39"/>
    <w:pPr>
      <w:tabs>
        <w:tab w:val="right" w:leader="dot" w:pos="9241"/>
      </w:tabs>
      <w:ind w:firstLine="607" w:firstLineChars="600"/>
      <w:jc w:val="left"/>
    </w:pPr>
    <w:rPr>
      <w:rFonts w:ascii="宋体"/>
      <w:szCs w:val="21"/>
    </w:rPr>
  </w:style>
  <w:style w:type="paragraph" w:styleId="27">
    <w:name w:val="index 3"/>
    <w:basedOn w:val="1"/>
    <w:next w:val="1"/>
    <w:qFormat/>
    <w:uiPriority w:val="0"/>
    <w:pPr>
      <w:ind w:left="630" w:hanging="210"/>
      <w:jc w:val="left"/>
    </w:pPr>
    <w:rPr>
      <w:rFonts w:ascii="Calibri" w:hAnsi="Calibri"/>
      <w:sz w:val="20"/>
      <w:szCs w:val="20"/>
    </w:rPr>
  </w:style>
  <w:style w:type="paragraph" w:styleId="28">
    <w:name w:val="Date"/>
    <w:basedOn w:val="1"/>
    <w:next w:val="1"/>
    <w:link w:val="82"/>
    <w:unhideWhenUsed/>
    <w:qFormat/>
    <w:uiPriority w:val="99"/>
    <w:pPr>
      <w:ind w:left="100" w:leftChars="2500"/>
    </w:pPr>
    <w:rPr>
      <w:rFonts w:ascii="等线" w:hAnsi="等线" w:eastAsia="等线"/>
      <w:szCs w:val="22"/>
    </w:rPr>
  </w:style>
  <w:style w:type="paragraph" w:styleId="29">
    <w:name w:val="endnote text"/>
    <w:basedOn w:val="1"/>
    <w:semiHidden/>
    <w:qFormat/>
    <w:uiPriority w:val="0"/>
    <w:pPr>
      <w:snapToGrid w:val="0"/>
      <w:jc w:val="left"/>
    </w:pPr>
  </w:style>
  <w:style w:type="paragraph" w:styleId="30">
    <w:name w:val="Balloon Text"/>
    <w:basedOn w:val="1"/>
    <w:link w:val="83"/>
    <w:qFormat/>
    <w:uiPriority w:val="99"/>
    <w:rPr>
      <w:sz w:val="18"/>
      <w:szCs w:val="18"/>
    </w:rPr>
  </w:style>
  <w:style w:type="paragraph" w:styleId="31">
    <w:name w:val="footer"/>
    <w:basedOn w:val="1"/>
    <w:link w:val="84"/>
    <w:qFormat/>
    <w:uiPriority w:val="99"/>
    <w:pPr>
      <w:snapToGrid w:val="0"/>
      <w:ind w:right="210" w:rightChars="100"/>
      <w:jc w:val="right"/>
    </w:pPr>
    <w:rPr>
      <w:sz w:val="18"/>
      <w:szCs w:val="18"/>
    </w:rPr>
  </w:style>
  <w:style w:type="paragraph" w:styleId="32">
    <w:name w:val="header"/>
    <w:basedOn w:val="1"/>
    <w:link w:val="85"/>
    <w:qFormat/>
    <w:uiPriority w:val="99"/>
    <w:pPr>
      <w:snapToGrid w:val="0"/>
      <w:jc w:val="left"/>
    </w:pPr>
    <w:rPr>
      <w:sz w:val="18"/>
      <w:szCs w:val="18"/>
    </w:rPr>
  </w:style>
  <w:style w:type="paragraph" w:styleId="33">
    <w:name w:val="toc 1"/>
    <w:basedOn w:val="1"/>
    <w:next w:val="1"/>
    <w:qFormat/>
    <w:uiPriority w:val="39"/>
    <w:pPr>
      <w:tabs>
        <w:tab w:val="right" w:leader="dot" w:pos="9241"/>
      </w:tabs>
      <w:spacing w:before="25" w:beforeLines="25" w:after="25" w:afterLines="25"/>
      <w:jc w:val="left"/>
    </w:pPr>
    <w:rPr>
      <w:rFonts w:ascii="宋体"/>
      <w:szCs w:val="21"/>
    </w:rPr>
  </w:style>
  <w:style w:type="paragraph" w:styleId="34">
    <w:name w:val="toc 4"/>
    <w:basedOn w:val="1"/>
    <w:next w:val="1"/>
    <w:qFormat/>
    <w:uiPriority w:val="39"/>
    <w:pPr>
      <w:tabs>
        <w:tab w:val="right" w:leader="dot" w:pos="9241"/>
      </w:tabs>
      <w:ind w:firstLine="198" w:firstLineChars="200"/>
      <w:jc w:val="left"/>
    </w:pPr>
    <w:rPr>
      <w:rFonts w:ascii="宋体"/>
      <w:szCs w:val="21"/>
    </w:rPr>
  </w:style>
  <w:style w:type="paragraph" w:styleId="35">
    <w:name w:val="index heading"/>
    <w:basedOn w:val="1"/>
    <w:next w:val="36"/>
    <w:qFormat/>
    <w:uiPriority w:val="0"/>
    <w:pPr>
      <w:spacing w:before="120" w:after="120"/>
      <w:jc w:val="center"/>
    </w:pPr>
    <w:rPr>
      <w:rFonts w:ascii="Calibri" w:hAnsi="Calibri"/>
      <w:b/>
      <w:bCs/>
      <w:iCs/>
      <w:szCs w:val="20"/>
    </w:rPr>
  </w:style>
  <w:style w:type="paragraph" w:styleId="36">
    <w:name w:val="index 1"/>
    <w:basedOn w:val="1"/>
    <w:next w:val="37"/>
    <w:qFormat/>
    <w:uiPriority w:val="0"/>
    <w:pPr>
      <w:tabs>
        <w:tab w:val="right" w:leader="dot" w:pos="9299"/>
      </w:tabs>
      <w:jc w:val="left"/>
    </w:pPr>
    <w:rPr>
      <w:rFonts w:ascii="宋体"/>
      <w:szCs w:val="21"/>
    </w:rPr>
  </w:style>
  <w:style w:type="paragraph" w:customStyle="1" w:styleId="37">
    <w:name w:val="段"/>
    <w:link w:val="8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38">
    <w:name w:val="Subtitle"/>
    <w:basedOn w:val="1"/>
    <w:link w:val="87"/>
    <w:qFormat/>
    <w:uiPriority w:val="11"/>
    <w:pPr>
      <w:spacing w:before="240" w:after="60" w:line="312" w:lineRule="auto"/>
      <w:jc w:val="center"/>
      <w:outlineLvl w:val="1"/>
    </w:pPr>
    <w:rPr>
      <w:rFonts w:ascii="Arial" w:hAnsi="Arial" w:eastAsia="等线"/>
      <w:b/>
      <w:kern w:val="28"/>
      <w:sz w:val="32"/>
      <w:szCs w:val="22"/>
    </w:rPr>
  </w:style>
  <w:style w:type="paragraph" w:styleId="39">
    <w:name w:val="footnote text"/>
    <w:basedOn w:val="1"/>
    <w:link w:val="88"/>
    <w:qFormat/>
    <w:uiPriority w:val="99"/>
    <w:pPr>
      <w:numPr>
        <w:ilvl w:val="0"/>
        <w:numId w:val="1"/>
      </w:numPr>
      <w:snapToGrid w:val="0"/>
      <w:jc w:val="left"/>
    </w:pPr>
    <w:rPr>
      <w:rFonts w:ascii="宋体"/>
      <w:sz w:val="18"/>
      <w:szCs w:val="18"/>
    </w:rPr>
  </w:style>
  <w:style w:type="paragraph" w:styleId="40">
    <w:name w:val="toc 6"/>
    <w:basedOn w:val="1"/>
    <w:next w:val="1"/>
    <w:qFormat/>
    <w:uiPriority w:val="39"/>
    <w:pPr>
      <w:tabs>
        <w:tab w:val="right" w:leader="dot" w:pos="9241"/>
      </w:tabs>
      <w:ind w:firstLine="403" w:firstLineChars="400"/>
      <w:jc w:val="left"/>
    </w:pPr>
    <w:rPr>
      <w:rFonts w:ascii="宋体"/>
      <w:szCs w:val="21"/>
    </w:rPr>
  </w:style>
  <w:style w:type="paragraph" w:styleId="41">
    <w:name w:val="index 7"/>
    <w:basedOn w:val="1"/>
    <w:next w:val="1"/>
    <w:qFormat/>
    <w:uiPriority w:val="0"/>
    <w:pPr>
      <w:ind w:left="1470" w:hanging="210"/>
      <w:jc w:val="left"/>
    </w:pPr>
    <w:rPr>
      <w:rFonts w:ascii="Calibri" w:hAnsi="Calibri"/>
      <w:sz w:val="20"/>
      <w:szCs w:val="20"/>
    </w:rPr>
  </w:style>
  <w:style w:type="paragraph" w:styleId="42">
    <w:name w:val="index 9"/>
    <w:basedOn w:val="1"/>
    <w:next w:val="1"/>
    <w:qFormat/>
    <w:uiPriority w:val="0"/>
    <w:pPr>
      <w:ind w:left="1890" w:hanging="210"/>
      <w:jc w:val="left"/>
    </w:pPr>
    <w:rPr>
      <w:rFonts w:ascii="Calibri" w:hAnsi="Calibri"/>
      <w:sz w:val="20"/>
      <w:szCs w:val="20"/>
    </w:rPr>
  </w:style>
  <w:style w:type="paragraph" w:styleId="43">
    <w:name w:val="toc 2"/>
    <w:basedOn w:val="1"/>
    <w:next w:val="1"/>
    <w:qFormat/>
    <w:uiPriority w:val="39"/>
    <w:pPr>
      <w:tabs>
        <w:tab w:val="right" w:leader="dot" w:pos="9241"/>
      </w:tabs>
    </w:pPr>
    <w:rPr>
      <w:rFonts w:ascii="宋体"/>
      <w:szCs w:val="21"/>
    </w:rPr>
  </w:style>
  <w:style w:type="paragraph" w:styleId="44">
    <w:name w:val="toc 9"/>
    <w:basedOn w:val="1"/>
    <w:next w:val="1"/>
    <w:qFormat/>
    <w:uiPriority w:val="39"/>
    <w:pPr>
      <w:ind w:left="1470"/>
      <w:jc w:val="left"/>
    </w:pPr>
    <w:rPr>
      <w:sz w:val="20"/>
      <w:szCs w:val="20"/>
    </w:rPr>
  </w:style>
  <w:style w:type="paragraph" w:styleId="45">
    <w:name w:val="HTML Preformatted"/>
    <w:basedOn w:val="1"/>
    <w:link w:val="89"/>
    <w:unhideWhenUsed/>
    <w:qFormat/>
    <w:uiPriority w:val="99"/>
    <w:rPr>
      <w:rFonts w:ascii="Courier New" w:hAnsi="Courier New" w:eastAsia="等线"/>
      <w:sz w:val="20"/>
      <w:szCs w:val="22"/>
    </w:rPr>
  </w:style>
  <w:style w:type="paragraph" w:styleId="46">
    <w:name w:val="Normal (Web)"/>
    <w:basedOn w:val="1"/>
    <w:unhideWhenUsed/>
    <w:qFormat/>
    <w:uiPriority w:val="99"/>
    <w:pPr>
      <w:widowControl/>
      <w:spacing w:beforeAutospacing="1" w:afterAutospacing="1"/>
      <w:jc w:val="left"/>
    </w:pPr>
    <w:rPr>
      <w:rFonts w:hint="eastAsia" w:ascii="宋体" w:hAnsi="宋体"/>
      <w:kern w:val="0"/>
      <w:sz w:val="24"/>
    </w:rPr>
  </w:style>
  <w:style w:type="paragraph" w:styleId="47">
    <w:name w:val="index 2"/>
    <w:basedOn w:val="1"/>
    <w:next w:val="1"/>
    <w:qFormat/>
    <w:uiPriority w:val="0"/>
    <w:pPr>
      <w:ind w:left="420" w:hanging="210"/>
      <w:jc w:val="left"/>
    </w:pPr>
    <w:rPr>
      <w:rFonts w:ascii="Calibri" w:hAnsi="Calibri"/>
      <w:sz w:val="20"/>
      <w:szCs w:val="20"/>
    </w:rPr>
  </w:style>
  <w:style w:type="paragraph" w:styleId="48">
    <w:name w:val="Title"/>
    <w:basedOn w:val="1"/>
    <w:link w:val="90"/>
    <w:qFormat/>
    <w:uiPriority w:val="10"/>
    <w:pPr>
      <w:spacing w:before="240" w:after="60"/>
      <w:jc w:val="center"/>
      <w:outlineLvl w:val="0"/>
    </w:pPr>
    <w:rPr>
      <w:rFonts w:ascii="Arial" w:hAnsi="Arial" w:eastAsia="等线"/>
      <w:b/>
      <w:sz w:val="32"/>
      <w:szCs w:val="22"/>
    </w:rPr>
  </w:style>
  <w:style w:type="paragraph" w:styleId="49">
    <w:name w:val="annotation subject"/>
    <w:basedOn w:val="17"/>
    <w:next w:val="17"/>
    <w:link w:val="91"/>
    <w:unhideWhenUsed/>
    <w:qFormat/>
    <w:uiPriority w:val="99"/>
    <w:rPr>
      <w:b/>
    </w:rPr>
  </w:style>
  <w:style w:type="paragraph" w:styleId="50">
    <w:name w:val="Body Text First Indent"/>
    <w:basedOn w:val="19"/>
    <w:link w:val="210"/>
    <w:qFormat/>
    <w:uiPriority w:val="0"/>
    <w:pPr>
      <w:ind w:firstLine="420" w:firstLineChars="100"/>
    </w:pPr>
  </w:style>
  <w:style w:type="table" w:styleId="52">
    <w:name w:val="Table Grid"/>
    <w:basedOn w:val="51"/>
    <w:qFormat/>
    <w:uiPriority w:val="3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54">
    <w:name w:val="Strong"/>
    <w:qFormat/>
    <w:uiPriority w:val="22"/>
    <w:rPr>
      <w:b/>
    </w:rPr>
  </w:style>
  <w:style w:type="character" w:styleId="55">
    <w:name w:val="endnote reference"/>
    <w:semiHidden/>
    <w:qFormat/>
    <w:uiPriority w:val="0"/>
    <w:rPr>
      <w:vertAlign w:val="superscript"/>
    </w:rPr>
  </w:style>
  <w:style w:type="character" w:styleId="56">
    <w:name w:val="page number"/>
    <w:qFormat/>
    <w:uiPriority w:val="99"/>
    <w:rPr>
      <w:rFonts w:ascii="Times New Roman" w:hAnsi="Times New Roman" w:eastAsia="宋体"/>
      <w:sz w:val="18"/>
    </w:rPr>
  </w:style>
  <w:style w:type="character" w:styleId="57">
    <w:name w:val="FollowedHyperlink"/>
    <w:qFormat/>
    <w:uiPriority w:val="99"/>
    <w:rPr>
      <w:color w:val="800080"/>
      <w:u w:val="single"/>
    </w:rPr>
  </w:style>
  <w:style w:type="character" w:styleId="58">
    <w:name w:val="Emphasis"/>
    <w:qFormat/>
    <w:uiPriority w:val="20"/>
    <w:rPr>
      <w:i/>
      <w:iCs/>
    </w:rPr>
  </w:style>
  <w:style w:type="character" w:styleId="59">
    <w:name w:val="HTML Typewriter"/>
    <w:unhideWhenUsed/>
    <w:qFormat/>
    <w:uiPriority w:val="99"/>
    <w:rPr>
      <w:rFonts w:hint="default" w:ascii="Courier New" w:hAnsi="Courier New" w:eastAsia="Times New Roman" w:cs="Times New Roman"/>
      <w:sz w:val="20"/>
    </w:rPr>
  </w:style>
  <w:style w:type="character" w:styleId="60">
    <w:name w:val="Hyperlink"/>
    <w:qFormat/>
    <w:uiPriority w:val="99"/>
    <w:rPr>
      <w:color w:val="0000FF"/>
      <w:spacing w:val="0"/>
      <w:w w:val="100"/>
      <w:szCs w:val="21"/>
      <w:u w:val="single"/>
    </w:rPr>
  </w:style>
  <w:style w:type="character" w:styleId="61">
    <w:name w:val="HTML Code"/>
    <w:unhideWhenUsed/>
    <w:qFormat/>
    <w:uiPriority w:val="99"/>
    <w:rPr>
      <w:rFonts w:hint="default" w:ascii="Courier New" w:hAnsi="Courier New" w:eastAsia="Times New Roman" w:cs="Times New Roman"/>
      <w:sz w:val="20"/>
    </w:rPr>
  </w:style>
  <w:style w:type="character" w:styleId="62">
    <w:name w:val="annotation reference"/>
    <w:unhideWhenUsed/>
    <w:qFormat/>
    <w:uiPriority w:val="99"/>
    <w:rPr>
      <w:sz w:val="21"/>
      <w:szCs w:val="21"/>
    </w:rPr>
  </w:style>
  <w:style w:type="character" w:styleId="63">
    <w:name w:val="footnote reference"/>
    <w:semiHidden/>
    <w:qFormat/>
    <w:uiPriority w:val="99"/>
    <w:rPr>
      <w:vertAlign w:val="superscript"/>
    </w:rPr>
  </w:style>
  <w:style w:type="character" w:styleId="64">
    <w:name w:val="HTML Keyboard"/>
    <w:unhideWhenUsed/>
    <w:qFormat/>
    <w:uiPriority w:val="99"/>
    <w:rPr>
      <w:rFonts w:hint="default" w:ascii="Courier New" w:hAnsi="Courier New" w:eastAsia="Times New Roman" w:cs="Times New Roman"/>
      <w:sz w:val="20"/>
    </w:rPr>
  </w:style>
  <w:style w:type="character" w:styleId="65">
    <w:name w:val="HTML Sample"/>
    <w:unhideWhenUsed/>
    <w:qFormat/>
    <w:uiPriority w:val="99"/>
    <w:rPr>
      <w:rFonts w:hint="default" w:ascii="Courier New" w:hAnsi="Courier New" w:eastAsia="Times New Roman" w:cs="Times New Roman"/>
    </w:rPr>
  </w:style>
  <w:style w:type="character" w:customStyle="1" w:styleId="66">
    <w:name w:val="标题 1 Char"/>
    <w:link w:val="2"/>
    <w:qFormat/>
    <w:uiPriority w:val="9"/>
    <w:rPr>
      <w:rFonts w:ascii="宋体" w:eastAsia="黑体"/>
      <w:b/>
      <w:bCs/>
      <w:kern w:val="44"/>
      <w:sz w:val="21"/>
      <w:szCs w:val="44"/>
    </w:rPr>
  </w:style>
  <w:style w:type="character" w:customStyle="1" w:styleId="67">
    <w:name w:val="标题 2 Char"/>
    <w:link w:val="3"/>
    <w:qFormat/>
    <w:uiPriority w:val="9"/>
    <w:rPr>
      <w:rFonts w:ascii="Arial" w:hAnsi="Arial" w:eastAsia="黑体"/>
      <w:b/>
      <w:bCs/>
      <w:sz w:val="32"/>
      <w:szCs w:val="32"/>
    </w:rPr>
  </w:style>
  <w:style w:type="character" w:customStyle="1" w:styleId="68">
    <w:name w:val="标题 3 Char"/>
    <w:link w:val="4"/>
    <w:qFormat/>
    <w:uiPriority w:val="9"/>
    <w:rPr>
      <w:rFonts w:ascii="宋体"/>
      <w:b/>
      <w:bCs/>
      <w:sz w:val="32"/>
      <w:szCs w:val="32"/>
    </w:rPr>
  </w:style>
  <w:style w:type="character" w:customStyle="1" w:styleId="69">
    <w:name w:val="标题 4 Char"/>
    <w:link w:val="5"/>
    <w:qFormat/>
    <w:uiPriority w:val="0"/>
    <w:rPr>
      <w:rFonts w:ascii="Cambria" w:hAnsi="Cambria" w:eastAsia="宋体" w:cs="Times New Roman"/>
      <w:b/>
      <w:bCs/>
      <w:kern w:val="2"/>
      <w:sz w:val="28"/>
      <w:szCs w:val="28"/>
    </w:rPr>
  </w:style>
  <w:style w:type="character" w:customStyle="1" w:styleId="70">
    <w:name w:val="标题 5 Char"/>
    <w:link w:val="6"/>
    <w:semiHidden/>
    <w:qFormat/>
    <w:uiPriority w:val="9"/>
    <w:rPr>
      <w:rFonts w:ascii="等线" w:hAnsi="等线" w:eastAsia="等线"/>
      <w:b/>
      <w:kern w:val="2"/>
      <w:sz w:val="28"/>
      <w:szCs w:val="22"/>
    </w:rPr>
  </w:style>
  <w:style w:type="character" w:customStyle="1" w:styleId="71">
    <w:name w:val="标题 6 Char"/>
    <w:link w:val="7"/>
    <w:qFormat/>
    <w:uiPriority w:val="9"/>
    <w:rPr>
      <w:rFonts w:ascii="Arial" w:hAnsi="Arial" w:eastAsia="黑体"/>
      <w:b/>
      <w:kern w:val="2"/>
      <w:sz w:val="24"/>
      <w:szCs w:val="22"/>
    </w:rPr>
  </w:style>
  <w:style w:type="character" w:customStyle="1" w:styleId="72">
    <w:name w:val="标题 7 Char"/>
    <w:link w:val="8"/>
    <w:semiHidden/>
    <w:qFormat/>
    <w:uiPriority w:val="9"/>
    <w:rPr>
      <w:rFonts w:ascii="等线" w:hAnsi="等线" w:eastAsia="等线"/>
      <w:b/>
      <w:kern w:val="2"/>
      <w:sz w:val="24"/>
      <w:szCs w:val="22"/>
    </w:rPr>
  </w:style>
  <w:style w:type="character" w:customStyle="1" w:styleId="73">
    <w:name w:val="标题 8 Char"/>
    <w:link w:val="9"/>
    <w:semiHidden/>
    <w:qFormat/>
    <w:uiPriority w:val="9"/>
    <w:rPr>
      <w:rFonts w:ascii="Arial" w:hAnsi="Arial" w:eastAsia="黑体"/>
      <w:kern w:val="2"/>
      <w:sz w:val="24"/>
      <w:szCs w:val="22"/>
    </w:rPr>
  </w:style>
  <w:style w:type="character" w:customStyle="1" w:styleId="74">
    <w:name w:val="标题 9 Char"/>
    <w:link w:val="10"/>
    <w:semiHidden/>
    <w:qFormat/>
    <w:uiPriority w:val="9"/>
    <w:rPr>
      <w:rFonts w:ascii="Arial" w:hAnsi="Arial" w:eastAsia="黑体"/>
      <w:kern w:val="2"/>
      <w:sz w:val="21"/>
      <w:szCs w:val="22"/>
    </w:rPr>
  </w:style>
  <w:style w:type="character" w:customStyle="1" w:styleId="75">
    <w:name w:val="正文缩进 Char"/>
    <w:link w:val="13"/>
    <w:qFormat/>
    <w:uiPriority w:val="99"/>
    <w:rPr>
      <w:sz w:val="21"/>
    </w:rPr>
  </w:style>
  <w:style w:type="character" w:customStyle="1" w:styleId="76">
    <w:name w:val="文档结构图 Char"/>
    <w:link w:val="16"/>
    <w:semiHidden/>
    <w:qFormat/>
    <w:uiPriority w:val="99"/>
    <w:rPr>
      <w:kern w:val="2"/>
      <w:sz w:val="21"/>
      <w:szCs w:val="24"/>
      <w:shd w:val="clear" w:color="auto" w:fill="000080"/>
    </w:rPr>
  </w:style>
  <w:style w:type="character" w:customStyle="1" w:styleId="77">
    <w:name w:val="批注文字 Char1"/>
    <w:link w:val="17"/>
    <w:qFormat/>
    <w:uiPriority w:val="99"/>
    <w:rPr>
      <w:rFonts w:ascii="等线" w:hAnsi="等线" w:eastAsia="等线"/>
      <w:kern w:val="2"/>
      <w:sz w:val="21"/>
      <w:szCs w:val="22"/>
    </w:rPr>
  </w:style>
  <w:style w:type="character" w:customStyle="1" w:styleId="78">
    <w:name w:val="正文文本 Char"/>
    <w:link w:val="19"/>
    <w:qFormat/>
    <w:uiPriority w:val="0"/>
    <w:rPr>
      <w:kern w:val="2"/>
      <w:sz w:val="21"/>
      <w:szCs w:val="24"/>
    </w:rPr>
  </w:style>
  <w:style w:type="character" w:customStyle="1" w:styleId="79">
    <w:name w:val="正文文本缩进 Char"/>
    <w:link w:val="20"/>
    <w:qFormat/>
    <w:uiPriority w:val="99"/>
    <w:rPr>
      <w:rFonts w:ascii="宋体" w:hAnsi="宋体" w:eastAsia="仿宋"/>
      <w:color w:val="000000"/>
      <w:sz w:val="28"/>
    </w:rPr>
  </w:style>
  <w:style w:type="character" w:customStyle="1" w:styleId="80">
    <w:name w:val="HTML 地址 Char"/>
    <w:link w:val="21"/>
    <w:qFormat/>
    <w:uiPriority w:val="99"/>
    <w:rPr>
      <w:rFonts w:ascii="等线" w:hAnsi="等线" w:eastAsia="等线"/>
      <w:i/>
      <w:kern w:val="2"/>
      <w:sz w:val="21"/>
      <w:szCs w:val="22"/>
    </w:rPr>
  </w:style>
  <w:style w:type="character" w:customStyle="1" w:styleId="81">
    <w:name w:val="纯文本 Char"/>
    <w:link w:val="25"/>
    <w:qFormat/>
    <w:uiPriority w:val="99"/>
    <w:rPr>
      <w:rFonts w:ascii="宋体" w:hAnsi="Courier New" w:eastAsia="等线"/>
      <w:kern w:val="2"/>
      <w:sz w:val="21"/>
      <w:szCs w:val="22"/>
    </w:rPr>
  </w:style>
  <w:style w:type="character" w:customStyle="1" w:styleId="82">
    <w:name w:val="日期 Char"/>
    <w:link w:val="28"/>
    <w:qFormat/>
    <w:uiPriority w:val="99"/>
    <w:rPr>
      <w:rFonts w:ascii="等线" w:hAnsi="等线" w:eastAsia="等线"/>
      <w:kern w:val="2"/>
      <w:sz w:val="21"/>
      <w:szCs w:val="22"/>
    </w:rPr>
  </w:style>
  <w:style w:type="character" w:customStyle="1" w:styleId="83">
    <w:name w:val="批注框文本 Char"/>
    <w:link w:val="30"/>
    <w:qFormat/>
    <w:uiPriority w:val="0"/>
    <w:rPr>
      <w:kern w:val="2"/>
      <w:sz w:val="18"/>
      <w:szCs w:val="18"/>
    </w:rPr>
  </w:style>
  <w:style w:type="character" w:customStyle="1" w:styleId="84">
    <w:name w:val="页脚 Char"/>
    <w:link w:val="31"/>
    <w:qFormat/>
    <w:uiPriority w:val="99"/>
    <w:rPr>
      <w:kern w:val="2"/>
      <w:sz w:val="18"/>
      <w:szCs w:val="18"/>
    </w:rPr>
  </w:style>
  <w:style w:type="character" w:customStyle="1" w:styleId="85">
    <w:name w:val="页眉 Char"/>
    <w:link w:val="32"/>
    <w:qFormat/>
    <w:uiPriority w:val="99"/>
    <w:rPr>
      <w:kern w:val="2"/>
      <w:sz w:val="18"/>
      <w:szCs w:val="18"/>
    </w:rPr>
  </w:style>
  <w:style w:type="character" w:customStyle="1" w:styleId="86">
    <w:name w:val="段 Char"/>
    <w:link w:val="37"/>
    <w:qFormat/>
    <w:uiPriority w:val="0"/>
    <w:rPr>
      <w:rFonts w:ascii="宋体"/>
      <w:sz w:val="21"/>
      <w:lang w:val="en-US" w:eastAsia="zh-CN" w:bidi="ar-SA"/>
    </w:rPr>
  </w:style>
  <w:style w:type="character" w:customStyle="1" w:styleId="87">
    <w:name w:val="副标题 Char"/>
    <w:link w:val="38"/>
    <w:qFormat/>
    <w:uiPriority w:val="11"/>
    <w:rPr>
      <w:rFonts w:ascii="Arial" w:hAnsi="Arial" w:eastAsia="等线"/>
      <w:b/>
      <w:kern w:val="28"/>
      <w:sz w:val="32"/>
      <w:szCs w:val="22"/>
    </w:rPr>
  </w:style>
  <w:style w:type="character" w:customStyle="1" w:styleId="88">
    <w:name w:val="脚注文本 Char"/>
    <w:link w:val="39"/>
    <w:qFormat/>
    <w:uiPriority w:val="99"/>
    <w:rPr>
      <w:rFonts w:ascii="宋体"/>
      <w:kern w:val="2"/>
      <w:sz w:val="18"/>
      <w:szCs w:val="18"/>
    </w:rPr>
  </w:style>
  <w:style w:type="character" w:customStyle="1" w:styleId="89">
    <w:name w:val="HTML 预设格式 Char"/>
    <w:link w:val="45"/>
    <w:qFormat/>
    <w:uiPriority w:val="99"/>
    <w:rPr>
      <w:rFonts w:ascii="Courier New" w:hAnsi="Courier New" w:eastAsia="等线"/>
      <w:kern w:val="2"/>
      <w:szCs w:val="22"/>
    </w:rPr>
  </w:style>
  <w:style w:type="character" w:customStyle="1" w:styleId="90">
    <w:name w:val="标题 Char"/>
    <w:link w:val="48"/>
    <w:qFormat/>
    <w:uiPriority w:val="10"/>
    <w:rPr>
      <w:rFonts w:ascii="Arial" w:hAnsi="Arial" w:eastAsia="等线"/>
      <w:b/>
      <w:kern w:val="2"/>
      <w:sz w:val="32"/>
      <w:szCs w:val="22"/>
    </w:rPr>
  </w:style>
  <w:style w:type="character" w:customStyle="1" w:styleId="91">
    <w:name w:val="批注主题 Char1"/>
    <w:link w:val="49"/>
    <w:qFormat/>
    <w:uiPriority w:val="99"/>
    <w:rPr>
      <w:rFonts w:ascii="等线" w:hAnsi="等线" w:eastAsia="等线"/>
      <w:b/>
      <w:kern w:val="2"/>
      <w:sz w:val="21"/>
      <w:szCs w:val="22"/>
    </w:rPr>
  </w:style>
  <w:style w:type="character" w:customStyle="1" w:styleId="92">
    <w:name w:val="列表段落 字符"/>
    <w:qFormat/>
    <w:uiPriority w:val="0"/>
    <w:rPr>
      <w:kern w:val="2"/>
      <w:sz w:val="21"/>
      <w:szCs w:val="24"/>
    </w:rPr>
  </w:style>
  <w:style w:type="character" w:customStyle="1" w:styleId="93">
    <w:name w:val="三级标题 Char"/>
    <w:qFormat/>
    <w:uiPriority w:val="0"/>
    <w:rPr>
      <w:rFonts w:hint="eastAsia" w:ascii="宋体" w:hAnsi="宋体" w:eastAsia="宋体" w:cs="宋体"/>
      <w:color w:val="000000"/>
      <w:sz w:val="24"/>
    </w:rPr>
  </w:style>
  <w:style w:type="character" w:customStyle="1" w:styleId="94">
    <w:name w:val="附录公式 Char"/>
    <w:link w:val="95"/>
    <w:qFormat/>
    <w:uiPriority w:val="0"/>
    <w:rPr>
      <w:lang w:val="en-US" w:eastAsia="zh-CN" w:bidi="ar-SA"/>
    </w:rPr>
  </w:style>
  <w:style w:type="paragraph" w:customStyle="1" w:styleId="95">
    <w:name w:val="附录公式"/>
    <w:basedOn w:val="37"/>
    <w:next w:val="37"/>
    <w:link w:val="94"/>
    <w:qFormat/>
    <w:uiPriority w:val="0"/>
  </w:style>
  <w:style w:type="character" w:customStyle="1" w:styleId="96">
    <w:name w:val="个人答复风格"/>
    <w:qFormat/>
    <w:uiPriority w:val="0"/>
    <w:rPr>
      <w:rFonts w:ascii="Arial" w:hAnsi="Arial" w:eastAsia="宋体" w:cs="Arial"/>
      <w:color w:val="auto"/>
      <w:sz w:val="20"/>
    </w:rPr>
  </w:style>
  <w:style w:type="character" w:customStyle="1" w:styleId="97">
    <w:name w:val="页眉 字符"/>
    <w:qFormat/>
    <w:uiPriority w:val="99"/>
    <w:rPr>
      <w:sz w:val="18"/>
      <w:szCs w:val="18"/>
    </w:rPr>
  </w:style>
  <w:style w:type="character" w:customStyle="1" w:styleId="98">
    <w:name w:val="数字EU Char"/>
    <w:qFormat/>
    <w:uiPriority w:val="0"/>
    <w:rPr>
      <w:rFonts w:hint="eastAsia" w:ascii="EU-F1" w:hAnsi="EU-F1" w:eastAsia="EU-F1" w:cs="EU-F1"/>
      <w:kern w:val="21"/>
      <w:sz w:val="21"/>
      <w:szCs w:val="21"/>
    </w:rPr>
  </w:style>
  <w:style w:type="character" w:customStyle="1" w:styleId="99">
    <w:name w:val="批注框文本 字符"/>
    <w:qFormat/>
    <w:uiPriority w:val="0"/>
    <w:rPr>
      <w:kern w:val="2"/>
      <w:sz w:val="18"/>
      <w:szCs w:val="18"/>
    </w:rPr>
  </w:style>
  <w:style w:type="character" w:customStyle="1" w:styleId="100">
    <w:name w:val="引用 Char"/>
    <w:qFormat/>
    <w:uiPriority w:val="0"/>
    <w:rPr>
      <w:i/>
      <w:color w:val="000000"/>
      <w:kern w:val="2"/>
      <w:sz w:val="21"/>
      <w:szCs w:val="22"/>
    </w:rPr>
  </w:style>
  <w:style w:type="character" w:customStyle="1" w:styleId="101">
    <w:name w:val="引用 字符"/>
    <w:qFormat/>
    <w:uiPriority w:val="0"/>
    <w:rPr>
      <w:i/>
      <w:color w:val="404040"/>
      <w:kern w:val="2"/>
      <w:sz w:val="21"/>
      <w:szCs w:val="22"/>
    </w:rPr>
  </w:style>
  <w:style w:type="character" w:customStyle="1" w:styleId="102">
    <w:name w:val="首示例 Char"/>
    <w:link w:val="103"/>
    <w:qFormat/>
    <w:uiPriority w:val="0"/>
    <w:rPr>
      <w:rFonts w:ascii="宋体" w:hAnsi="宋体"/>
      <w:kern w:val="2"/>
      <w:sz w:val="18"/>
      <w:szCs w:val="18"/>
    </w:rPr>
  </w:style>
  <w:style w:type="paragraph" w:customStyle="1" w:styleId="103">
    <w:name w:val="首示例"/>
    <w:next w:val="37"/>
    <w:link w:val="102"/>
    <w:qFormat/>
    <w:uiPriority w:val="0"/>
    <w:pPr>
      <w:numPr>
        <w:ilvl w:val="0"/>
        <w:numId w:val="2"/>
      </w:numPr>
      <w:tabs>
        <w:tab w:val="left" w:pos="360"/>
      </w:tabs>
      <w:ind w:firstLine="0"/>
    </w:pPr>
    <w:rPr>
      <w:rFonts w:ascii="宋体" w:hAnsi="宋体" w:eastAsia="宋体" w:cs="Times New Roman"/>
      <w:kern w:val="2"/>
      <w:sz w:val="18"/>
      <w:szCs w:val="18"/>
      <w:lang w:val="en-US" w:eastAsia="zh-CN" w:bidi="ar-SA"/>
    </w:rPr>
  </w:style>
  <w:style w:type="character" w:customStyle="1" w:styleId="104">
    <w:name w:val="一级条标题 Char"/>
    <w:qFormat/>
    <w:uiPriority w:val="0"/>
    <w:rPr>
      <w:rFonts w:hint="eastAsia" w:ascii="黑体" w:hAnsi="宋体" w:eastAsia="黑体" w:cs="黑体"/>
      <w:sz w:val="21"/>
    </w:rPr>
  </w:style>
  <w:style w:type="character" w:customStyle="1" w:styleId="105">
    <w:name w:val="个人撰写风格"/>
    <w:qFormat/>
    <w:uiPriority w:val="0"/>
    <w:rPr>
      <w:rFonts w:hint="default" w:ascii="Arial" w:hAnsi="Arial" w:eastAsia="宋体" w:cs="Arial"/>
      <w:color w:val="auto"/>
      <w:sz w:val="20"/>
    </w:rPr>
  </w:style>
  <w:style w:type="character" w:customStyle="1" w:styleId="106">
    <w:name w:val="批注主题 Char"/>
    <w:qFormat/>
    <w:uiPriority w:val="0"/>
    <w:rPr>
      <w:b/>
      <w:bCs/>
      <w:kern w:val="2"/>
      <w:sz w:val="21"/>
      <w:szCs w:val="24"/>
    </w:rPr>
  </w:style>
  <w:style w:type="character" w:customStyle="1" w:styleId="107">
    <w:name w:val="页脚 字符"/>
    <w:qFormat/>
    <w:uiPriority w:val="99"/>
    <w:rPr>
      <w:sz w:val="18"/>
      <w:szCs w:val="18"/>
    </w:rPr>
  </w:style>
  <w:style w:type="character" w:customStyle="1" w:styleId="108">
    <w:name w:val="发布"/>
    <w:qFormat/>
    <w:uiPriority w:val="0"/>
    <w:rPr>
      <w:rFonts w:ascii="黑体" w:eastAsia="黑体"/>
      <w:spacing w:val="85"/>
      <w:w w:val="100"/>
      <w:position w:val="3"/>
      <w:sz w:val="28"/>
      <w:szCs w:val="28"/>
    </w:rPr>
  </w:style>
  <w:style w:type="character" w:customStyle="1" w:styleId="109">
    <w:name w:val="批注文字 Char"/>
    <w:qFormat/>
    <w:uiPriority w:val="0"/>
    <w:rPr>
      <w:kern w:val="2"/>
      <w:sz w:val="21"/>
      <w:szCs w:val="24"/>
    </w:rPr>
  </w:style>
  <w:style w:type="character" w:customStyle="1" w:styleId="110">
    <w:name w:val="文件正文 Char"/>
    <w:qFormat/>
    <w:uiPriority w:val="0"/>
    <w:rPr>
      <w:rFonts w:hint="eastAsia" w:ascii="宋体" w:hAnsi="Times New Roman" w:eastAsia="宋体" w:cs="宋体"/>
      <w:color w:val="000000"/>
      <w:sz w:val="24"/>
    </w:rPr>
  </w:style>
  <w:style w:type="character" w:customStyle="1" w:styleId="111">
    <w:name w:val="样式1 字符"/>
    <w:link w:val="112"/>
    <w:qFormat/>
    <w:uiPriority w:val="0"/>
    <w:rPr>
      <w:rFonts w:ascii="Times New Roman" w:eastAsia="宋体"/>
      <w:kern w:val="2"/>
      <w:sz w:val="21"/>
      <w:szCs w:val="24"/>
    </w:rPr>
  </w:style>
  <w:style w:type="paragraph" w:customStyle="1" w:styleId="112">
    <w:name w:val="样式1"/>
    <w:basedOn w:val="19"/>
    <w:link w:val="111"/>
    <w:qFormat/>
    <w:uiPriority w:val="0"/>
    <w:pPr>
      <w:tabs>
        <w:tab w:val="left" w:pos="0"/>
      </w:tabs>
      <w:spacing w:after="0" w:line="560" w:lineRule="exact"/>
      <w:ind w:firstLine="200" w:firstLineChars="200"/>
    </w:pPr>
  </w:style>
  <w:style w:type="character" w:customStyle="1" w:styleId="113">
    <w:name w:val="副标题 字符"/>
    <w:qFormat/>
    <w:uiPriority w:val="0"/>
    <w:rPr>
      <w:rFonts w:ascii="等线" w:hAnsi="等线" w:eastAsia="等线" w:cs="Times New Roman"/>
      <w:b/>
      <w:kern w:val="28"/>
      <w:sz w:val="32"/>
      <w:szCs w:val="32"/>
    </w:rPr>
  </w:style>
  <w:style w:type="character" w:customStyle="1" w:styleId="114">
    <w:name w:val="文档结构图 字符"/>
    <w:qFormat/>
    <w:uiPriority w:val="0"/>
    <w:rPr>
      <w:rFonts w:hint="eastAsia" w:ascii="Microsoft YaHei UI" w:hAnsi="Microsoft YaHei UI" w:eastAsia="Microsoft YaHei UI" w:cs="Microsoft YaHei UI"/>
      <w:kern w:val="2"/>
      <w:sz w:val="18"/>
      <w:szCs w:val="18"/>
    </w:rPr>
  </w:style>
  <w:style w:type="paragraph" w:customStyle="1" w:styleId="115">
    <w:name w:val="编号列项（三级）"/>
    <w:qFormat/>
    <w:uiPriority w:val="0"/>
    <w:rPr>
      <w:rFonts w:ascii="宋体" w:hAnsi="Times New Roman" w:eastAsia="宋体" w:cs="Times New Roman"/>
      <w:sz w:val="21"/>
      <w:lang w:val="en-US" w:eastAsia="zh-CN" w:bidi="ar-SA"/>
    </w:rPr>
  </w:style>
  <w:style w:type="paragraph" w:customStyle="1" w:styleId="116">
    <w:name w:val="目次、标准名称标题"/>
    <w:basedOn w:val="1"/>
    <w:next w:val="37"/>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17">
    <w:name w:val="终结线"/>
    <w:basedOn w:val="1"/>
    <w:qFormat/>
    <w:uiPriority w:val="0"/>
    <w:pPr>
      <w:framePr w:hSpace="181" w:vSpace="181" w:wrap="around" w:vAnchor="text" w:hAnchor="margin" w:xAlign="center" w:y="285"/>
    </w:pPr>
  </w:style>
  <w:style w:type="paragraph" w:customStyle="1" w:styleId="118">
    <w:name w:val="封面正文"/>
    <w:qFormat/>
    <w:uiPriority w:val="0"/>
    <w:pPr>
      <w:jc w:val="both"/>
    </w:pPr>
    <w:rPr>
      <w:rFonts w:ascii="Times New Roman" w:hAnsi="Times New Roman" w:eastAsia="宋体" w:cs="Times New Roman"/>
      <w:lang w:val="en-US" w:eastAsia="zh-CN" w:bidi="ar-SA"/>
    </w:rPr>
  </w:style>
  <w:style w:type="paragraph" w:customStyle="1" w:styleId="119">
    <w:name w:val="条文脚注"/>
    <w:basedOn w:val="39"/>
    <w:qFormat/>
    <w:uiPriority w:val="0"/>
    <w:pPr>
      <w:numPr>
        <w:numId w:val="0"/>
      </w:numPr>
      <w:jc w:val="both"/>
    </w:pPr>
  </w:style>
  <w:style w:type="paragraph" w:customStyle="1" w:styleId="120">
    <w:name w:val="附录五级条标题"/>
    <w:basedOn w:val="121"/>
    <w:next w:val="37"/>
    <w:qFormat/>
    <w:uiPriority w:val="0"/>
    <w:pPr>
      <w:numPr>
        <w:ilvl w:val="6"/>
      </w:numPr>
      <w:tabs>
        <w:tab w:val="left" w:pos="360"/>
      </w:tabs>
      <w:outlineLvl w:val="6"/>
    </w:pPr>
  </w:style>
  <w:style w:type="paragraph" w:customStyle="1" w:styleId="121">
    <w:name w:val="附录四级条标题"/>
    <w:basedOn w:val="122"/>
    <w:next w:val="37"/>
    <w:qFormat/>
    <w:uiPriority w:val="0"/>
    <w:pPr>
      <w:numPr>
        <w:ilvl w:val="5"/>
      </w:numPr>
      <w:tabs>
        <w:tab w:val="left" w:pos="360"/>
      </w:tabs>
      <w:outlineLvl w:val="5"/>
    </w:pPr>
  </w:style>
  <w:style w:type="paragraph" w:customStyle="1" w:styleId="122">
    <w:name w:val="附录三级条标题"/>
    <w:basedOn w:val="123"/>
    <w:next w:val="37"/>
    <w:qFormat/>
    <w:uiPriority w:val="0"/>
    <w:pPr>
      <w:numPr>
        <w:ilvl w:val="4"/>
      </w:numPr>
      <w:tabs>
        <w:tab w:val="left" w:pos="360"/>
      </w:tabs>
      <w:outlineLvl w:val="4"/>
    </w:pPr>
  </w:style>
  <w:style w:type="paragraph" w:customStyle="1" w:styleId="123">
    <w:name w:val="附录二级条标题"/>
    <w:basedOn w:val="1"/>
    <w:next w:val="37"/>
    <w:qFormat/>
    <w:uiPriority w:val="0"/>
    <w:pPr>
      <w:widowControl/>
      <w:numPr>
        <w:ilvl w:val="3"/>
        <w:numId w:val="3"/>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124">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25">
    <w:name w:val="章标题"/>
    <w:next w:val="37"/>
    <w:qFormat/>
    <w:uiPriority w:val="0"/>
    <w:pPr>
      <w:numPr>
        <w:ilvl w:val="0"/>
        <w:numId w:val="4"/>
      </w:numPr>
      <w:spacing w:before="312" w:beforeLines="100" w:after="312" w:afterLines="100"/>
      <w:jc w:val="both"/>
      <w:outlineLvl w:val="1"/>
    </w:pPr>
    <w:rPr>
      <w:rFonts w:ascii="黑体" w:hAnsi="Times New Roman" w:eastAsia="黑体" w:cs="Times New Roman"/>
      <w:sz w:val="21"/>
      <w:lang w:val="en-US" w:eastAsia="zh-CN" w:bidi="ar-SA"/>
    </w:rPr>
  </w:style>
  <w:style w:type="paragraph" w:styleId="126">
    <w:name w:val="List Paragraph"/>
    <w:basedOn w:val="1"/>
    <w:qFormat/>
    <w:uiPriority w:val="1"/>
    <w:pPr>
      <w:ind w:firstLine="420" w:firstLineChars="200"/>
    </w:pPr>
    <w:rPr>
      <w:rFonts w:ascii="宋体"/>
      <w:kern w:val="0"/>
      <w:szCs w:val="21"/>
    </w:rPr>
  </w:style>
  <w:style w:type="paragraph" w:customStyle="1" w:styleId="127">
    <w:name w:val="示例×："/>
    <w:basedOn w:val="125"/>
    <w:qFormat/>
    <w:uiPriority w:val="0"/>
    <w:pPr>
      <w:numPr>
        <w:numId w:val="5"/>
      </w:numPr>
      <w:spacing w:before="0" w:beforeLines="0" w:after="0" w:afterLines="0"/>
      <w:outlineLvl w:val="9"/>
    </w:pPr>
    <w:rPr>
      <w:rFonts w:ascii="宋体" w:eastAsia="宋体"/>
      <w:sz w:val="18"/>
      <w:szCs w:val="18"/>
    </w:rPr>
  </w:style>
  <w:style w:type="paragraph" w:customStyle="1" w:styleId="128">
    <w:name w:val="附录标题"/>
    <w:basedOn w:val="37"/>
    <w:next w:val="37"/>
    <w:qFormat/>
    <w:uiPriority w:val="0"/>
    <w:pPr>
      <w:ind w:firstLine="0" w:firstLineChars="0"/>
      <w:jc w:val="center"/>
    </w:pPr>
    <w:rPr>
      <w:rFonts w:ascii="黑体" w:eastAsia="黑体"/>
    </w:rPr>
  </w:style>
  <w:style w:type="paragraph" w:customStyle="1" w:styleId="129">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3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31">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32">
    <w:name w:val="注×：（正文）"/>
    <w:qFormat/>
    <w:uiPriority w:val="0"/>
    <w:pPr>
      <w:numPr>
        <w:ilvl w:val="0"/>
        <w:numId w:val="6"/>
      </w:numPr>
      <w:jc w:val="both"/>
    </w:pPr>
    <w:rPr>
      <w:rFonts w:ascii="宋体" w:hAnsi="Times New Roman" w:eastAsia="宋体" w:cs="Times New Roman"/>
      <w:sz w:val="18"/>
      <w:szCs w:val="18"/>
      <w:lang w:val="en-US" w:eastAsia="zh-CN" w:bidi="ar-SA"/>
    </w:rPr>
  </w:style>
  <w:style w:type="paragraph" w:customStyle="1" w:styleId="133">
    <w:name w:val="数字编号列项（二级）"/>
    <w:qFormat/>
    <w:uiPriority w:val="0"/>
    <w:pPr>
      <w:numPr>
        <w:ilvl w:val="1"/>
        <w:numId w:val="7"/>
      </w:numPr>
      <w:jc w:val="both"/>
    </w:pPr>
    <w:rPr>
      <w:rFonts w:ascii="宋体" w:hAnsi="Times New Roman" w:eastAsia="宋体" w:cs="Times New Roman"/>
      <w:sz w:val="21"/>
      <w:lang w:val="en-US" w:eastAsia="zh-CN" w:bidi="ar-SA"/>
    </w:rPr>
  </w:style>
  <w:style w:type="paragraph" w:customStyle="1" w:styleId="134">
    <w:name w:val="前言、引言标题"/>
    <w:next w:val="37"/>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3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36">
    <w:name w:val="图标脚注说明"/>
    <w:basedOn w:val="37"/>
    <w:qFormat/>
    <w:uiPriority w:val="0"/>
    <w:pPr>
      <w:ind w:left="840" w:hanging="420" w:firstLineChars="0"/>
    </w:pPr>
    <w:rPr>
      <w:sz w:val="18"/>
      <w:szCs w:val="18"/>
    </w:rPr>
  </w:style>
  <w:style w:type="paragraph" w:customStyle="1" w:styleId="137">
    <w:name w:val="列项◆（三级）"/>
    <w:basedOn w:val="1"/>
    <w:qFormat/>
    <w:uiPriority w:val="0"/>
    <w:pPr>
      <w:numPr>
        <w:ilvl w:val="2"/>
        <w:numId w:val="8"/>
      </w:numPr>
    </w:pPr>
    <w:rPr>
      <w:rFonts w:ascii="宋体"/>
      <w:szCs w:val="21"/>
    </w:rPr>
  </w:style>
  <w:style w:type="paragraph" w:customStyle="1" w:styleId="138">
    <w:name w:val="图表脚注说明"/>
    <w:basedOn w:val="1"/>
    <w:qFormat/>
    <w:uiPriority w:val="0"/>
    <w:pPr>
      <w:numPr>
        <w:ilvl w:val="0"/>
        <w:numId w:val="9"/>
      </w:numPr>
    </w:pPr>
    <w:rPr>
      <w:rFonts w:ascii="宋体"/>
      <w:sz w:val="18"/>
      <w:szCs w:val="18"/>
    </w:rPr>
  </w:style>
  <w:style w:type="paragraph" w:customStyle="1" w:styleId="139">
    <w:name w:val="其他标准标志"/>
    <w:basedOn w:val="140"/>
    <w:qFormat/>
    <w:uiPriority w:val="0"/>
    <w:pPr>
      <w:framePr w:w="6101" w:vAnchor="page" w:hAnchor="page" w:x="4673" w:y="942"/>
    </w:pPr>
    <w:rPr>
      <w:w w:val="130"/>
    </w:rPr>
  </w:style>
  <w:style w:type="paragraph" w:customStyle="1" w:styleId="140">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41">
    <w:name w:val="附录二级无"/>
    <w:basedOn w:val="123"/>
    <w:qFormat/>
    <w:uiPriority w:val="0"/>
    <w:pPr>
      <w:tabs>
        <w:tab w:val="clear" w:pos="360"/>
      </w:tabs>
      <w:spacing w:before="0" w:beforeLines="0" w:after="0" w:afterLines="0"/>
    </w:pPr>
    <w:rPr>
      <w:rFonts w:ascii="宋体" w:eastAsia="宋体"/>
      <w:szCs w:val="21"/>
    </w:rPr>
  </w:style>
  <w:style w:type="paragraph" w:customStyle="1" w:styleId="142">
    <w:name w:val="封面标准英文名称2"/>
    <w:basedOn w:val="143"/>
    <w:qFormat/>
    <w:uiPriority w:val="0"/>
    <w:pPr>
      <w:framePr w:y="4469"/>
    </w:pPr>
  </w:style>
  <w:style w:type="paragraph" w:customStyle="1" w:styleId="143">
    <w:name w:val="封面标准英文名称"/>
    <w:basedOn w:val="144"/>
    <w:qFormat/>
    <w:uiPriority w:val="0"/>
    <w:pPr>
      <w:spacing w:before="370" w:line="400" w:lineRule="exact"/>
    </w:pPr>
    <w:rPr>
      <w:rFonts w:ascii="Times New Roman"/>
      <w:sz w:val="28"/>
      <w:szCs w:val="28"/>
    </w:rPr>
  </w:style>
  <w:style w:type="paragraph" w:customStyle="1" w:styleId="14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45">
    <w:name w:val="msotocheading"/>
    <w:basedOn w:val="2"/>
    <w:next w:val="1"/>
    <w:qFormat/>
    <w:uiPriority w:val="0"/>
    <w:pPr>
      <w:widowControl/>
      <w:numPr>
        <w:ilvl w:val="0"/>
        <w:numId w:val="10"/>
      </w:numPr>
      <w:spacing w:before="240" w:line="256" w:lineRule="auto"/>
      <w:jc w:val="left"/>
    </w:pPr>
    <w:rPr>
      <w:rFonts w:hint="eastAsia" w:ascii="等线 Light" w:hAnsi="等线 Light" w:eastAsia="等线 Light"/>
      <w:bCs w:val="0"/>
      <w:color w:val="2F5496"/>
      <w:kern w:val="0"/>
      <w:sz w:val="32"/>
      <w:szCs w:val="32"/>
    </w:rPr>
  </w:style>
  <w:style w:type="paragraph" w:customStyle="1" w:styleId="146">
    <w:name w:val="其他实施日期"/>
    <w:basedOn w:val="147"/>
    <w:qFormat/>
    <w:uiPriority w:val="0"/>
  </w:style>
  <w:style w:type="paragraph" w:customStyle="1" w:styleId="147">
    <w:name w:val="实施日期"/>
    <w:basedOn w:val="148"/>
    <w:qFormat/>
    <w:uiPriority w:val="0"/>
    <w:pPr>
      <w:framePr w:vAnchor="page" w:hAnchor="text"/>
      <w:jc w:val="right"/>
    </w:pPr>
  </w:style>
  <w:style w:type="paragraph" w:customStyle="1" w:styleId="148">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149">
    <w:name w:val="示例"/>
    <w:next w:val="150"/>
    <w:qFormat/>
    <w:uiPriority w:val="0"/>
    <w:pPr>
      <w:widowControl w:val="0"/>
      <w:numPr>
        <w:ilvl w:val="0"/>
        <w:numId w:val="11"/>
      </w:numPr>
      <w:jc w:val="both"/>
    </w:pPr>
    <w:rPr>
      <w:rFonts w:ascii="宋体" w:hAnsi="Times New Roman" w:eastAsia="宋体" w:cs="Times New Roman"/>
      <w:sz w:val="18"/>
      <w:szCs w:val="18"/>
      <w:lang w:val="en-US" w:eastAsia="zh-CN" w:bidi="ar-SA"/>
    </w:rPr>
  </w:style>
  <w:style w:type="paragraph" w:customStyle="1" w:styleId="150">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151">
    <w:name w:val="一级无"/>
    <w:basedOn w:val="152"/>
    <w:qFormat/>
    <w:uiPriority w:val="0"/>
    <w:pPr>
      <w:spacing w:before="0" w:beforeLines="0" w:after="0" w:afterLines="0"/>
    </w:pPr>
    <w:rPr>
      <w:rFonts w:ascii="宋体" w:eastAsia="宋体"/>
    </w:rPr>
  </w:style>
  <w:style w:type="paragraph" w:customStyle="1" w:styleId="152">
    <w:name w:val="一级条标题"/>
    <w:basedOn w:val="125"/>
    <w:next w:val="37"/>
    <w:qFormat/>
    <w:uiPriority w:val="0"/>
    <w:pPr>
      <w:numPr>
        <w:ilvl w:val="1"/>
      </w:numPr>
      <w:spacing w:before="156" w:beforeLines="50" w:after="156" w:afterLines="50"/>
      <w:ind w:left="567"/>
      <w:outlineLvl w:val="2"/>
    </w:pPr>
    <w:rPr>
      <w:szCs w:val="21"/>
    </w:rPr>
  </w:style>
  <w:style w:type="paragraph" w:customStyle="1" w:styleId="153">
    <w:name w:val="图的脚注"/>
    <w:next w:val="37"/>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54">
    <w:name w:val="封面标准文稿类别2"/>
    <w:basedOn w:val="155"/>
    <w:qFormat/>
    <w:uiPriority w:val="0"/>
    <w:pPr>
      <w:framePr w:y="4469"/>
    </w:pPr>
  </w:style>
  <w:style w:type="paragraph" w:customStyle="1" w:styleId="155">
    <w:name w:val="封面标准文稿类别"/>
    <w:basedOn w:val="156"/>
    <w:qFormat/>
    <w:uiPriority w:val="0"/>
    <w:pPr>
      <w:spacing w:after="160" w:line="240" w:lineRule="auto"/>
    </w:pPr>
    <w:rPr>
      <w:sz w:val="24"/>
    </w:rPr>
  </w:style>
  <w:style w:type="paragraph" w:customStyle="1" w:styleId="156">
    <w:name w:val="封面一致性程度标识"/>
    <w:basedOn w:val="143"/>
    <w:qFormat/>
    <w:uiPriority w:val="0"/>
    <w:pPr>
      <w:spacing w:before="440"/>
    </w:pPr>
    <w:rPr>
      <w:rFonts w:ascii="宋体" w:eastAsia="宋体"/>
    </w:rPr>
  </w:style>
  <w:style w:type="paragraph" w:customStyle="1" w:styleId="157">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58">
    <w:name w:val="四级条标题"/>
    <w:basedOn w:val="159"/>
    <w:next w:val="37"/>
    <w:qFormat/>
    <w:uiPriority w:val="0"/>
    <w:pPr>
      <w:numPr>
        <w:ilvl w:val="4"/>
        <w:numId w:val="4"/>
      </w:numPr>
      <w:outlineLvl w:val="5"/>
    </w:pPr>
  </w:style>
  <w:style w:type="paragraph" w:customStyle="1" w:styleId="159">
    <w:name w:val="三级条标题"/>
    <w:basedOn w:val="160"/>
    <w:next w:val="37"/>
    <w:qFormat/>
    <w:uiPriority w:val="0"/>
    <w:pPr>
      <w:numPr>
        <w:ilvl w:val="0"/>
        <w:numId w:val="0"/>
      </w:numPr>
      <w:outlineLvl w:val="4"/>
    </w:pPr>
  </w:style>
  <w:style w:type="paragraph" w:customStyle="1" w:styleId="160">
    <w:name w:val="二级条标题"/>
    <w:basedOn w:val="152"/>
    <w:next w:val="37"/>
    <w:link w:val="217"/>
    <w:qFormat/>
    <w:uiPriority w:val="0"/>
    <w:pPr>
      <w:numPr>
        <w:ilvl w:val="2"/>
      </w:numPr>
      <w:spacing w:before="50" w:after="50"/>
      <w:outlineLvl w:val="3"/>
    </w:pPr>
  </w:style>
  <w:style w:type="paragraph" w:customStyle="1" w:styleId="161">
    <w:name w:val="发布部门"/>
    <w:next w:val="37"/>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62">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63">
    <w:name w:val="列项●（二级）"/>
    <w:qFormat/>
    <w:uiPriority w:val="0"/>
    <w:pPr>
      <w:numPr>
        <w:ilvl w:val="1"/>
        <w:numId w:val="8"/>
      </w:numPr>
      <w:tabs>
        <w:tab w:val="left" w:pos="840"/>
      </w:tabs>
      <w:jc w:val="both"/>
    </w:pPr>
    <w:rPr>
      <w:rFonts w:ascii="宋体" w:hAnsi="Times New Roman" w:eastAsia="宋体" w:cs="Times New Roman"/>
      <w:sz w:val="21"/>
      <w:lang w:val="en-US" w:eastAsia="zh-CN" w:bidi="ar-SA"/>
    </w:rPr>
  </w:style>
  <w:style w:type="paragraph" w:customStyle="1" w:styleId="164">
    <w:name w:val="附录三级无"/>
    <w:basedOn w:val="122"/>
    <w:qFormat/>
    <w:uiPriority w:val="0"/>
    <w:pPr>
      <w:tabs>
        <w:tab w:val="clear" w:pos="360"/>
      </w:tabs>
      <w:spacing w:before="0" w:beforeLines="0" w:after="0" w:afterLines="0"/>
    </w:pPr>
    <w:rPr>
      <w:rFonts w:ascii="宋体" w:eastAsia="宋体"/>
      <w:szCs w:val="21"/>
    </w:rPr>
  </w:style>
  <w:style w:type="paragraph" w:customStyle="1" w:styleId="165">
    <w:name w:val="封面一致性程度标识2"/>
    <w:basedOn w:val="156"/>
    <w:qFormat/>
    <w:uiPriority w:val="0"/>
    <w:pPr>
      <w:framePr w:y="4469"/>
    </w:pPr>
  </w:style>
  <w:style w:type="paragraph" w:customStyle="1" w:styleId="166">
    <w:name w:val="附录一级无"/>
    <w:basedOn w:val="167"/>
    <w:qFormat/>
    <w:uiPriority w:val="0"/>
    <w:pPr>
      <w:tabs>
        <w:tab w:val="left" w:pos="360"/>
      </w:tabs>
      <w:spacing w:before="0" w:beforeLines="0" w:after="0" w:afterLines="0"/>
    </w:pPr>
    <w:rPr>
      <w:rFonts w:ascii="宋体" w:eastAsia="宋体"/>
      <w:szCs w:val="21"/>
    </w:rPr>
  </w:style>
  <w:style w:type="paragraph" w:customStyle="1" w:styleId="167">
    <w:name w:val="附录一级条标题"/>
    <w:basedOn w:val="168"/>
    <w:next w:val="37"/>
    <w:qFormat/>
    <w:uiPriority w:val="0"/>
    <w:pPr>
      <w:numPr>
        <w:ilvl w:val="2"/>
      </w:numPr>
      <w:tabs>
        <w:tab w:val="left" w:pos="360"/>
      </w:tabs>
      <w:autoSpaceDN w:val="0"/>
      <w:spacing w:before="50" w:beforeLines="50" w:after="50" w:afterLines="50"/>
      <w:outlineLvl w:val="2"/>
    </w:pPr>
  </w:style>
  <w:style w:type="paragraph" w:customStyle="1" w:styleId="168">
    <w:name w:val="附录章标题"/>
    <w:next w:val="37"/>
    <w:qFormat/>
    <w:uiPriority w:val="0"/>
    <w:pPr>
      <w:numPr>
        <w:ilvl w:val="1"/>
        <w:numId w:val="3"/>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69">
    <w:name w:val="正文公式编号制表符"/>
    <w:basedOn w:val="37"/>
    <w:next w:val="37"/>
    <w:qFormat/>
    <w:uiPriority w:val="0"/>
    <w:pPr>
      <w:ind w:firstLine="0" w:firstLineChars="0"/>
    </w:pPr>
  </w:style>
  <w:style w:type="paragraph" w:customStyle="1" w:styleId="170">
    <w:name w:val="附录四级无"/>
    <w:basedOn w:val="121"/>
    <w:qFormat/>
    <w:uiPriority w:val="0"/>
    <w:pPr>
      <w:tabs>
        <w:tab w:val="clear" w:pos="360"/>
      </w:tabs>
      <w:spacing w:before="0" w:beforeLines="0" w:after="0" w:afterLines="0"/>
    </w:pPr>
    <w:rPr>
      <w:rFonts w:ascii="宋体" w:eastAsia="宋体"/>
      <w:szCs w:val="21"/>
    </w:rPr>
  </w:style>
  <w:style w:type="paragraph" w:customStyle="1" w:styleId="171">
    <w:name w:val="示例后文字"/>
    <w:basedOn w:val="37"/>
    <w:next w:val="37"/>
    <w:qFormat/>
    <w:uiPriority w:val="0"/>
    <w:pPr>
      <w:ind w:firstLine="360"/>
    </w:pPr>
    <w:rPr>
      <w:sz w:val="18"/>
    </w:rPr>
  </w:style>
  <w:style w:type="paragraph" w:customStyle="1" w:styleId="172">
    <w:name w:val="附录标识"/>
    <w:basedOn w:val="1"/>
    <w:next w:val="37"/>
    <w:qFormat/>
    <w:uiPriority w:val="0"/>
    <w:pPr>
      <w:keepNext/>
      <w:widowControl/>
      <w:numPr>
        <w:ilvl w:val="0"/>
        <w:numId w:val="3"/>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73">
    <w:name w:val="参考文献、索引标题"/>
    <w:basedOn w:val="1"/>
    <w:next w:val="37"/>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74">
    <w:name w:val="标准书眉一"/>
    <w:qFormat/>
    <w:uiPriority w:val="0"/>
    <w:pPr>
      <w:jc w:val="both"/>
    </w:pPr>
    <w:rPr>
      <w:rFonts w:ascii="Times New Roman" w:hAnsi="Times New Roman" w:eastAsia="宋体" w:cs="Times New Roman"/>
      <w:lang w:val="en-US" w:eastAsia="zh-CN" w:bidi="ar-SA"/>
    </w:rPr>
  </w:style>
  <w:style w:type="paragraph" w:customStyle="1" w:styleId="175">
    <w:name w:val="五级条标题"/>
    <w:basedOn w:val="158"/>
    <w:next w:val="37"/>
    <w:qFormat/>
    <w:uiPriority w:val="0"/>
    <w:pPr>
      <w:numPr>
        <w:ilvl w:val="5"/>
      </w:numPr>
      <w:outlineLvl w:val="6"/>
    </w:pPr>
  </w:style>
  <w:style w:type="paragraph" w:customStyle="1" w:styleId="176">
    <w:name w:val="封面标准文稿编辑信息"/>
    <w:basedOn w:val="155"/>
    <w:qFormat/>
    <w:uiPriority w:val="0"/>
    <w:pPr>
      <w:spacing w:before="180" w:line="180" w:lineRule="exact"/>
    </w:pPr>
    <w:rPr>
      <w:sz w:val="21"/>
    </w:rPr>
  </w:style>
  <w:style w:type="paragraph" w:customStyle="1" w:styleId="177">
    <w:name w:val="参考文献"/>
    <w:basedOn w:val="1"/>
    <w:next w:val="37"/>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78">
    <w:name w:val="其他发布日期"/>
    <w:basedOn w:val="148"/>
    <w:qFormat/>
    <w:uiPriority w:val="0"/>
    <w:pPr>
      <w:framePr w:vAnchor="page" w:hAnchor="text" w:x="1419"/>
    </w:pPr>
  </w:style>
  <w:style w:type="paragraph" w:customStyle="1" w:styleId="179">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80">
    <w:name w:val="列项——（一级）"/>
    <w:qFormat/>
    <w:uiPriority w:val="0"/>
    <w:pPr>
      <w:widowControl w:val="0"/>
      <w:numPr>
        <w:ilvl w:val="0"/>
        <w:numId w:val="8"/>
      </w:numPr>
      <w:jc w:val="both"/>
    </w:pPr>
    <w:rPr>
      <w:rFonts w:ascii="宋体" w:hAnsi="Times New Roman" w:eastAsia="宋体" w:cs="Times New Roman"/>
      <w:sz w:val="21"/>
      <w:lang w:val="en-US" w:eastAsia="zh-CN" w:bidi="ar-SA"/>
    </w:rPr>
  </w:style>
  <w:style w:type="paragraph" w:customStyle="1" w:styleId="181">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82">
    <w:name w:val="封面标准名称2"/>
    <w:basedOn w:val="144"/>
    <w:qFormat/>
    <w:uiPriority w:val="0"/>
    <w:pPr>
      <w:framePr w:y="4469"/>
      <w:spacing w:before="630" w:beforeLines="630"/>
    </w:pPr>
  </w:style>
  <w:style w:type="paragraph" w:customStyle="1" w:styleId="183">
    <w:name w:val="_Style 181"/>
    <w:basedOn w:val="2"/>
    <w:next w:val="1"/>
    <w:qFormat/>
    <w:uiPriority w:val="39"/>
    <w:pPr>
      <w:widowControl/>
      <w:spacing w:before="480" w:line="276" w:lineRule="auto"/>
      <w:jc w:val="left"/>
      <w:outlineLvl w:val="9"/>
    </w:pPr>
    <w:rPr>
      <w:rFonts w:ascii="Cambria" w:hAnsi="Cambria" w:eastAsia="宋体"/>
      <w:color w:val="365F91"/>
      <w:kern w:val="0"/>
      <w:sz w:val="28"/>
      <w:szCs w:val="28"/>
    </w:rPr>
  </w:style>
  <w:style w:type="paragraph" w:customStyle="1" w:styleId="184">
    <w:name w:val="字母编号列项（一级）"/>
    <w:qFormat/>
    <w:uiPriority w:val="0"/>
    <w:pPr>
      <w:numPr>
        <w:ilvl w:val="0"/>
        <w:numId w:val="7"/>
      </w:numPr>
      <w:jc w:val="both"/>
    </w:pPr>
    <w:rPr>
      <w:rFonts w:ascii="宋体" w:hAnsi="Times New Roman" w:eastAsia="宋体" w:cs="Times New Roman"/>
      <w:sz w:val="21"/>
      <w:lang w:val="en-US" w:eastAsia="zh-CN" w:bidi="ar-SA"/>
    </w:rPr>
  </w:style>
  <w:style w:type="paragraph" w:customStyle="1" w:styleId="185">
    <w:name w:val="附录图标号"/>
    <w:basedOn w:val="1"/>
    <w:qFormat/>
    <w:uiPriority w:val="0"/>
    <w:pPr>
      <w:keepNext/>
      <w:pageBreakBefore/>
      <w:widowControl/>
      <w:numPr>
        <w:ilvl w:val="0"/>
        <w:numId w:val="12"/>
      </w:numPr>
      <w:spacing w:line="14" w:lineRule="exact"/>
      <w:ind w:left="0" w:firstLine="363"/>
      <w:jc w:val="center"/>
      <w:outlineLvl w:val="0"/>
    </w:pPr>
    <w:rPr>
      <w:color w:val="FFFFFF"/>
    </w:rPr>
  </w:style>
  <w:style w:type="paragraph" w:customStyle="1" w:styleId="186">
    <w:name w:val="附录表标题"/>
    <w:basedOn w:val="1"/>
    <w:next w:val="37"/>
    <w:qFormat/>
    <w:uiPriority w:val="0"/>
    <w:pPr>
      <w:numPr>
        <w:ilvl w:val="1"/>
        <w:numId w:val="13"/>
      </w:numPr>
      <w:tabs>
        <w:tab w:val="left" w:pos="180"/>
      </w:tabs>
      <w:spacing w:before="50" w:beforeLines="50" w:after="50" w:afterLines="50"/>
      <w:ind w:left="0" w:firstLine="0"/>
      <w:jc w:val="center"/>
    </w:pPr>
    <w:rPr>
      <w:rFonts w:ascii="黑体" w:eastAsia="黑体"/>
      <w:szCs w:val="21"/>
    </w:rPr>
  </w:style>
  <w:style w:type="paragraph" w:customStyle="1" w:styleId="187">
    <w:name w:val="标准书眉_偶数页"/>
    <w:basedOn w:val="181"/>
    <w:next w:val="1"/>
    <w:qFormat/>
    <w:uiPriority w:val="0"/>
    <w:pPr>
      <w:jc w:val="left"/>
    </w:pPr>
  </w:style>
  <w:style w:type="paragraph" w:customStyle="1" w:styleId="188">
    <w:name w:val="二级无"/>
    <w:basedOn w:val="160"/>
    <w:qFormat/>
    <w:uiPriority w:val="0"/>
    <w:pPr>
      <w:spacing w:before="0" w:beforeLines="0" w:after="0" w:afterLines="0"/>
    </w:pPr>
    <w:rPr>
      <w:rFonts w:ascii="宋体" w:eastAsia="宋体"/>
    </w:rPr>
  </w:style>
  <w:style w:type="paragraph" w:customStyle="1" w:styleId="189">
    <w:name w:val="附录五级无"/>
    <w:basedOn w:val="120"/>
    <w:qFormat/>
    <w:uiPriority w:val="0"/>
    <w:pPr>
      <w:tabs>
        <w:tab w:val="clear" w:pos="360"/>
      </w:tabs>
      <w:spacing w:before="0" w:beforeLines="0" w:after="0" w:afterLines="0"/>
    </w:pPr>
    <w:rPr>
      <w:rFonts w:ascii="宋体" w:eastAsia="宋体"/>
      <w:szCs w:val="21"/>
    </w:rPr>
  </w:style>
  <w:style w:type="paragraph" w:customStyle="1" w:styleId="190">
    <w:name w:val="注×："/>
    <w:qFormat/>
    <w:uiPriority w:val="0"/>
    <w:pPr>
      <w:widowControl w:val="0"/>
      <w:numPr>
        <w:ilvl w:val="0"/>
        <w:numId w:val="14"/>
      </w:numPr>
      <w:autoSpaceDE w:val="0"/>
      <w:autoSpaceDN w:val="0"/>
      <w:jc w:val="both"/>
    </w:pPr>
    <w:rPr>
      <w:rFonts w:ascii="宋体" w:hAnsi="Times New Roman" w:eastAsia="宋体" w:cs="Times New Roman"/>
      <w:sz w:val="18"/>
      <w:szCs w:val="18"/>
      <w:lang w:val="en-US" w:eastAsia="zh-CN" w:bidi="ar-SA"/>
    </w:rPr>
  </w:style>
  <w:style w:type="paragraph" w:customStyle="1" w:styleId="191">
    <w:name w:val="三级无"/>
    <w:basedOn w:val="159"/>
    <w:qFormat/>
    <w:uiPriority w:val="0"/>
    <w:pPr>
      <w:spacing w:before="0" w:beforeLines="0" w:after="0" w:afterLines="0"/>
    </w:pPr>
    <w:rPr>
      <w:rFonts w:ascii="宋体" w:eastAsia="宋体"/>
    </w:rPr>
  </w:style>
  <w:style w:type="paragraph" w:customStyle="1" w:styleId="192">
    <w:name w:val="正文表标题"/>
    <w:next w:val="37"/>
    <w:qFormat/>
    <w:uiPriority w:val="0"/>
    <w:pPr>
      <w:numPr>
        <w:ilvl w:val="0"/>
        <w:numId w:val="15"/>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93">
    <w:name w:val="附录图标题"/>
    <w:basedOn w:val="1"/>
    <w:next w:val="37"/>
    <w:qFormat/>
    <w:uiPriority w:val="0"/>
    <w:pPr>
      <w:numPr>
        <w:ilvl w:val="1"/>
        <w:numId w:val="12"/>
      </w:numPr>
      <w:tabs>
        <w:tab w:val="left" w:pos="363"/>
      </w:tabs>
      <w:spacing w:before="50" w:beforeLines="50" w:after="50" w:afterLines="50"/>
      <w:ind w:left="0" w:firstLine="0"/>
      <w:jc w:val="center"/>
    </w:pPr>
    <w:rPr>
      <w:rFonts w:ascii="黑体" w:eastAsia="黑体"/>
      <w:szCs w:val="21"/>
    </w:rPr>
  </w:style>
  <w:style w:type="paragraph" w:customStyle="1" w:styleId="194">
    <w:name w:val="正文图标题"/>
    <w:next w:val="37"/>
    <w:qFormat/>
    <w:uiPriority w:val="0"/>
    <w:pPr>
      <w:numPr>
        <w:ilvl w:val="0"/>
        <w:numId w:val="16"/>
      </w:numPr>
      <w:spacing w:before="156" w:beforeLines="50" w:after="156" w:afterLines="50"/>
      <w:jc w:val="center"/>
    </w:pPr>
    <w:rPr>
      <w:rFonts w:ascii="黑体" w:hAnsi="Times New Roman" w:eastAsia="黑体" w:cs="Times New Roman"/>
      <w:sz w:val="21"/>
      <w:lang w:val="en-US" w:eastAsia="zh-CN" w:bidi="ar-SA"/>
    </w:rPr>
  </w:style>
  <w:style w:type="paragraph" w:customStyle="1" w:styleId="195">
    <w:name w:val="附录字母编号列项（一级）"/>
    <w:qFormat/>
    <w:uiPriority w:val="0"/>
    <w:pPr>
      <w:numPr>
        <w:ilvl w:val="0"/>
        <w:numId w:val="17"/>
      </w:numPr>
    </w:pPr>
    <w:rPr>
      <w:rFonts w:ascii="宋体" w:hAnsi="Times New Roman" w:eastAsia="宋体" w:cs="Times New Roman"/>
      <w:sz w:val="21"/>
      <w:lang w:val="en-US" w:eastAsia="zh-CN" w:bidi="ar-SA"/>
    </w:rPr>
  </w:style>
  <w:style w:type="paragraph" w:customStyle="1" w:styleId="196">
    <w:name w:val="四级无"/>
    <w:basedOn w:val="158"/>
    <w:qFormat/>
    <w:uiPriority w:val="0"/>
    <w:pPr>
      <w:spacing w:before="0" w:beforeLines="0" w:after="0" w:afterLines="0"/>
    </w:pPr>
    <w:rPr>
      <w:rFonts w:ascii="宋体" w:eastAsia="宋体"/>
    </w:rPr>
  </w:style>
  <w:style w:type="paragraph" w:customStyle="1" w:styleId="197">
    <w:name w:val="图片"/>
    <w:basedOn w:val="1"/>
    <w:qFormat/>
    <w:uiPriority w:val="0"/>
    <w:pPr>
      <w:spacing w:line="400" w:lineRule="exact"/>
      <w:ind w:firstLine="480" w:firstLineChars="200"/>
      <w:jc w:val="center"/>
    </w:pPr>
    <w:rPr>
      <w:rFonts w:eastAsia="微软雅黑"/>
      <w:sz w:val="24"/>
      <w:szCs w:val="20"/>
    </w:rPr>
  </w:style>
  <w:style w:type="paragraph" w:customStyle="1" w:styleId="198">
    <w:name w:val="注：（正文）"/>
    <w:basedOn w:val="199"/>
    <w:next w:val="37"/>
    <w:qFormat/>
    <w:uiPriority w:val="0"/>
    <w:pPr>
      <w:numPr>
        <w:ilvl w:val="0"/>
        <w:numId w:val="18"/>
      </w:numPr>
    </w:pPr>
  </w:style>
  <w:style w:type="paragraph" w:customStyle="1" w:styleId="199">
    <w:name w:val="注："/>
    <w:next w:val="37"/>
    <w:qFormat/>
    <w:uiPriority w:val="0"/>
    <w:pPr>
      <w:widowControl w:val="0"/>
      <w:numPr>
        <w:ilvl w:val="0"/>
        <w:numId w:val="19"/>
      </w:numPr>
      <w:autoSpaceDE w:val="0"/>
      <w:autoSpaceDN w:val="0"/>
      <w:jc w:val="both"/>
    </w:pPr>
    <w:rPr>
      <w:rFonts w:ascii="宋体" w:hAnsi="Times New Roman" w:eastAsia="宋体" w:cs="Times New Roman"/>
      <w:sz w:val="18"/>
      <w:szCs w:val="18"/>
      <w:lang w:val="en-US" w:eastAsia="zh-CN" w:bidi="ar-SA"/>
    </w:rPr>
  </w:style>
  <w:style w:type="paragraph" w:customStyle="1" w:styleId="200">
    <w:name w:val="附录表标号"/>
    <w:basedOn w:val="1"/>
    <w:next w:val="37"/>
    <w:qFormat/>
    <w:uiPriority w:val="0"/>
    <w:pPr>
      <w:numPr>
        <w:ilvl w:val="0"/>
        <w:numId w:val="13"/>
      </w:numPr>
      <w:tabs>
        <w:tab w:val="clear" w:pos="0"/>
      </w:tabs>
      <w:spacing w:line="14" w:lineRule="exact"/>
      <w:ind w:left="811" w:hanging="448"/>
      <w:jc w:val="center"/>
      <w:outlineLvl w:val="0"/>
    </w:pPr>
    <w:rPr>
      <w:color w:val="FFFFFF"/>
    </w:rPr>
  </w:style>
  <w:style w:type="paragraph" w:customStyle="1" w:styleId="201">
    <w:name w:val="五级无"/>
    <w:basedOn w:val="175"/>
    <w:qFormat/>
    <w:uiPriority w:val="0"/>
    <w:pPr>
      <w:spacing w:before="0" w:beforeLines="0" w:after="0" w:afterLines="0"/>
    </w:pPr>
    <w:rPr>
      <w:rFonts w:ascii="宋体" w:eastAsia="宋体"/>
    </w:rPr>
  </w:style>
  <w:style w:type="paragraph" w:customStyle="1" w:styleId="202">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203">
    <w:name w:val="封面标准文稿编辑信息2"/>
    <w:basedOn w:val="176"/>
    <w:qFormat/>
    <w:uiPriority w:val="0"/>
    <w:pPr>
      <w:framePr w:y="4469"/>
    </w:pPr>
  </w:style>
  <w:style w:type="paragraph" w:customStyle="1" w:styleId="204">
    <w:name w:val="其他发布部门"/>
    <w:basedOn w:val="161"/>
    <w:qFormat/>
    <w:uiPriority w:val="0"/>
    <w:pPr>
      <w:framePr w:y="15310"/>
      <w:spacing w:line="0" w:lineRule="atLeast"/>
    </w:pPr>
    <w:rPr>
      <w:rFonts w:ascii="黑体" w:eastAsia="黑体"/>
      <w:b w:val="0"/>
    </w:rPr>
  </w:style>
  <w:style w:type="paragraph" w:customStyle="1" w:styleId="205">
    <w:name w:val="附录数字编号列项（二级）"/>
    <w:qFormat/>
    <w:uiPriority w:val="0"/>
    <w:pPr>
      <w:numPr>
        <w:ilvl w:val="1"/>
        <w:numId w:val="17"/>
      </w:numPr>
    </w:pPr>
    <w:rPr>
      <w:rFonts w:ascii="宋体" w:hAnsi="Times New Roman" w:eastAsia="宋体" w:cs="Times New Roman"/>
      <w:sz w:val="21"/>
      <w:lang w:val="en-US" w:eastAsia="zh-CN" w:bidi="ar-SA"/>
    </w:rPr>
  </w:style>
  <w:style w:type="paragraph" w:customStyle="1" w:styleId="20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207">
    <w:name w:val="附录公式编号制表符"/>
    <w:basedOn w:val="1"/>
    <w:next w:val="37"/>
    <w:qFormat/>
    <w:uiPriority w:val="0"/>
    <w:pPr>
      <w:widowControl/>
      <w:tabs>
        <w:tab w:val="center" w:pos="4201"/>
        <w:tab w:val="right" w:leader="dot" w:pos="9298"/>
      </w:tabs>
      <w:autoSpaceDE w:val="0"/>
      <w:autoSpaceDN w:val="0"/>
    </w:pPr>
    <w:rPr>
      <w:rFonts w:ascii="宋体"/>
      <w:kern w:val="0"/>
      <w:szCs w:val="20"/>
    </w:rPr>
  </w:style>
  <w:style w:type="paragraph" w:customStyle="1" w:styleId="208">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209">
    <w:name w:val="Table Paragraph"/>
    <w:basedOn w:val="1"/>
    <w:qFormat/>
    <w:uiPriority w:val="1"/>
    <w:pPr>
      <w:jc w:val="left"/>
    </w:pPr>
    <w:rPr>
      <w:rFonts w:ascii="Calibri" w:hAnsi="Calibri"/>
      <w:kern w:val="0"/>
      <w:sz w:val="22"/>
      <w:szCs w:val="22"/>
      <w:lang w:eastAsia="en-US"/>
    </w:rPr>
  </w:style>
  <w:style w:type="character" w:customStyle="1" w:styleId="210">
    <w:name w:val="正文首行缩进 Char"/>
    <w:basedOn w:val="78"/>
    <w:link w:val="50"/>
    <w:qFormat/>
    <w:uiPriority w:val="0"/>
    <w:rPr>
      <w:kern w:val="2"/>
      <w:sz w:val="21"/>
      <w:szCs w:val="24"/>
    </w:rPr>
  </w:style>
  <w:style w:type="paragraph" w:customStyle="1" w:styleId="211">
    <w:name w:val="_Style 210"/>
    <w:basedOn w:val="1"/>
    <w:next w:val="1"/>
    <w:qFormat/>
    <w:uiPriority w:val="39"/>
    <w:pPr>
      <w:spacing w:line="590" w:lineRule="exact"/>
    </w:pPr>
    <w:rPr>
      <w:rFonts w:eastAsia="黑体"/>
      <w:bCs/>
      <w:caps/>
      <w:sz w:val="32"/>
      <w:szCs w:val="20"/>
    </w:rPr>
  </w:style>
  <w:style w:type="character" w:customStyle="1" w:styleId="212">
    <w:name w:val="标题 1 字符"/>
    <w:qFormat/>
    <w:uiPriority w:val="0"/>
    <w:rPr>
      <w:rFonts w:ascii="Times New Roman" w:hAnsi="Times New Roman" w:eastAsia="黑体"/>
      <w:bCs/>
      <w:kern w:val="44"/>
      <w:sz w:val="32"/>
      <w:szCs w:val="44"/>
    </w:rPr>
  </w:style>
  <w:style w:type="character" w:customStyle="1" w:styleId="213">
    <w:name w:val="标题 2 字符"/>
    <w:qFormat/>
    <w:uiPriority w:val="0"/>
    <w:rPr>
      <w:rFonts w:ascii="Times New Roman" w:hAnsi="Times New Roman" w:eastAsia="楷体_GB2312"/>
      <w:b/>
      <w:bCs/>
      <w:sz w:val="32"/>
      <w:szCs w:val="32"/>
    </w:rPr>
  </w:style>
  <w:style w:type="paragraph" w:customStyle="1" w:styleId="214">
    <w:name w:val="_Style 213"/>
    <w:basedOn w:val="1"/>
    <w:next w:val="1"/>
    <w:qFormat/>
    <w:uiPriority w:val="39"/>
    <w:pPr>
      <w:spacing w:line="590" w:lineRule="exact"/>
    </w:pPr>
    <w:rPr>
      <w:rFonts w:eastAsia="黑体"/>
      <w:bCs/>
      <w:caps/>
      <w:sz w:val="32"/>
      <w:szCs w:val="20"/>
    </w:rPr>
  </w:style>
  <w:style w:type="paragraph" w:customStyle="1" w:styleId="215">
    <w:name w:val="表格样式 1"/>
    <w:qFormat/>
    <w:uiPriority w:val="0"/>
    <w:pPr>
      <w:framePr w:wrap="around" w:vAnchor="margin" w:hAnchor="text" w:y="1"/>
    </w:pPr>
    <w:rPr>
      <w:rFonts w:ascii="Yu Mincho Light" w:hAnsi="Yu Mincho Light" w:eastAsia="Yu Mincho Light" w:cs="Yu Mincho Light"/>
      <w:b/>
      <w:bCs/>
      <w:color w:val="000000"/>
      <w:lang w:val="en-US" w:eastAsia="zh-CN" w:bidi="ar-SA"/>
    </w:rPr>
  </w:style>
  <w:style w:type="paragraph" w:customStyle="1" w:styleId="216">
    <w:name w:val="表格样式 2"/>
    <w:qFormat/>
    <w:uiPriority w:val="0"/>
    <w:pPr>
      <w:framePr w:wrap="around" w:vAnchor="margin" w:hAnchor="text" w:y="1"/>
    </w:pPr>
    <w:rPr>
      <w:rFonts w:ascii="Yu Mincho Light" w:hAnsi="Yu Mincho Light" w:eastAsia="Yu Mincho Light" w:cs="Yu Mincho Light"/>
      <w:color w:val="000000"/>
      <w:lang w:val="en-US" w:eastAsia="zh-CN" w:bidi="ar-SA"/>
    </w:rPr>
  </w:style>
  <w:style w:type="character" w:customStyle="1" w:styleId="217">
    <w:name w:val="二级条标题 Char"/>
    <w:link w:val="160"/>
    <w:qFormat/>
    <w:uiPriority w:val="0"/>
    <w:rPr>
      <w:rFonts w:ascii="黑体" w:eastAsia="黑体"/>
      <w:sz w:val="21"/>
      <w:szCs w:val="21"/>
    </w:rPr>
  </w:style>
  <w:style w:type="paragraph" w:customStyle="1" w:styleId="218">
    <w:name w:val="_Style 217"/>
    <w:basedOn w:val="19"/>
    <w:next w:val="50"/>
    <w:unhideWhenUsed/>
    <w:qFormat/>
    <w:uiPriority w:val="99"/>
    <w:pPr>
      <w:spacing w:after="0" w:line="590" w:lineRule="exact"/>
      <w:jc w:val="center"/>
    </w:pPr>
    <w:rPr>
      <w:rFonts w:eastAsia="仿宋_GB2312"/>
      <w:kern w:val="0"/>
      <w:lang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7" Type="http://schemas.openxmlformats.org/officeDocument/2006/relationships/fontTable" Target="fontTable.xml"/><Relationship Id="rId46" Type="http://schemas.microsoft.com/office/2006/relationships/keyMapCustomizations" Target="customizations.xml"/><Relationship Id="rId45" Type="http://schemas.openxmlformats.org/officeDocument/2006/relationships/customXml" Target="../customXml/item2.xml"/><Relationship Id="rId44" Type="http://schemas.openxmlformats.org/officeDocument/2006/relationships/numbering" Target="numbering.xml"/><Relationship Id="rId43" Type="http://schemas.openxmlformats.org/officeDocument/2006/relationships/customXml" Target="../customXml/item1.xml"/><Relationship Id="rId42" Type="http://schemas.openxmlformats.org/officeDocument/2006/relationships/image" Target="media/image19.wmf"/><Relationship Id="rId41" Type="http://schemas.openxmlformats.org/officeDocument/2006/relationships/oleObject" Target="embeddings/oleObject18.bin"/><Relationship Id="rId40" Type="http://schemas.openxmlformats.org/officeDocument/2006/relationships/image" Target="media/image18.wmf"/><Relationship Id="rId4" Type="http://schemas.openxmlformats.org/officeDocument/2006/relationships/footer" Target="footer2.xml"/><Relationship Id="rId39" Type="http://schemas.openxmlformats.org/officeDocument/2006/relationships/oleObject" Target="embeddings/oleObject17.bin"/><Relationship Id="rId38" Type="http://schemas.openxmlformats.org/officeDocument/2006/relationships/image" Target="media/image17.wmf"/><Relationship Id="rId37" Type="http://schemas.openxmlformats.org/officeDocument/2006/relationships/oleObject" Target="embeddings/oleObject16.bin"/><Relationship Id="rId36" Type="http://schemas.openxmlformats.org/officeDocument/2006/relationships/image" Target="media/image16.wmf"/><Relationship Id="rId35" Type="http://schemas.openxmlformats.org/officeDocument/2006/relationships/oleObject" Target="embeddings/oleObject15.bin"/><Relationship Id="rId34" Type="http://schemas.openxmlformats.org/officeDocument/2006/relationships/image" Target="media/image15.wmf"/><Relationship Id="rId33" Type="http://schemas.openxmlformats.org/officeDocument/2006/relationships/oleObject" Target="embeddings/oleObject14.bin"/><Relationship Id="rId32" Type="http://schemas.openxmlformats.org/officeDocument/2006/relationships/image" Target="media/image14.wmf"/><Relationship Id="rId31" Type="http://schemas.openxmlformats.org/officeDocument/2006/relationships/oleObject" Target="embeddings/oleObject13.bin"/><Relationship Id="rId30" Type="http://schemas.openxmlformats.org/officeDocument/2006/relationships/image" Target="media/image13.wmf"/><Relationship Id="rId3" Type="http://schemas.openxmlformats.org/officeDocument/2006/relationships/footer" Target="footer1.xml"/><Relationship Id="rId29" Type="http://schemas.openxmlformats.org/officeDocument/2006/relationships/oleObject" Target="embeddings/oleObject12.bin"/><Relationship Id="rId28" Type="http://schemas.openxmlformats.org/officeDocument/2006/relationships/image" Target="media/image12.wmf"/><Relationship Id="rId27" Type="http://schemas.openxmlformats.org/officeDocument/2006/relationships/oleObject" Target="embeddings/oleObject11.bin"/><Relationship Id="rId26" Type="http://schemas.openxmlformats.org/officeDocument/2006/relationships/image" Target="media/image11.wmf"/><Relationship Id="rId25" Type="http://schemas.openxmlformats.org/officeDocument/2006/relationships/oleObject" Target="embeddings/oleObject10.bin"/><Relationship Id="rId24" Type="http://schemas.openxmlformats.org/officeDocument/2006/relationships/image" Target="media/image10.wmf"/><Relationship Id="rId23" Type="http://schemas.openxmlformats.org/officeDocument/2006/relationships/oleObject" Target="embeddings/oleObject9.bin"/><Relationship Id="rId22" Type="http://schemas.openxmlformats.org/officeDocument/2006/relationships/image" Target="media/image9.wmf"/><Relationship Id="rId21" Type="http://schemas.openxmlformats.org/officeDocument/2006/relationships/oleObject" Target="embeddings/oleObject8.bin"/><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7.wmf"/><Relationship Id="rId17" Type="http://schemas.openxmlformats.org/officeDocument/2006/relationships/oleObject" Target="embeddings/oleObject6.bin"/><Relationship Id="rId16" Type="http://schemas.openxmlformats.org/officeDocument/2006/relationships/image" Target="media/image6.png"/><Relationship Id="rId15" Type="http://schemas.openxmlformats.org/officeDocument/2006/relationships/image" Target="media/image5.wmf"/><Relationship Id="rId14" Type="http://schemas.openxmlformats.org/officeDocument/2006/relationships/oleObject" Target="embeddings/oleObject5.bin"/><Relationship Id="rId13" Type="http://schemas.openxmlformats.org/officeDocument/2006/relationships/image" Target="media/image4.wmf"/><Relationship Id="rId12" Type="http://schemas.openxmlformats.org/officeDocument/2006/relationships/oleObject" Target="embeddings/oleObject4.bin"/><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4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749D13-02C8-4C4F-BE46-96C2CBC6C4CE}">
  <ds:schemaRefs/>
</ds:datastoreItem>
</file>

<file path=docProps/app.xml><?xml version="1.0" encoding="utf-8"?>
<Properties xmlns="http://schemas.openxmlformats.org/officeDocument/2006/extended-properties" xmlns:vt="http://schemas.openxmlformats.org/officeDocument/2006/docPropsVTypes">
  <Template>Normal.dotm</Template>
  <Company>NARI</Company>
  <Pages>1</Pages>
  <Words>5826</Words>
  <Characters>33212</Characters>
  <Lines>276</Lines>
  <Paragraphs>77</Paragraphs>
  <TotalTime>152</TotalTime>
  <ScaleCrop>false</ScaleCrop>
  <LinksUpToDate>false</LinksUpToDate>
  <CharactersWithSpaces>38961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2021-07-16T14:31:00Z</dcterms:created>
  <dc:creator>nari_lyq</dc:creator>
  <cp:lastModifiedBy>dell</cp:lastModifiedBy>
  <cp:lastPrinted>2021-09-08T14:21:00Z</cp:lastPrinted>
  <dcterms:modified xsi:type="dcterms:W3CDTF">2021-10-21T06:12:08Z</dcterms:modified>
  <dc:title>标准名称</dc:title>
  <cp:revision>173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5B2D35E95CBF4C1781C93D2C5F1BD6B4</vt:lpwstr>
  </property>
</Properties>
</file>