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150" w:afterAutospacing="0" w:line="54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323232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323232"/>
          <w:sz w:val="40"/>
          <w:szCs w:val="40"/>
        </w:rPr>
        <w:t>关于</w:t>
      </w:r>
      <w:r>
        <w:rPr>
          <w:rFonts w:hint="eastAsia" w:ascii="方正小标宋简体" w:hAnsi="方正小标宋简体" w:eastAsia="方正小标宋简体" w:cs="方正小标宋简体"/>
          <w:b/>
          <w:bCs/>
          <w:color w:val="323232"/>
          <w:sz w:val="40"/>
          <w:szCs w:val="40"/>
          <w:lang w:val="en-US" w:eastAsia="zh-CN"/>
        </w:rPr>
        <w:t>机场快线（R1线）</w:t>
      </w:r>
      <w:r>
        <w:rPr>
          <w:rFonts w:hint="eastAsia" w:ascii="方正小标宋简体" w:hAnsi="方正小标宋简体" w:eastAsia="方正小标宋简体" w:cs="方正小标宋简体"/>
          <w:b/>
          <w:bCs/>
          <w:color w:val="323232"/>
          <w:sz w:val="40"/>
          <w:szCs w:val="40"/>
        </w:rPr>
        <w:t>项目分区规划方案</w:t>
      </w:r>
    </w:p>
    <w:p>
      <w:pPr>
        <w:pStyle w:val="2"/>
        <w:shd w:val="clear" w:color="auto" w:fill="FFFFFF"/>
        <w:spacing w:before="0" w:beforeAutospacing="0" w:after="150" w:afterAutospacing="0" w:line="540" w:lineRule="exact"/>
        <w:jc w:val="center"/>
        <w:rPr>
          <w:rFonts w:ascii="方正小标宋简体" w:hAnsi="方正小标宋简体" w:eastAsia="方正小标宋简体" w:cs="方正小标宋简体"/>
          <w:b/>
          <w:bCs/>
          <w:color w:val="323232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323232"/>
          <w:sz w:val="40"/>
          <w:szCs w:val="40"/>
        </w:rPr>
        <w:t>的公示</w:t>
      </w:r>
    </w:p>
    <w:p>
      <w:pPr>
        <w:pStyle w:val="2"/>
        <w:shd w:val="clear" w:color="auto" w:fill="FFFFFF"/>
        <w:spacing w:before="0" w:beforeAutospacing="0" w:after="150" w:afterAutospacing="0" w:line="540" w:lineRule="exact"/>
        <w:jc w:val="center"/>
        <w:rPr>
          <w:rFonts w:ascii="方正小标宋简体" w:hAnsi="方正小标宋简体" w:eastAsia="方正小标宋简体" w:cs="方正小标宋简体"/>
          <w:b/>
          <w:bCs/>
          <w:color w:val="323232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323232"/>
          <w:sz w:val="40"/>
          <w:szCs w:val="40"/>
        </w:rPr>
        <w:t>（公示期30天）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643" w:firstLineChars="200"/>
        <w:rPr>
          <w:rFonts w:ascii="黑体" w:hAnsi="黑体" w:eastAsia="黑体" w:cs="黑体"/>
          <w:b/>
          <w:bCs/>
          <w:color w:val="323232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323232"/>
          <w:sz w:val="32"/>
          <w:szCs w:val="32"/>
        </w:rPr>
        <w:t>一、项目概况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640" w:firstLineChars="200"/>
        <w:rPr>
          <w:rFonts w:ascii="仿宋_GB2312" w:hAnsi="仿宋_GB2312" w:eastAsia="仿宋_GB2312" w:cs="仿宋_GB2312"/>
          <w:color w:val="32323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23232"/>
          <w:sz w:val="32"/>
          <w:szCs w:val="32"/>
        </w:rPr>
        <w:t>机场快线项目（以下简称R1线）是雄安新区</w:t>
      </w:r>
      <w:r>
        <w:rPr>
          <w:rFonts w:hint="eastAsia" w:ascii="仿宋_GB2312" w:hAnsi="仿宋_GB2312" w:eastAsia="仿宋_GB2312" w:cs="仿宋_GB2312"/>
          <w:color w:val="323232"/>
          <w:sz w:val="32"/>
          <w:szCs w:val="32"/>
          <w:lang w:eastAsia="zh-CN"/>
        </w:rPr>
        <w:t>联系北京市</w:t>
      </w:r>
      <w:r>
        <w:rPr>
          <w:rFonts w:hint="eastAsia" w:ascii="仿宋_GB2312" w:hAnsi="仿宋_GB2312" w:eastAsia="仿宋_GB2312" w:cs="仿宋_GB2312"/>
          <w:color w:val="323232"/>
          <w:sz w:val="32"/>
          <w:szCs w:val="32"/>
        </w:rPr>
        <w:t>的重要基础设施之一。该项目涉及北京大兴区，线路</w:t>
      </w:r>
      <w:r>
        <w:rPr>
          <w:rFonts w:hint="eastAsia" w:ascii="仿宋_GB2312" w:hAnsi="仿宋_GB2312" w:eastAsia="仿宋_GB2312" w:cs="仿宋_GB2312"/>
          <w:color w:val="323232"/>
          <w:sz w:val="32"/>
          <w:szCs w:val="32"/>
          <w:lang w:eastAsia="zh-CN"/>
        </w:rPr>
        <w:t>由南</w:t>
      </w:r>
      <w:r>
        <w:rPr>
          <w:rFonts w:hint="eastAsia" w:ascii="仿宋_GB2312" w:hAnsi="仿宋_GB2312" w:eastAsia="仿宋_GB2312" w:cs="仿宋_GB2312"/>
          <w:color w:val="323232"/>
          <w:sz w:val="32"/>
          <w:szCs w:val="32"/>
          <w:lang w:val="en-US" w:eastAsia="zh-CN"/>
        </w:rPr>
        <w:t>向北</w:t>
      </w:r>
      <w:r>
        <w:rPr>
          <w:rFonts w:hint="eastAsia" w:ascii="仿宋_GB2312" w:hAnsi="仿宋_GB2312" w:eastAsia="仿宋_GB2312" w:cs="仿宋_GB2312"/>
          <w:color w:val="323232"/>
          <w:sz w:val="32"/>
          <w:szCs w:val="32"/>
          <w:lang w:eastAsia="zh-CN"/>
        </w:rPr>
        <w:t>与大兴机场线一期工程贯通，线路</w:t>
      </w:r>
      <w:r>
        <w:rPr>
          <w:rFonts w:hint="eastAsia" w:ascii="仿宋_GB2312" w:hAnsi="仿宋_GB2312" w:eastAsia="仿宋_GB2312" w:cs="仿宋_GB2312"/>
          <w:color w:val="323232"/>
          <w:sz w:val="32"/>
          <w:szCs w:val="32"/>
        </w:rPr>
        <w:t>采用全地下敷设方式，</w:t>
      </w:r>
      <w:r>
        <w:rPr>
          <w:rFonts w:hint="eastAsia" w:ascii="仿宋_GB2312" w:hAnsi="仿宋_GB2312" w:eastAsia="仿宋_GB2312" w:cs="仿宋_GB2312"/>
          <w:color w:val="323232"/>
          <w:sz w:val="32"/>
          <w:szCs w:val="32"/>
          <w:lang w:val="en-US" w:eastAsia="zh-CN"/>
        </w:rPr>
        <w:t>地上</w:t>
      </w:r>
      <w:r>
        <w:rPr>
          <w:rFonts w:hint="eastAsia" w:ascii="仿宋_GB2312" w:hAnsi="仿宋_GB2312" w:eastAsia="仿宋_GB2312" w:cs="仿宋_GB2312"/>
          <w:color w:val="323232"/>
          <w:sz w:val="32"/>
          <w:szCs w:val="32"/>
        </w:rPr>
        <w:t>设区间风井</w:t>
      </w:r>
      <w:r>
        <w:rPr>
          <w:rFonts w:ascii="仿宋_GB2312" w:hAnsi="仿宋_GB2312" w:eastAsia="仿宋_GB2312" w:cs="仿宋_GB2312"/>
          <w:color w:val="32323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323232"/>
          <w:sz w:val="32"/>
          <w:szCs w:val="32"/>
        </w:rPr>
        <w:t>2</w:t>
      </w:r>
      <w:r>
        <w:rPr>
          <w:rFonts w:ascii="仿宋_GB2312" w:hAnsi="仿宋_GB2312" w:eastAsia="仿宋_GB2312" w:cs="仿宋_GB2312"/>
          <w:color w:val="323232"/>
          <w:sz w:val="32"/>
          <w:szCs w:val="32"/>
        </w:rPr>
        <w:t>处，以满足地下区间通风及供电需求。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643" w:firstLineChars="200"/>
        <w:rPr>
          <w:rFonts w:ascii="黑体" w:hAnsi="黑体" w:eastAsia="黑体" w:cs="黑体"/>
          <w:b/>
          <w:bCs/>
          <w:color w:val="323232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323232"/>
          <w:sz w:val="32"/>
          <w:szCs w:val="32"/>
        </w:rPr>
        <w:t>二、项目情况</w:t>
      </w:r>
    </w:p>
    <w:p>
      <w:pPr>
        <w:pStyle w:val="2"/>
        <w:shd w:val="clear" w:color="auto" w:fill="FFFFFF"/>
        <w:spacing w:before="0" w:beforeAutospacing="0" w:after="150" w:afterAutospacing="0" w:line="360" w:lineRule="auto"/>
        <w:ind w:firstLine="640" w:firstLineChars="200"/>
        <w:rPr>
          <w:rFonts w:ascii="仿宋_GB2312" w:hAnsi="仿宋_GB2312" w:eastAsia="仿宋_GB2312" w:cs="仿宋_GB2312"/>
          <w:color w:val="32323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23232"/>
          <w:sz w:val="32"/>
          <w:szCs w:val="32"/>
        </w:rPr>
        <w:t>项目用地总面积0.2023公顷，项目边界内用地规划为对外交通及设施用地，同时补划永久基本农田0.2029公顷，补充耕地0.2029公顷。</w:t>
      </w:r>
    </w:p>
    <w:p>
      <w:pPr>
        <w:pStyle w:val="2"/>
        <w:shd w:val="clear" w:color="auto" w:fill="FFFFFF"/>
        <w:spacing w:before="0" w:beforeAutospacing="0" w:after="150" w:afterAutospacing="0" w:line="360" w:lineRule="auto"/>
        <w:ind w:firstLine="640" w:firstLineChars="200"/>
        <w:rPr>
          <w:rFonts w:ascii="仿宋_GB2312" w:hAnsi="仿宋_GB2312" w:eastAsia="仿宋_GB2312" w:cs="仿宋_GB2312"/>
          <w:color w:val="32323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23232"/>
          <w:sz w:val="32"/>
          <w:szCs w:val="32"/>
        </w:rPr>
        <w:t>根据市级相关规定，现对机场快线项目</w:t>
      </w:r>
      <w:r>
        <w:rPr>
          <w:rFonts w:hint="eastAsia" w:ascii="仿宋_GB2312" w:hAnsi="仿宋_GB2312" w:eastAsia="仿宋_GB2312" w:cs="仿宋_GB2312"/>
          <w:color w:val="32323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323232"/>
          <w:sz w:val="32"/>
          <w:szCs w:val="32"/>
          <w:lang w:val="en-US" w:eastAsia="zh-CN"/>
        </w:rPr>
        <w:t>R1线</w:t>
      </w:r>
      <w:r>
        <w:rPr>
          <w:rFonts w:hint="eastAsia" w:ascii="仿宋_GB2312" w:hAnsi="仿宋_GB2312" w:eastAsia="仿宋_GB2312" w:cs="仿宋_GB2312"/>
          <w:color w:val="32323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323232"/>
          <w:sz w:val="32"/>
          <w:szCs w:val="32"/>
        </w:rPr>
        <w:t>分区规划方案予以公示，听取公众意见。公示期限30天。（相关指标以审定方案为准）。</w:t>
      </w:r>
      <w:bookmarkStart w:id="0" w:name="_GoBack"/>
      <w:bookmarkEnd w:id="0"/>
    </w:p>
    <w:p>
      <w:pPr>
        <w:pStyle w:val="2"/>
        <w:shd w:val="clear" w:color="auto" w:fill="FFFFFF"/>
        <w:spacing w:before="0" w:beforeAutospacing="0" w:after="150" w:afterAutospacing="0" w:line="360" w:lineRule="auto"/>
        <w:ind w:firstLine="640" w:firstLineChars="200"/>
        <w:rPr>
          <w:rFonts w:ascii="仿宋_GB2312" w:hAnsi="仿宋_GB2312" w:eastAsia="仿宋_GB2312" w:cs="仿宋_GB2312"/>
          <w:color w:val="32323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23232"/>
          <w:sz w:val="32"/>
          <w:szCs w:val="32"/>
        </w:rPr>
        <w:t>意见反馈邮箱：dxzgzb@bjdx.gov.cn。</w:t>
      </w:r>
    </w:p>
    <w:p>
      <w:pPr>
        <w:adjustRightInd w:val="0"/>
        <w:snapToGrid w:val="0"/>
        <w:rPr>
          <w:rFonts w:ascii="Times New Roman" w:hAnsi="Times New Roman" w:cs="Times New Roman"/>
          <w:color w:val="323232"/>
          <w:sz w:val="28"/>
          <w:szCs w:val="28"/>
        </w:rPr>
      </w:pPr>
      <w:r>
        <w:rPr>
          <w:rFonts w:hint="eastAsia" w:ascii="Times New Roman" w:hAnsi="Times New Roman" w:cs="Times New Roman"/>
          <w:color w:val="323232"/>
          <w:sz w:val="28"/>
          <w:szCs w:val="28"/>
        </w:rPr>
        <w:t>　</w:t>
      </w:r>
    </w:p>
    <w:p>
      <w:pPr>
        <w:adjustRightInd w:val="0"/>
        <w:snapToGrid w:val="0"/>
        <w:rPr>
          <w:rFonts w:hint="eastAsia" w:ascii="仿宋_GB2312" w:hAnsi="仿宋_GB2312" w:eastAsia="仿宋_GB2312" w:cs="仿宋_GB2312"/>
          <w:sz w:val="32"/>
          <w:szCs w:val="36"/>
        </w:rPr>
      </w:pPr>
    </w:p>
    <w:p>
      <w:pPr>
        <w:adjustRightInd w:val="0"/>
        <w:snapToGrid w:val="0"/>
        <w:rPr>
          <w:rFonts w:hint="eastAsia" w:ascii="仿宋_GB2312" w:hAnsi="仿宋_GB2312" w:eastAsia="仿宋_GB2312" w:cs="仿宋_GB2312"/>
          <w:sz w:val="32"/>
          <w:szCs w:val="36"/>
        </w:rPr>
      </w:pPr>
    </w:p>
    <w:p>
      <w:pPr>
        <w:adjustRightInd w:val="0"/>
        <w:snapToGrid w:val="0"/>
        <w:rPr>
          <w:rFonts w:hint="eastAsia" w:ascii="仿宋_GB2312" w:hAnsi="仿宋_GB2312" w:eastAsia="仿宋_GB2312" w:cs="仿宋_GB2312"/>
          <w:sz w:val="32"/>
          <w:szCs w:val="36"/>
        </w:rPr>
      </w:pPr>
    </w:p>
    <w:p>
      <w:pPr>
        <w:adjustRightInd w:val="0"/>
        <w:snapToGrid w:val="0"/>
        <w:rPr>
          <w:rFonts w:hint="eastAsia" w:ascii="仿宋_GB2312" w:hAnsi="仿宋_GB2312" w:eastAsia="仿宋_GB2312" w:cs="仿宋_GB2312"/>
          <w:sz w:val="32"/>
          <w:szCs w:val="36"/>
        </w:rPr>
      </w:pPr>
    </w:p>
    <w:p>
      <w:pPr>
        <w:adjustRightInd w:val="0"/>
        <w:snapToGrid w:val="0"/>
        <w:rPr>
          <w:rFonts w:hint="eastAsia" w:ascii="仿宋_GB2312" w:hAnsi="仿宋_GB2312" w:eastAsia="仿宋_GB2312" w:cs="仿宋_GB2312"/>
          <w:sz w:val="32"/>
          <w:szCs w:val="36"/>
        </w:rPr>
      </w:pPr>
    </w:p>
    <w:p>
      <w:pPr>
        <w:adjustRightInd w:val="0"/>
        <w:snapToGrid w:val="0"/>
        <w:rPr>
          <w:rFonts w:hint="eastAsia" w:ascii="仿宋_GB2312" w:hAnsi="仿宋_GB2312" w:eastAsia="仿宋_GB2312" w:cs="仿宋_GB2312"/>
          <w:sz w:val="32"/>
          <w:szCs w:val="36"/>
          <w:lang w:val="en-US" w:eastAsia="zh-CN"/>
        </w:rPr>
      </w:pPr>
    </w:p>
    <w:p>
      <w:pPr>
        <w:adjustRightInd w:val="0"/>
        <w:snapToGrid w:val="0"/>
        <w:rPr>
          <w:rFonts w:hint="eastAsia" w:ascii="仿宋_GB2312" w:hAnsi="仿宋_GB2312" w:eastAsia="仿宋_GB2312" w:cs="仿宋_GB2312"/>
          <w:sz w:val="32"/>
          <w:szCs w:val="36"/>
          <w:lang w:val="en-US" w:eastAsia="zh-CN"/>
        </w:rPr>
      </w:pPr>
    </w:p>
    <w:p>
      <w:pPr>
        <w:adjustRightInd w:val="0"/>
        <w:snapToGrid w:val="0"/>
        <w:rPr>
          <w:rFonts w:ascii="仿宋_GB2312" w:hAnsi="仿宋_GB2312" w:eastAsia="仿宋_GB2312" w:cs="仿宋_GB2312"/>
          <w:sz w:val="32"/>
          <w:szCs w:val="36"/>
        </w:rPr>
      </w:pPr>
      <w:r>
        <w:rPr>
          <w:rFonts w:hint="eastAsia" w:ascii="仿宋_GB2312" w:hAnsi="仿宋_GB2312" w:eastAsia="仿宋_GB2312" w:cs="仿宋_GB2312"/>
          <w:sz w:val="32"/>
          <w:szCs w:val="36"/>
          <w:lang w:val="en-US" w:eastAsia="zh-CN"/>
        </w:rPr>
        <w:t>附图</w:t>
      </w:r>
      <w:r>
        <w:rPr>
          <w:rFonts w:hint="eastAsia" w:ascii="仿宋_GB2312" w:hAnsi="仿宋_GB2312" w:eastAsia="仿宋_GB2312" w:cs="仿宋_GB2312"/>
          <w:sz w:val="32"/>
          <w:szCs w:val="36"/>
        </w:rPr>
        <w:t>：</w:t>
      </w:r>
    </w:p>
    <w:p>
      <w:pPr>
        <w:adjustRightInd w:val="0"/>
        <w:snapToGrid w:val="0"/>
        <w:jc w:val="center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114300" distR="114300">
            <wp:extent cx="2573020" cy="3637915"/>
            <wp:effectExtent l="0" t="0" r="1778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73020" cy="363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2590800" cy="3663315"/>
            <wp:effectExtent l="0" t="0" r="0" b="133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366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jc w:val="center"/>
        <w:rPr>
          <w:sz w:val="28"/>
          <w:szCs w:val="28"/>
        </w:rPr>
      </w:pPr>
      <w:r>
        <w:rPr>
          <w:rFonts w:hint="eastAsia" w:ascii="Times New Roman" w:hAnsi="仿宋" w:eastAsia="仿宋" w:cs="Times New Roman"/>
          <w:szCs w:val="21"/>
        </w:rPr>
        <w:t>图</w:t>
      </w:r>
      <w:r>
        <w:rPr>
          <w:rFonts w:ascii="Times New Roman" w:hAnsi="仿宋" w:eastAsia="仿宋" w:cs="Times New Roman"/>
          <w:szCs w:val="21"/>
        </w:rPr>
        <w:t xml:space="preserve">1 </w:t>
      </w:r>
      <w:r>
        <w:rPr>
          <w:rFonts w:hint="eastAsia" w:ascii="Times New Roman" w:hAnsi="仿宋" w:eastAsia="仿宋" w:cs="Times New Roman"/>
          <w:szCs w:val="21"/>
        </w:rPr>
        <w:t>项目占用大兴区国土空间规划分区图（调整前局部1、局部2）</w:t>
      </w:r>
    </w:p>
    <w:p>
      <w:pPr>
        <w:adjustRightInd w:val="0"/>
        <w:snapToGrid w:val="0"/>
        <w:jc w:val="center"/>
        <w:rPr>
          <w:sz w:val="28"/>
          <w:szCs w:val="28"/>
        </w:rPr>
      </w:pPr>
    </w:p>
    <w:p>
      <w:pPr>
        <w:adjustRightInd w:val="0"/>
        <w:snapToGrid w:val="0"/>
        <w:jc w:val="center"/>
        <w:rPr>
          <w:sz w:val="28"/>
          <w:szCs w:val="28"/>
        </w:rPr>
      </w:pPr>
      <w:r>
        <w:rPr>
          <w:rFonts w:ascii="黑体" w:hAnsi="黑体" w:eastAsia="黑体" w:cs="Times New Roman"/>
          <w:szCs w:val="21"/>
        </w:rPr>
        <w:drawing>
          <wp:inline distT="0" distB="0" distL="114300" distR="114300">
            <wp:extent cx="2495550" cy="3528695"/>
            <wp:effectExtent l="0" t="0" r="0" b="1460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352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hAnsi="黑体" w:eastAsia="黑体" w:cs="Times New Roman"/>
          <w:szCs w:val="21"/>
        </w:rPr>
        <w:drawing>
          <wp:inline distT="0" distB="0" distL="114300" distR="114300">
            <wp:extent cx="2486025" cy="3515360"/>
            <wp:effectExtent l="0" t="0" r="9525" b="889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351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jc w:val="center"/>
        <w:rPr>
          <w:rFonts w:hint="eastAsia"/>
          <w:sz w:val="28"/>
          <w:szCs w:val="28"/>
        </w:rPr>
      </w:pPr>
      <w:r>
        <w:rPr>
          <w:rFonts w:hint="eastAsia" w:ascii="仿宋_GB2312" w:hAnsi="黑体" w:eastAsia="仿宋_GB2312" w:cs="Times New Roman"/>
          <w:szCs w:val="21"/>
        </w:rPr>
        <w:t>图</w:t>
      </w:r>
      <w:r>
        <w:rPr>
          <w:rFonts w:ascii="仿宋_GB2312" w:hAnsi="黑体" w:eastAsia="仿宋_GB2312" w:cs="Times New Roman"/>
          <w:szCs w:val="21"/>
        </w:rPr>
        <w:t>2</w:t>
      </w:r>
      <w:r>
        <w:rPr>
          <w:rFonts w:hint="eastAsia" w:ascii="仿宋_GB2312" w:hAnsi="黑体" w:eastAsia="仿宋_GB2312" w:cs="Times New Roman"/>
          <w:szCs w:val="21"/>
        </w:rPr>
        <w:t xml:space="preserve"> 项目占用大兴区国土空间规划分区图（调整后局部1、局部2）</w:t>
      </w:r>
    </w:p>
    <w:p>
      <w:pPr>
        <w:adjustRightInd w:val="0"/>
        <w:snapToGrid w:val="0"/>
        <w:jc w:val="center"/>
        <w:rPr>
          <w:sz w:val="28"/>
          <w:szCs w:val="28"/>
        </w:rPr>
      </w:pPr>
    </w:p>
    <w:p>
      <w:pPr>
        <w:adjustRightInd w:val="0"/>
        <w:snapToGrid w:val="0"/>
        <w:jc w:val="center"/>
        <w:rPr>
          <w:sz w:val="28"/>
          <w:szCs w:val="28"/>
        </w:rPr>
      </w:pPr>
      <w:r>
        <w:drawing>
          <wp:inline distT="0" distB="0" distL="114300" distR="114300">
            <wp:extent cx="2638425" cy="3730625"/>
            <wp:effectExtent l="0" t="0" r="9525" b="317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373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2607945" cy="3688080"/>
            <wp:effectExtent l="0" t="0" r="1905" b="762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07945" cy="368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jc w:val="center"/>
        <w:rPr>
          <w:sz w:val="28"/>
          <w:szCs w:val="28"/>
        </w:rPr>
      </w:pPr>
      <w:r>
        <w:rPr>
          <w:rFonts w:hint="eastAsia" w:ascii="Times New Roman" w:hAnsi="仿宋" w:eastAsia="仿宋" w:cs="Times New Roman"/>
          <w:szCs w:val="21"/>
        </w:rPr>
        <w:t>图</w:t>
      </w:r>
      <w:r>
        <w:rPr>
          <w:rFonts w:ascii="Times New Roman" w:hAnsi="仿宋" w:eastAsia="仿宋" w:cs="Times New Roman"/>
          <w:szCs w:val="21"/>
        </w:rPr>
        <w:t xml:space="preserve">3 </w:t>
      </w:r>
      <w:r>
        <w:rPr>
          <w:rFonts w:hint="eastAsia" w:ascii="Times New Roman" w:hAnsi="仿宋" w:eastAsia="仿宋" w:cs="Times New Roman"/>
          <w:szCs w:val="21"/>
        </w:rPr>
        <w:t>项目占用大兴区两线三区规划图（调整前局部1、局部2）</w:t>
      </w:r>
    </w:p>
    <w:p>
      <w:pPr>
        <w:adjustRightInd w:val="0"/>
        <w:snapToGrid w:val="0"/>
        <w:jc w:val="center"/>
        <w:rPr>
          <w:sz w:val="28"/>
          <w:szCs w:val="28"/>
        </w:rPr>
      </w:pPr>
      <w:r>
        <w:rPr>
          <w:rFonts w:ascii="黑体" w:hAnsi="黑体" w:eastAsia="黑体" w:cs="Times New Roman"/>
          <w:szCs w:val="21"/>
        </w:rPr>
        <w:drawing>
          <wp:inline distT="0" distB="0" distL="114300" distR="114300">
            <wp:extent cx="2600325" cy="3676650"/>
            <wp:effectExtent l="0" t="0" r="952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hAnsi="黑体" w:eastAsia="黑体" w:cs="Times New Roman"/>
          <w:szCs w:val="21"/>
        </w:rPr>
        <w:drawing>
          <wp:inline distT="0" distB="0" distL="114300" distR="114300">
            <wp:extent cx="2590800" cy="3663315"/>
            <wp:effectExtent l="0" t="0" r="0" b="1333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366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jc w:val="center"/>
        <w:rPr>
          <w:sz w:val="28"/>
          <w:szCs w:val="28"/>
        </w:rPr>
      </w:pPr>
      <w:r>
        <w:rPr>
          <w:rFonts w:hint="eastAsia" w:ascii="仿宋_GB2312" w:hAnsi="黑体" w:eastAsia="仿宋_GB2312" w:cs="Times New Roman"/>
          <w:szCs w:val="21"/>
        </w:rPr>
        <w:t>图4 项目占用大兴区两线三区规划图（调整后局部1、局部2）</w:t>
      </w:r>
    </w:p>
    <w:p>
      <w:pPr>
        <w:adjustRightInd w:val="0"/>
        <w:snapToGrid w:val="0"/>
        <w:jc w:val="center"/>
        <w:rPr>
          <w:sz w:val="28"/>
          <w:szCs w:val="28"/>
        </w:rPr>
      </w:pPr>
    </w:p>
    <w:p>
      <w:pPr>
        <w:adjustRightInd w:val="0"/>
        <w:snapToGrid w:val="0"/>
        <w:jc w:val="center"/>
        <w:rPr>
          <w:sz w:val="28"/>
          <w:szCs w:val="28"/>
        </w:rPr>
      </w:pPr>
      <w:r>
        <w:drawing>
          <wp:inline distT="0" distB="0" distL="114300" distR="114300">
            <wp:extent cx="2466975" cy="3488055"/>
            <wp:effectExtent l="0" t="0" r="9525" b="1714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348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2466975" cy="3488055"/>
            <wp:effectExtent l="0" t="0" r="9525" b="1714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348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jc w:val="center"/>
        <w:rPr>
          <w:rFonts w:ascii="Times New Roman" w:hAnsi="仿宋" w:eastAsia="仿宋" w:cs="Times New Roman"/>
          <w:szCs w:val="21"/>
        </w:rPr>
      </w:pPr>
      <w:r>
        <w:rPr>
          <w:rFonts w:hint="eastAsia" w:ascii="Times New Roman" w:hAnsi="仿宋" w:eastAsia="仿宋" w:cs="Times New Roman"/>
          <w:szCs w:val="21"/>
        </w:rPr>
        <w:t>图5</w:t>
      </w:r>
      <w:r>
        <w:rPr>
          <w:rFonts w:ascii="Times New Roman" w:hAnsi="仿宋" w:eastAsia="仿宋" w:cs="Times New Roman"/>
          <w:szCs w:val="21"/>
        </w:rPr>
        <w:t xml:space="preserve"> </w:t>
      </w:r>
      <w:r>
        <w:rPr>
          <w:rFonts w:hint="eastAsia" w:ascii="Times New Roman" w:hAnsi="仿宋" w:eastAsia="仿宋" w:cs="Times New Roman"/>
          <w:szCs w:val="21"/>
        </w:rPr>
        <w:t>项目占用大兴区国土用途分类图（调整前局部1、局部2）</w:t>
      </w:r>
    </w:p>
    <w:p>
      <w:pPr>
        <w:adjustRightInd w:val="0"/>
        <w:snapToGrid w:val="0"/>
        <w:jc w:val="center"/>
        <w:rPr>
          <w:sz w:val="28"/>
          <w:szCs w:val="28"/>
        </w:rPr>
      </w:pPr>
      <w:r>
        <w:rPr>
          <w:rFonts w:hint="eastAsia" w:ascii="Times New Roman" w:hAnsi="仿宋" w:eastAsia="仿宋" w:cs="Times New Roman"/>
          <w:sz w:val="28"/>
          <w:szCs w:val="28"/>
        </w:rPr>
        <w:drawing>
          <wp:inline distT="0" distB="0" distL="114300" distR="114300">
            <wp:extent cx="2620010" cy="3705225"/>
            <wp:effectExtent l="0" t="0" r="8890" b="952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620010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仿宋" w:eastAsia="仿宋" w:cs="Times New Roman"/>
          <w:sz w:val="28"/>
          <w:szCs w:val="28"/>
        </w:rPr>
        <w:drawing>
          <wp:inline distT="0" distB="0" distL="114300" distR="114300">
            <wp:extent cx="2628900" cy="3717290"/>
            <wp:effectExtent l="0" t="0" r="0" b="1651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371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jc w:val="center"/>
        <w:rPr>
          <w:rFonts w:ascii="仿宋_GB2312" w:hAnsi="黑体" w:eastAsia="仿宋_GB2312" w:cs="Times New Roman"/>
          <w:szCs w:val="21"/>
        </w:rPr>
      </w:pPr>
      <w:r>
        <w:rPr>
          <w:rFonts w:hint="eastAsia" w:ascii="仿宋_GB2312" w:hAnsi="黑体" w:eastAsia="仿宋_GB2312" w:cs="Times New Roman"/>
          <w:szCs w:val="21"/>
        </w:rPr>
        <w:t>图</w:t>
      </w:r>
      <w:r>
        <w:rPr>
          <w:rFonts w:ascii="仿宋_GB2312" w:hAnsi="黑体" w:eastAsia="仿宋_GB2312" w:cs="Times New Roman"/>
          <w:szCs w:val="21"/>
        </w:rPr>
        <w:t>6</w:t>
      </w:r>
      <w:r>
        <w:rPr>
          <w:rFonts w:hint="eastAsia" w:ascii="仿宋_GB2312" w:hAnsi="黑体" w:eastAsia="仿宋_GB2312" w:cs="Times New Roman"/>
          <w:szCs w:val="21"/>
        </w:rPr>
        <w:t xml:space="preserve"> 项目占用大兴区国土用途规划分类图（调整后局部1、局部2）</w:t>
      </w:r>
    </w:p>
    <w:p>
      <w:pPr>
        <w:adjustRightInd w:val="0"/>
        <w:snapToGrid w:val="0"/>
        <w:jc w:val="center"/>
        <w:rPr>
          <w:rFonts w:ascii="仿宋_GB2312" w:hAnsi="黑体" w:eastAsia="仿宋_GB2312" w:cs="Times New Roman"/>
          <w:szCs w:val="21"/>
        </w:rPr>
      </w:pPr>
    </w:p>
    <w:p>
      <w:pPr>
        <w:adjustRightInd w:val="0"/>
        <w:snapToGrid w:val="0"/>
        <w:jc w:val="center"/>
        <w:rPr>
          <w:sz w:val="28"/>
          <w:szCs w:val="28"/>
        </w:rPr>
      </w:pPr>
      <w:r>
        <w:rPr>
          <w:rFonts w:ascii="仿宋_GB2312" w:hAnsi="宋体" w:eastAsia="仿宋_GB2312"/>
          <w:sz w:val="28"/>
          <w:szCs w:val="28"/>
        </w:rPr>
        <w:drawing>
          <wp:inline distT="0" distB="0" distL="114300" distR="114300">
            <wp:extent cx="2314575" cy="3272790"/>
            <wp:effectExtent l="0" t="0" r="9525" b="381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327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宋体" w:eastAsia="仿宋_GB2312"/>
          <w:sz w:val="28"/>
          <w:szCs w:val="28"/>
        </w:rPr>
        <w:drawing>
          <wp:inline distT="0" distB="0" distL="114300" distR="114300">
            <wp:extent cx="2311400" cy="3268980"/>
            <wp:effectExtent l="0" t="0" r="12700" b="762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311400" cy="326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jc w:val="center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图</w:t>
      </w:r>
      <w:r>
        <w:rPr>
          <w:rFonts w:ascii="仿宋_GB2312" w:hAnsi="宋体" w:eastAsia="仿宋_GB2312"/>
          <w:szCs w:val="21"/>
        </w:rPr>
        <w:t xml:space="preserve">7 </w:t>
      </w:r>
      <w:r>
        <w:rPr>
          <w:rFonts w:hint="eastAsia" w:ascii="仿宋_GB2312" w:hAnsi="宋体" w:eastAsia="仿宋_GB2312"/>
          <w:szCs w:val="21"/>
        </w:rPr>
        <w:t>项目占用永久基本农田补划地块国土空间规划分区图（调整前、调整后）</w:t>
      </w:r>
    </w:p>
    <w:p>
      <w:pPr>
        <w:adjustRightInd w:val="0"/>
        <w:snapToGrid w:val="0"/>
        <w:jc w:val="center"/>
        <w:rPr>
          <w:rFonts w:ascii="仿宋_GB2312" w:hAnsi="宋体" w:eastAsia="仿宋_GB2312"/>
          <w:szCs w:val="21"/>
        </w:rPr>
      </w:pPr>
    </w:p>
    <w:p>
      <w:pPr>
        <w:adjustRightInd w:val="0"/>
        <w:snapToGrid w:val="0"/>
        <w:jc w:val="center"/>
        <w:rPr>
          <w:sz w:val="28"/>
          <w:szCs w:val="28"/>
        </w:rPr>
      </w:pPr>
      <w:r>
        <w:rPr>
          <w:rFonts w:ascii="仿宋_GB2312" w:hAnsi="宋体" w:eastAsia="仿宋_GB2312"/>
          <w:szCs w:val="21"/>
        </w:rPr>
        <w:drawing>
          <wp:inline distT="0" distB="0" distL="114300" distR="114300">
            <wp:extent cx="2552700" cy="3609340"/>
            <wp:effectExtent l="0" t="0" r="0" b="1016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360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_GB2312" w:hAnsi="宋体" w:eastAsia="仿宋_GB2312"/>
          <w:szCs w:val="21"/>
        </w:rPr>
        <w:drawing>
          <wp:inline distT="0" distB="0" distL="114300" distR="114300">
            <wp:extent cx="2552065" cy="3608705"/>
            <wp:effectExtent l="0" t="0" r="635" b="1079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552065" cy="360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spacing w:line="360" w:lineRule="auto"/>
        <w:ind w:firstLine="480" w:firstLineChars="200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图8</w:t>
      </w:r>
      <w:r>
        <w:rPr>
          <w:rFonts w:ascii="仿宋_GB2312" w:hAnsi="宋体" w:eastAsia="仿宋_GB2312"/>
          <w:szCs w:val="21"/>
        </w:rPr>
        <w:t xml:space="preserve">  </w:t>
      </w:r>
      <w:r>
        <w:rPr>
          <w:rFonts w:hint="eastAsia" w:ascii="仿宋_GB2312" w:hAnsi="宋体" w:eastAsia="仿宋_GB2312"/>
          <w:szCs w:val="21"/>
        </w:rPr>
        <w:t>项目占用永久基本农田补划地块两线三区规划图（调整前、调整后）</w:t>
      </w:r>
    </w:p>
    <w:p>
      <w:pPr>
        <w:adjustRightInd w:val="0"/>
        <w:snapToGrid w:val="0"/>
        <w:jc w:val="center"/>
        <w:rPr>
          <w:sz w:val="28"/>
          <w:szCs w:val="28"/>
        </w:rPr>
      </w:pPr>
    </w:p>
    <w:p>
      <w:pPr>
        <w:adjustRightInd w:val="0"/>
        <w:snapToGrid w:val="0"/>
        <w:jc w:val="center"/>
        <w:rPr>
          <w:sz w:val="28"/>
          <w:szCs w:val="28"/>
        </w:rPr>
      </w:pPr>
      <w:r>
        <w:rPr>
          <w:rFonts w:ascii="仿宋_GB2312" w:hAnsi="宋体" w:eastAsia="仿宋_GB2312"/>
          <w:szCs w:val="21"/>
        </w:rPr>
        <w:drawing>
          <wp:inline distT="0" distB="0" distL="114300" distR="114300">
            <wp:extent cx="2590800" cy="3663315"/>
            <wp:effectExtent l="0" t="0" r="0" b="1333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366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_GB2312" w:hAnsi="宋体" w:eastAsia="仿宋_GB2312"/>
          <w:szCs w:val="21"/>
        </w:rPr>
        <w:drawing>
          <wp:inline distT="0" distB="0" distL="114300" distR="114300">
            <wp:extent cx="2580640" cy="3648710"/>
            <wp:effectExtent l="0" t="0" r="10160" b="889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580640" cy="364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jc w:val="center"/>
        <w:rPr>
          <w:rFonts w:hint="eastAsia"/>
          <w:sz w:val="28"/>
          <w:szCs w:val="28"/>
        </w:rPr>
      </w:pPr>
      <w:r>
        <w:rPr>
          <w:rFonts w:hint="eastAsia" w:ascii="仿宋_GB2312" w:hAnsi="宋体" w:eastAsia="仿宋_GB2312"/>
          <w:szCs w:val="21"/>
        </w:rPr>
        <w:t>图</w:t>
      </w:r>
      <w:r>
        <w:rPr>
          <w:rFonts w:ascii="仿宋_GB2312" w:hAnsi="宋体" w:eastAsia="仿宋_GB2312"/>
          <w:szCs w:val="21"/>
        </w:rPr>
        <w:t xml:space="preserve">9 </w:t>
      </w:r>
      <w:r>
        <w:rPr>
          <w:rFonts w:hint="eastAsia" w:ascii="仿宋_GB2312" w:hAnsi="宋体" w:eastAsia="仿宋_GB2312"/>
          <w:szCs w:val="21"/>
        </w:rPr>
        <w:t>项目占用永久基本农田补划地块国土用途规划分类图（调整前、调整后）</w:t>
      </w: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75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4"/>
      <w:szCs w:val="2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3" Type="http://schemas.openxmlformats.org/officeDocument/2006/relationships/fontTable" Target="fontTable.xml"/><Relationship Id="rId22" Type="http://schemas.openxmlformats.org/officeDocument/2006/relationships/customXml" Target="../customXml/item1.xml"/><Relationship Id="rId21" Type="http://schemas.openxmlformats.org/officeDocument/2006/relationships/image" Target="media/image18.jpeg"/><Relationship Id="rId20" Type="http://schemas.openxmlformats.org/officeDocument/2006/relationships/image" Target="media/image17.jpeg"/><Relationship Id="rId2" Type="http://schemas.openxmlformats.org/officeDocument/2006/relationships/settings" Target="settings.xml"/><Relationship Id="rId19" Type="http://schemas.openxmlformats.org/officeDocument/2006/relationships/image" Target="media/image16.jpeg"/><Relationship Id="rId18" Type="http://schemas.openxmlformats.org/officeDocument/2006/relationships/image" Target="media/image15.jpeg"/><Relationship Id="rId17" Type="http://schemas.openxmlformats.org/officeDocument/2006/relationships/image" Target="media/image14.jpeg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赫婷婷</cp:lastModifiedBy>
  <dcterms:modified xsi:type="dcterms:W3CDTF">2021-05-11T03:38:58Z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