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kern w:val="0"/>
          <w:sz w:val="32"/>
          <w:szCs w:val="32"/>
        </w:rPr>
      </w:pPr>
      <w:r>
        <w:rPr>
          <w:rFonts w:hint="eastAsia" w:ascii="黑体" w:hAnsi="黑体" w:eastAsia="黑体" w:cs="黑体"/>
          <w:kern w:val="0"/>
          <w:sz w:val="32"/>
          <w:szCs w:val="32"/>
        </w:rPr>
        <w:t>附件2</w:t>
      </w:r>
      <w:bookmarkStart w:id="0" w:name="_GoBack"/>
      <w:bookmarkEnd w:id="0"/>
    </w:p>
    <w:p>
      <w:pPr>
        <w:spacing w:line="580" w:lineRule="exact"/>
        <w:ind w:firstLine="880" w:firstLineChars="20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雄安新区施工总承包企业信用信息计分标准</w:t>
      </w:r>
    </w:p>
    <w:p>
      <w:pPr>
        <w:spacing w:line="580" w:lineRule="exact"/>
        <w:rPr>
          <w:rFonts w:ascii="Times New Roman" w:hAnsi="Times New Roman" w:eastAsia="黑体" w:cs="Times New Roman"/>
          <w:kern w:val="0"/>
          <w:sz w:val="32"/>
          <w:szCs w:val="32"/>
        </w:rPr>
      </w:pPr>
    </w:p>
    <w:tbl>
      <w:tblPr>
        <w:tblStyle w:val="7"/>
        <w:tblW w:w="13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550"/>
        <w:gridCol w:w="4500"/>
        <w:gridCol w:w="295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60" w:type="dxa"/>
            <w:vAlign w:val="center"/>
          </w:tcPr>
          <w:p>
            <w:pPr>
              <w:widowControl/>
              <w:spacing w:line="40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序号</w:t>
            </w:r>
          </w:p>
        </w:tc>
        <w:tc>
          <w:tcPr>
            <w:tcW w:w="2550" w:type="dxa"/>
            <w:vAlign w:val="center"/>
          </w:tcPr>
          <w:p>
            <w:pPr>
              <w:widowControl/>
              <w:spacing w:line="40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信用信息</w:t>
            </w:r>
          </w:p>
        </w:tc>
        <w:tc>
          <w:tcPr>
            <w:tcW w:w="4500" w:type="dxa"/>
            <w:vAlign w:val="center"/>
          </w:tcPr>
          <w:p>
            <w:pPr>
              <w:widowControl/>
              <w:spacing w:line="40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计分规则</w:t>
            </w:r>
          </w:p>
        </w:tc>
        <w:tc>
          <w:tcPr>
            <w:tcW w:w="2950" w:type="dxa"/>
            <w:vAlign w:val="center"/>
          </w:tcPr>
          <w:p>
            <w:pPr>
              <w:widowControl/>
              <w:spacing w:line="40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认定依据</w:t>
            </w:r>
          </w:p>
        </w:tc>
        <w:tc>
          <w:tcPr>
            <w:tcW w:w="2552" w:type="dxa"/>
            <w:vAlign w:val="center"/>
          </w:tcPr>
          <w:p>
            <w:pPr>
              <w:widowControl/>
              <w:spacing w:line="400" w:lineRule="exact"/>
              <w:jc w:val="center"/>
              <w:rPr>
                <w:rFonts w:ascii="Times New Roman" w:hAnsi="Times New Roman" w:eastAsia="黑体" w:cs="Times New Roman"/>
                <w:kern w:val="0"/>
                <w:szCs w:val="21"/>
              </w:rPr>
            </w:pPr>
            <w:r>
              <w:rPr>
                <w:rFonts w:ascii="Times New Roman" w:hAnsi="Times New Roman" w:eastAsia="黑体" w:cs="Times New Roman"/>
                <w:kern w:val="0"/>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2" w:type="dxa"/>
            <w:gridSpan w:val="5"/>
            <w:vAlign w:val="center"/>
          </w:tcPr>
          <w:p>
            <w:pPr>
              <w:widowControl/>
              <w:spacing w:line="400" w:lineRule="exact"/>
              <w:jc w:val="left"/>
              <w:rPr>
                <w:rFonts w:ascii="Times New Roman" w:hAnsi="Times New Roman" w:eastAsia="黑体" w:cs="Times New Roman"/>
                <w:kern w:val="0"/>
                <w:szCs w:val="21"/>
              </w:rPr>
            </w:pPr>
            <w:r>
              <w:rPr>
                <w:rFonts w:ascii="Times New Roman" w:hAnsi="Times New Roman" w:eastAsia="黑体" w:cs="Times New Roman"/>
                <w:kern w:val="0"/>
                <w:szCs w:val="21"/>
              </w:rPr>
              <w:t>一、正面信用信息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55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在雄安新区承包</w:t>
            </w:r>
          </w:p>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施工合同总额</w:t>
            </w:r>
          </w:p>
        </w:tc>
        <w:tc>
          <w:tcPr>
            <w:tcW w:w="450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每累计2000万元得0.1分，最高得15分。</w:t>
            </w:r>
          </w:p>
        </w:tc>
        <w:tc>
          <w:tcPr>
            <w:tcW w:w="295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以施工总承包企业自主申报且雄安新区建设主管部门审核认定的已签订合同业绩信息为准。施工联合体中标的合同，以企业提供联合体协议中所占合同份额为准。</w:t>
            </w:r>
          </w:p>
        </w:tc>
        <w:tc>
          <w:tcPr>
            <w:tcW w:w="2552" w:type="dxa"/>
            <w:vAlign w:val="center"/>
          </w:tcPr>
          <w:p>
            <w:pPr>
              <w:widowControl/>
              <w:spacing w:line="32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工程业绩以合同履约完成（竣工验收）日期为生效日期。</w:t>
            </w:r>
          </w:p>
          <w:p>
            <w:pPr>
              <w:widowControl/>
              <w:spacing w:line="320" w:lineRule="exact"/>
              <w:jc w:val="center"/>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55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w:t>
            </w:r>
          </w:p>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依法纳税信息</w:t>
            </w:r>
          </w:p>
        </w:tc>
        <w:tc>
          <w:tcPr>
            <w:tcW w:w="450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每累计缴纳税款20万元税款得0.1分，最高得分10分。</w:t>
            </w:r>
          </w:p>
        </w:tc>
        <w:tc>
          <w:tcPr>
            <w:tcW w:w="295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以施工总承包企业自主申报且雄安新区建设主管部门审核认定的税款缴纳证明为准。</w:t>
            </w:r>
          </w:p>
        </w:tc>
        <w:tc>
          <w:tcPr>
            <w:tcW w:w="2552" w:type="dxa"/>
            <w:vAlign w:val="center"/>
          </w:tcPr>
          <w:p>
            <w:pPr>
              <w:widowControl/>
              <w:spacing w:line="32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以税款缴纳凭证日期为生效日期。</w:t>
            </w:r>
          </w:p>
          <w:p>
            <w:pPr>
              <w:widowControl/>
              <w:spacing w:line="320" w:lineRule="exact"/>
              <w:jc w:val="center"/>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550" w:type="dxa"/>
            <w:vAlign w:val="center"/>
          </w:tcPr>
          <w:p>
            <w:pPr>
              <w:widowControl/>
              <w:spacing w:line="32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在雄安新区承建的建设工程落实创造</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雄安质量</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的要求，获得表彰奖励或认可的信息</w:t>
            </w:r>
          </w:p>
        </w:tc>
        <w:tc>
          <w:tcPr>
            <w:tcW w:w="450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在雄安新区承建的建设工程获得鲁班奖、国家科学技术奖、国家优质工程奖、中国土木工程詹天佑大奖、</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雄安质量杯</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（雄安精品工程）表彰的，每项得1分；在雄安新区承建的建设工程获得省建筑工程安济杯奖、省安全文明工地、省结构优质工程、省智慧工地示范工程（三星级）的，每项得0.2分；主编体现创造</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雄安质量</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的工程建设领域雄安标准的，每项得0.5分。该项最高得分15分。</w:t>
            </w:r>
          </w:p>
        </w:tc>
        <w:tc>
          <w:tcPr>
            <w:tcW w:w="2950" w:type="dxa"/>
            <w:vAlign w:val="center"/>
          </w:tcPr>
          <w:p>
            <w:pPr>
              <w:widowControl/>
              <w:spacing w:line="32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以表彰奖励或认可的相关文件或材料为准。</w:t>
            </w:r>
          </w:p>
        </w:tc>
        <w:tc>
          <w:tcPr>
            <w:tcW w:w="2552" w:type="dxa"/>
            <w:vAlign w:val="center"/>
          </w:tcPr>
          <w:p>
            <w:pPr>
              <w:widowControl/>
              <w:spacing w:line="32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获得表彰奖励信息以有关表彰奖励文件发布日期为生效日期；主编工程标准信息以标准正式发布日期为生效日期。</w:t>
            </w:r>
          </w:p>
          <w:p>
            <w:pPr>
              <w:widowControl/>
              <w:spacing w:line="320" w:lineRule="exact"/>
              <w:jc w:val="center"/>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55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履行社会责任信息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参加雄安新区党工委（管委会）组织的抢险救灾或紧急重大活动有关的工程建设受到表彰奖励且具备经雄安新区党工委（管委会）认定的常设抢险机构的，每次得2分。最高得分</w:t>
            </w:r>
            <w:r>
              <w:rPr>
                <w:sz w:val="32"/>
              </w:rPr>
              <mc:AlternateContent>
                <mc:Choice Requires="wps">
                  <w:drawing>
                    <wp:anchor distT="0" distB="0" distL="114300" distR="114300" simplePos="0" relativeHeight="251659264" behindDoc="0" locked="0" layoutInCell="1" allowOverlap="1">
                      <wp:simplePos x="0" y="0"/>
                      <wp:positionH relativeFrom="column">
                        <wp:posOffset>-2611755</wp:posOffset>
                      </wp:positionH>
                      <wp:positionV relativeFrom="paragraph">
                        <wp:posOffset>4302125</wp:posOffset>
                      </wp:positionV>
                      <wp:extent cx="381000" cy="9766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81000" cy="976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hint="eastAsia" w:ascii="宋体" w:hAnsi="宋体" w:eastAsia="宋体"/>
                                      <w:sz w:val="28"/>
                                      <w:szCs w:val="28"/>
                                    </w:rPr>
                                    <w:t xml:space="preserve">— </w:t>
                                  </w:r>
                                  <w:sdt>
                                    <w:sdtPr>
                                      <w:rPr>
                                        <w:rFonts w:ascii="宋体" w:hAnsi="宋体" w:eastAsia="宋体"/>
                                        <w:sz w:val="28"/>
                                        <w:szCs w:val="28"/>
                                      </w:rPr>
                                      <w:id w:val="-826434119"/>
                                    </w:sdtPr>
                                    <w:sdtEndPr>
                                      <w:rPr>
                                        <w:rFonts w:ascii="宋体" w:hAnsi="宋体" w:eastAsia="宋体"/>
                                        <w:sz w:val="28"/>
                                        <w:szCs w:val="28"/>
                                      </w:rPr>
                                    </w:sdtEndPr>
                                    <w:sdtContent>
                                      <w:r>
                                        <w:rPr>
                                          <w:rFonts w:hint="eastAsia" w:ascii="宋体" w:hAnsi="宋体" w:eastAsia="宋体"/>
                                          <w:sz w:val="28"/>
                                          <w:szCs w:val="28"/>
                                        </w:rPr>
                                        <w:t xml:space="preserve">9 </w:t>
                                      </w:r>
                                    </w:sdtContent>
                                  </w:sdt>
                                  <w:r>
                                    <w:rPr>
                                      <w:rFonts w:hint="eastAsia" w:ascii="宋体" w:hAnsi="宋体" w:eastAsia="宋体"/>
                                      <w:sz w:val="28"/>
                                      <w:szCs w:val="28"/>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65pt;margin-top:338.75pt;height:76.9pt;width:30pt;z-index:251659264;mso-width-relative:page;mso-height-relative:page;" filled="f" stroked="f" coordsize="21600,21600" o:gfxdata="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XccPcAAAADQEAAA8AAAAAAAAAAQAgAAAA&#10;IgAAAGRycy9kb3ducmV2LnhtbFBLAQIUABQAAAAIAIdO4kC5ql6VQAIAAGcEAAAOAAAAAAAAAAEA&#10;IAAAACsBAABkcnMvZTJvRG9jLnhtbFBLBQYAAAAABgAGAFkBAADdBQAAAAA=&#10;">
                      <v:fill on="f" focussize="0,0"/>
                      <v:stroke on="f" weight="0.5pt"/>
                      <v:imagedata o:title=""/>
                      <o:lock v:ext="edit" aspectratio="f"/>
                      <v:textbox style="layout-flow:vertical-ideographic;">
                        <w:txbxContent>
                          <w:p>
                            <w:pPr>
                              <w:pStyle w:val="4"/>
                              <w:jc w:val="right"/>
                            </w:pPr>
                            <w:r>
                              <w:rPr>
                                <w:rFonts w:hint="eastAsia" w:ascii="宋体" w:hAnsi="宋体" w:eastAsia="宋体"/>
                                <w:sz w:val="28"/>
                                <w:szCs w:val="28"/>
                              </w:rPr>
                              <w:t xml:space="preserve">— </w:t>
                            </w:r>
                            <w:sdt>
                              <w:sdtPr>
                                <w:rPr>
                                  <w:rFonts w:ascii="宋体" w:hAnsi="宋体" w:eastAsia="宋体"/>
                                  <w:sz w:val="28"/>
                                  <w:szCs w:val="28"/>
                                </w:rPr>
                                <w:id w:val="-826434119"/>
                              </w:sdtPr>
                              <w:sdtEndPr>
                                <w:rPr>
                                  <w:rFonts w:ascii="宋体" w:hAnsi="宋体" w:eastAsia="宋体"/>
                                  <w:sz w:val="28"/>
                                  <w:szCs w:val="28"/>
                                </w:rPr>
                              </w:sdtEndPr>
                              <w:sdtContent>
                                <w:r>
                                  <w:rPr>
                                    <w:rFonts w:hint="eastAsia" w:ascii="宋体" w:hAnsi="宋体" w:eastAsia="宋体"/>
                                    <w:sz w:val="28"/>
                                    <w:szCs w:val="28"/>
                                  </w:rPr>
                                  <w:t xml:space="preserve">9 </w:t>
                                </w:r>
                              </w:sdtContent>
                            </w:sdt>
                            <w:r>
                              <w:rPr>
                                <w:rFonts w:hint="eastAsia" w:ascii="宋体" w:hAnsi="宋体" w:eastAsia="宋体"/>
                                <w:sz w:val="28"/>
                                <w:szCs w:val="28"/>
                              </w:rPr>
                              <w:t>—</w:t>
                            </w:r>
                          </w:p>
                        </w:txbxContent>
                      </v:textbox>
                    </v:shape>
                  </w:pict>
                </mc:Fallback>
              </mc:AlternateContent>
            </w:r>
            <w:r>
              <w:rPr>
                <w:rFonts w:ascii="Times New Roman" w:hAnsi="Times New Roman" w:eastAsia="仿宋_GB2312" w:cs="Times New Roman"/>
                <w:kern w:val="0"/>
                <w:szCs w:val="21"/>
              </w:rPr>
              <w:t>10分。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以表彰奖励文件为准</w:t>
            </w:r>
          </w:p>
        </w:tc>
        <w:tc>
          <w:tcPr>
            <w:tcW w:w="2552" w:type="dxa"/>
            <w:vAlign w:val="center"/>
          </w:tcPr>
          <w:p>
            <w:pPr>
              <w:widowControl/>
              <w:spacing w:line="340" w:lineRule="exact"/>
              <w:rPr>
                <w:rFonts w:ascii="Times New Roman" w:hAnsi="Times New Roman" w:eastAsia="仿宋_GB2312" w:cs="Times New Roman"/>
                <w:kern w:val="0"/>
                <w:szCs w:val="21"/>
              </w:rPr>
            </w:pPr>
            <w:r>
              <w:rPr>
                <w:rFonts w:ascii="Times New Roman" w:hAnsi="Times New Roman" w:eastAsia="仿宋_GB2312" w:cs="Times New Roman"/>
                <w:kern w:val="0"/>
                <w:szCs w:val="21"/>
              </w:rPr>
              <w:t>履行社会责任信息以表彰奖励文件发布日期为生效日期。</w:t>
            </w:r>
          </w:p>
          <w:p>
            <w:pPr>
              <w:widowControl/>
              <w:spacing w:line="340" w:lineRule="exact"/>
              <w:jc w:val="center"/>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2" w:type="dxa"/>
            <w:gridSpan w:val="5"/>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黑体" w:cs="Times New Roman"/>
                <w:kern w:val="0"/>
                <w:szCs w:val="21"/>
              </w:rPr>
              <w:t>二、负面信用信息（同一行为适用以下多种情形的，按照扣分较高的情形认定，不累计扣分）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5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依法受到情节严重情形对应的行政处罚或顶格行政处罚的信用信息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在雄安新区承建的建设项目违法违规行为严重，依法受到情节严重情形对应的行政处罚或顶格行政处罚的，每次扣2分。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以行政执法文书为准。行政执法部门应当将行政处罚信息实时共享至施工总承包企业信用评价管理系统。</w:t>
            </w:r>
          </w:p>
        </w:tc>
        <w:tc>
          <w:tcPr>
            <w:tcW w:w="2552"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以行政处罚文书下发日期为生效时间。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55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一般质量安全生产事故信息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在雄安新区承建的建设项目发生一般质量、安全生产事故，每一起扣3分。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以行政处罚文书或通报文件为准。</w:t>
            </w:r>
          </w:p>
        </w:tc>
        <w:tc>
          <w:tcPr>
            <w:tcW w:w="2552"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以行政处罚文书下发日期或通报文件印发日期为生效日期。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255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疫情事件信息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因施工现场疫情防控责任履行不到位，导致建设工地发生疫情的，每一起扣5分。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以疫情事实或建设行政主管部门通报文件为准。</w:t>
            </w:r>
          </w:p>
        </w:tc>
        <w:tc>
          <w:tcPr>
            <w:tcW w:w="2552"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以疫情事实发生日期或建设行政主管部门通报文件印发日期为生效日期。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255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负面外界影响信息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因拖欠民工工资、工程质量问题处理不力以及施工企业自身其他原因，在雄安新区引发群体性事件、较大影响投诉事件或严重负面舆情的，每一起扣3分。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以认定事实或行政主管部门通报文件为准。</w:t>
            </w:r>
          </w:p>
        </w:tc>
        <w:tc>
          <w:tcPr>
            <w:tcW w:w="2552"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以事件发生日期或行政主管部门通报文件印发日期为生效日期。</w:t>
            </w:r>
            <w:r>
              <w:rPr>
                <w:rFonts w:ascii="Times New Roman" w:hAnsi="Times New Roman" w:eastAsia="仿宋_GB2312" w:cs="Times New Roman"/>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2550" w:type="dxa"/>
            <w:vAlign w:val="center"/>
          </w:tcPr>
          <w:p>
            <w:pPr>
              <w:widowControl/>
              <w:spacing w:line="3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行贿受贿信息</w:t>
            </w:r>
          </w:p>
        </w:tc>
        <w:tc>
          <w:tcPr>
            <w:tcW w:w="450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违反创造</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廉洁雄安</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的要求，在雄安新区行贿或受贿的，每一起扣3分。</w:t>
            </w:r>
          </w:p>
        </w:tc>
        <w:tc>
          <w:tcPr>
            <w:tcW w:w="2950"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以认定事实或相关主管部门认定文件为准。</w:t>
            </w:r>
          </w:p>
        </w:tc>
        <w:tc>
          <w:tcPr>
            <w:tcW w:w="2552" w:type="dxa"/>
            <w:vAlign w:val="center"/>
          </w:tcPr>
          <w:p>
            <w:pPr>
              <w:widowControl/>
              <w:spacing w:line="3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以事件发生日期或相关主管部门认定文件印发日期为生效日期。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255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破坏生态环境信息</w:t>
            </w:r>
          </w:p>
        </w:tc>
        <w:tc>
          <w:tcPr>
            <w:tcW w:w="450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违反有关规定，在雄安新区随意倾倒建筑垃圾或者造成重大破坏生态环境事件的，每一起扣3分。</w:t>
            </w:r>
          </w:p>
        </w:tc>
        <w:tc>
          <w:tcPr>
            <w:tcW w:w="295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以行政处罚文书或通报文件为准。</w:t>
            </w:r>
          </w:p>
        </w:tc>
        <w:tc>
          <w:tcPr>
            <w:tcW w:w="2552"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以行政处罚文书下发日期或通报文件印发日期为生效日期。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255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施工问题整改信息</w:t>
            </w:r>
          </w:p>
        </w:tc>
        <w:tc>
          <w:tcPr>
            <w:tcW w:w="450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施工现场未履行安全生产职责或未执行法律法规、工程建设强制性标准，拒不整改或未按期整改到位的，每一起扣1分。</w:t>
            </w:r>
          </w:p>
        </w:tc>
        <w:tc>
          <w:tcPr>
            <w:tcW w:w="295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以整改通知文书和整改事实为准。</w:t>
            </w:r>
          </w:p>
        </w:tc>
        <w:tc>
          <w:tcPr>
            <w:tcW w:w="2552"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以整改通知文书下发日期为生效日期。</w:t>
            </w:r>
          </w:p>
          <w:p>
            <w:pPr>
              <w:widowControl/>
              <w:spacing w:line="360" w:lineRule="exact"/>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255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合同履约信息</w:t>
            </w:r>
          </w:p>
        </w:tc>
        <w:tc>
          <w:tcPr>
            <w:tcW w:w="450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经建设单位提出投诉并提供事实材料，施工总承包企业严重违反合同规定和契约精神，造成不良影响且未按期完成整改的，经建设主管部门核查属实，每一起扣1分。</w:t>
            </w:r>
          </w:p>
        </w:tc>
        <w:tc>
          <w:tcPr>
            <w:tcW w:w="295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以建设主管部门核查意见为准。</w:t>
            </w:r>
          </w:p>
        </w:tc>
        <w:tc>
          <w:tcPr>
            <w:tcW w:w="2552"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以建设主管部门核查意见下发时间为生效日期。</w:t>
            </w:r>
          </w:p>
          <w:p>
            <w:pPr>
              <w:widowControl/>
              <w:spacing w:line="360" w:lineRule="exact"/>
              <w:jc w:val="left"/>
              <w:rPr>
                <w:rFonts w:ascii="Times New Roman" w:hAnsi="Times New Roman" w:eastAsia="仿宋_GB2312"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255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诚信申报信息</w:t>
            </w:r>
          </w:p>
        </w:tc>
        <w:tc>
          <w:tcPr>
            <w:tcW w:w="450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在施工总承包企业信用评价过程中弄虚作假、提报虚假材料、刻意虚报漏报的，每一起扣1分。</w:t>
            </w:r>
          </w:p>
        </w:tc>
        <w:tc>
          <w:tcPr>
            <w:tcW w:w="295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施工企业应当自主申报正负面信息。以相关主管部门认定事实或通报文件为准。</w:t>
            </w:r>
          </w:p>
        </w:tc>
        <w:tc>
          <w:tcPr>
            <w:tcW w:w="2552"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以主管部门认定事实发生日期或通报文件印发日期为生效日期。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2" w:type="dxa"/>
            <w:gridSpan w:val="5"/>
            <w:vAlign w:val="center"/>
          </w:tcPr>
          <w:p>
            <w:pPr>
              <w:widowControl/>
              <w:spacing w:line="360" w:lineRule="exact"/>
              <w:rPr>
                <w:rFonts w:ascii="Times New Roman" w:hAnsi="Times New Roman" w:eastAsia="仿宋_GB2312" w:cs="Times New Roman"/>
                <w:kern w:val="0"/>
                <w:szCs w:val="21"/>
              </w:rPr>
            </w:pPr>
            <w:r>
              <w:rPr>
                <w:rFonts w:ascii="Times New Roman" w:hAnsi="Times New Roman" w:eastAsia="黑体" w:cs="Times New Roman"/>
                <w:kern w:val="0"/>
                <w:szCs w:val="21"/>
              </w:rPr>
              <w:t>三、</w:t>
            </w:r>
            <w:r>
              <w:rPr>
                <w:rFonts w:hint="eastAsia" w:ascii="Times New Roman" w:hAnsi="Times New Roman" w:eastAsia="黑体" w:cs="Times New Roman"/>
                <w:kern w:val="0"/>
                <w:szCs w:val="21"/>
              </w:rPr>
              <w:t>“</w:t>
            </w:r>
            <w:r>
              <w:rPr>
                <w:rFonts w:ascii="Times New Roman" w:hAnsi="Times New Roman" w:eastAsia="黑体" w:cs="Times New Roman"/>
                <w:kern w:val="0"/>
                <w:szCs w:val="21"/>
              </w:rPr>
              <w:t>黑名单</w:t>
            </w:r>
            <w:r>
              <w:rPr>
                <w:rFonts w:hint="eastAsia" w:ascii="Times New Roman" w:hAnsi="Times New Roman" w:eastAsia="仿宋_GB2312" w:cs="Times New Roman"/>
                <w:kern w:val="0"/>
                <w:szCs w:val="21"/>
                <w:lang w:eastAsia="zh-CN"/>
              </w:rPr>
              <w:t>”</w:t>
            </w:r>
            <w:r>
              <w:rPr>
                <w:rFonts w:ascii="Times New Roman" w:hAnsi="Times New Roman" w:eastAsia="黑体" w:cs="Times New Roman"/>
                <w:kern w:val="0"/>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0" w:type="dxa"/>
            <w:vAlign w:val="center"/>
          </w:tcPr>
          <w:p>
            <w:pPr>
              <w:widowControl/>
              <w:spacing w:line="36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2550" w:type="dxa"/>
            <w:vAlign w:val="center"/>
          </w:tcPr>
          <w:p>
            <w:pPr>
              <w:widowControl/>
              <w:spacing w:line="360" w:lineRule="exact"/>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黑名单</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信息</w:t>
            </w:r>
          </w:p>
        </w:tc>
        <w:tc>
          <w:tcPr>
            <w:tcW w:w="450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施工总承包企业违法违规行为按规定被纳入</w:t>
            </w: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黑名单</w:t>
            </w:r>
            <w:r>
              <w:rPr>
                <w:rFonts w:hint="eastAsia" w:ascii="Times New Roman" w:hAnsi="Times New Roman" w:eastAsia="仿宋_GB2312" w:cs="Times New Roman"/>
                <w:kern w:val="0"/>
                <w:szCs w:val="21"/>
                <w:lang w:eastAsia="zh-CN"/>
              </w:rPr>
              <w:t>”</w:t>
            </w:r>
            <w:r>
              <w:rPr>
                <w:rFonts w:ascii="Times New Roman" w:hAnsi="Times New Roman" w:eastAsia="仿宋_GB2312" w:cs="Times New Roman"/>
                <w:kern w:val="0"/>
                <w:szCs w:val="21"/>
              </w:rPr>
              <w:t>的，每一起扣10分。</w:t>
            </w:r>
          </w:p>
        </w:tc>
        <w:tc>
          <w:tcPr>
            <w:tcW w:w="2950"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以行政处罚文书或违法违规认定事实为准。</w:t>
            </w:r>
          </w:p>
        </w:tc>
        <w:tc>
          <w:tcPr>
            <w:tcW w:w="2552" w:type="dxa"/>
            <w:vAlign w:val="center"/>
          </w:tcPr>
          <w:p>
            <w:pPr>
              <w:widowControl/>
              <w:spacing w:line="36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以行政处罚文书下发时间或违法违规事实认定时间为生效日期。</w:t>
            </w:r>
          </w:p>
        </w:tc>
      </w:tr>
    </w:tbl>
    <w:p>
      <w:pPr>
        <w:spacing w:line="580" w:lineRule="exact"/>
        <w:rPr>
          <w:rFonts w:ascii="Times New Roman" w:hAnsi="Times New Roman" w:eastAsia="仿宋_GB2312" w:cs="Times New Roman"/>
          <w:kern w:val="32"/>
          <w:sz w:val="18"/>
          <w:szCs w:val="18"/>
        </w:rPr>
        <w:sectPr>
          <w:headerReference r:id="rId3" w:type="default"/>
          <w:footerReference r:id="rId4" w:type="default"/>
          <w:pgSz w:w="16838" w:h="11906" w:orient="landscape"/>
          <w:pgMar w:top="1531" w:right="1928" w:bottom="1531" w:left="1814" w:header="851" w:footer="1304" w:gutter="0"/>
          <w:cols w:space="0" w:num="1"/>
          <w:docGrid w:type="lines" w:linePitch="319" w:charSpace="0"/>
        </w:sectPr>
      </w:pPr>
      <w:r>
        <w:rPr>
          <w:sz w:val="32"/>
        </w:rPr>
        <mc:AlternateContent>
          <mc:Choice Requires="wps">
            <w:drawing>
              <wp:anchor distT="0" distB="0" distL="114300" distR="114300" simplePos="0" relativeHeight="251660288" behindDoc="0" locked="0" layoutInCell="1" allowOverlap="1">
                <wp:simplePos x="0" y="0"/>
                <wp:positionH relativeFrom="column">
                  <wp:posOffset>-509905</wp:posOffset>
                </wp:positionH>
                <wp:positionV relativeFrom="paragraph">
                  <wp:posOffset>-4445000</wp:posOffset>
                </wp:positionV>
                <wp:extent cx="381000" cy="9766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81000" cy="976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sz w:val="28"/>
                                <w:szCs w:val="28"/>
                              </w:rPr>
                              <w:t xml:space="preserve">— </w:t>
                            </w:r>
                            <w:sdt>
                              <w:sdtPr>
                                <w:rPr>
                                  <w:rFonts w:ascii="宋体" w:hAnsi="宋体" w:eastAsia="宋体"/>
                                  <w:sz w:val="28"/>
                                  <w:szCs w:val="28"/>
                                </w:rPr>
                                <w:id w:val="657042770"/>
                              </w:sdtPr>
                              <w:sdtEndPr>
                                <w:rPr>
                                  <w:rFonts w:ascii="宋体" w:hAnsi="宋体" w:eastAsia="宋体"/>
                                  <w:sz w:val="28"/>
                                  <w:szCs w:val="28"/>
                                </w:rPr>
                              </w:sdtEndPr>
                              <w:sdtContent>
                                <w:r>
                                  <w:rPr>
                                    <w:rFonts w:hint="eastAsia" w:ascii="宋体" w:hAnsi="宋体" w:eastAsia="宋体"/>
                                    <w:sz w:val="28"/>
                                    <w:szCs w:val="28"/>
                                  </w:rPr>
                                  <w:t xml:space="preserve">10 </w:t>
                                </w:r>
                              </w:sdtContent>
                            </w:sdt>
                            <w:r>
                              <w:rPr>
                                <w:rFonts w:hint="eastAsia" w:ascii="宋体" w:hAnsi="宋体" w:eastAsia="宋体"/>
                                <w:sz w:val="28"/>
                                <w:szCs w:val="28"/>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5pt;margin-top:-350pt;height:76.9pt;width:30pt;z-index:251660288;mso-width-relative:page;mso-height-relative:page;" filled="f" stroked="f" coordsize="21600,21600" o:gfxdata="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Ohqa2wAAAA0BAAAPAAAAAAAAAAEAIAAAACIA&#10;AABkcnMvZG93bnJldi54bWxQSwECFAAUAAAACACHTuJADgfZDT8CAABnBAAADgAAAAAAAAABACAA&#10;AAAqAQAAZHJzL2Uyb0RvYy54bWxQSwUGAAAAAAYABgBZAQAA2wUAAAAA&#10;">
                <v:fill on="f" focussize="0,0"/>
                <v:stroke on="f" weight="0.5pt"/>
                <v:imagedata o:title=""/>
                <o:lock v:ext="edit" aspectratio="f"/>
                <v:textbox style="layout-flow:vertical-ideographic;">
                  <w:txbxContent>
                    <w:p>
                      <w:pPr>
                        <w:pStyle w:val="4"/>
                      </w:pPr>
                      <w:r>
                        <w:rPr>
                          <w:rFonts w:hint="eastAsia" w:ascii="宋体" w:hAnsi="宋体" w:eastAsia="宋体"/>
                          <w:sz w:val="28"/>
                          <w:szCs w:val="28"/>
                        </w:rPr>
                        <w:t xml:space="preserve">— </w:t>
                      </w:r>
                      <w:sdt>
                        <w:sdtPr>
                          <w:rPr>
                            <w:rFonts w:ascii="宋体" w:hAnsi="宋体" w:eastAsia="宋体"/>
                            <w:sz w:val="28"/>
                            <w:szCs w:val="28"/>
                          </w:rPr>
                          <w:id w:val="657042770"/>
                        </w:sdtPr>
                        <w:sdtEndPr>
                          <w:rPr>
                            <w:rFonts w:ascii="宋体" w:hAnsi="宋体" w:eastAsia="宋体"/>
                            <w:sz w:val="28"/>
                            <w:szCs w:val="28"/>
                          </w:rPr>
                        </w:sdtEndPr>
                        <w:sdtContent>
                          <w:r>
                            <w:rPr>
                              <w:rFonts w:hint="eastAsia" w:ascii="宋体" w:hAnsi="宋体" w:eastAsia="宋体"/>
                              <w:sz w:val="28"/>
                              <w:szCs w:val="28"/>
                            </w:rPr>
                            <w:t xml:space="preserve">10 </w:t>
                          </w:r>
                        </w:sdtContent>
                      </w:sdt>
                      <w:r>
                        <w:rPr>
                          <w:rFonts w:hint="eastAsia" w:ascii="宋体" w:hAnsi="宋体" w:eastAsia="宋体"/>
                          <w:sz w:val="28"/>
                          <w:szCs w:val="28"/>
                        </w:rPr>
                        <w:t>—</w:t>
                      </w:r>
                    </w:p>
                  </w:txbxContent>
                </v:textbox>
              </v:shape>
            </w:pict>
          </mc:Fallback>
        </mc:AlternateContent>
      </w:r>
    </w:p>
    <w:p>
      <w:pPr>
        <w:spacing w:line="592" w:lineRule="exact"/>
        <w:rPr>
          <w:rFonts w:ascii="Times New Roman" w:hAnsi="Times New Roman" w:cs="Times New Roman"/>
        </w:rPr>
      </w:pPr>
    </w:p>
    <w:p>
      <w:pPr>
        <w:spacing w:line="592" w:lineRule="exact"/>
        <w:rPr>
          <w:rFonts w:ascii="Times New Roman" w:hAnsi="Times New Roman" w:cs="Times New Roman"/>
        </w:rPr>
      </w:pPr>
    </w:p>
    <w:p/>
    <w:p/>
    <w:p/>
    <w:p/>
    <w:p/>
    <w:p/>
    <w:p/>
    <w:p/>
    <w:p/>
    <w:p/>
    <w:p/>
    <w:p/>
    <w:p/>
    <w:p/>
    <w:p/>
    <w:p/>
    <w:p/>
    <w:p/>
    <w:p/>
    <w:p/>
    <w:p/>
    <w:p/>
    <w:p/>
    <w:p/>
    <w:p/>
    <w:p/>
    <w:p>
      <w:pPr>
        <w:pStyle w:val="2"/>
        <w:rPr>
          <w:rFonts w:ascii="Times New Roman" w:hAnsi="Times New Roman" w:cs="Times New Roman"/>
        </w:rPr>
      </w:pPr>
    </w:p>
    <w:p>
      <w:pPr>
        <w:pStyle w:val="3"/>
        <w:framePr w:wrap="around"/>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pStyle w:val="3"/>
        <w:framePr w:wrap="around"/>
        <w:rPr>
          <w:rFonts w:ascii="Times New Roman" w:hAnsi="Times New Roman" w:cs="Times New Roman"/>
        </w:rPr>
      </w:pPr>
    </w:p>
    <w:p>
      <w:pPr>
        <w:rPr>
          <w:rFonts w:ascii="Times New Roman" w:hAnsi="Times New Roman" w:cs="Times New Roman"/>
        </w:rPr>
      </w:pPr>
    </w:p>
    <w:p>
      <w:pPr>
        <w:pStyle w:val="2"/>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pStyle w:val="3"/>
        <w:framePr w:wrap="around"/>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320" w:lineRule="exact"/>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2513D"/>
    <w:rsid w:val="5E52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index 9"/>
    <w:basedOn w:val="1"/>
    <w:next w:val="1"/>
    <w:unhideWhenUsed/>
    <w:qFormat/>
    <w:uiPriority w:val="99"/>
    <w:pPr>
      <w:framePr w:hSpace="180" w:wrap="around" w:vAnchor="text" w:hAnchor="margin" w:xAlign="center" w:y="10"/>
      <w:ind w:left="3360" w:leftChars="1600"/>
      <w:jc w:val="left"/>
    </w:pPr>
    <w:rPr>
      <w:rFonts w:ascii="仿宋_GB2312" w:eastAsia="仿宋_GB2312"/>
      <w:sz w:val="28"/>
      <w:szCs w:val="28"/>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2021-04-30T10:07:00Z</dcterms:created>
  <dc:creator>TheKING</dc:creator>
  <cp:lastModifiedBy>TheKING</cp:lastModifiedBy>
  <dcterms:modified xsi:type="dcterms:W3CDTF">2021-04-30T10:07:38Z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53B6004A80D544BB872630208B799CA0</vt:lpwstr>
  </property>
</Properties>
</file>