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kern w:val="0"/>
          <w:sz w:val="32"/>
          <w:szCs w:val="32"/>
        </w:rPr>
      </w:pPr>
      <w:r>
        <w:rPr>
          <w:rFonts w:hint="eastAsia" w:ascii="黑体" w:hAnsi="黑体" w:eastAsia="黑体" w:cs="黑体"/>
          <w:kern w:val="0"/>
          <w:sz w:val="32"/>
          <w:szCs w:val="32"/>
        </w:rPr>
        <w:t>附件2</w:t>
      </w:r>
      <w:bookmarkStart w:id="0" w:name="_GoBack"/>
      <w:bookmarkEnd w:id="0"/>
    </w:p>
    <w:p>
      <w:pPr>
        <w:spacing w:line="580" w:lineRule="exact"/>
        <w:ind w:firstLine="880" w:firstLineChars="20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雄安新区施工总承包企业信用信息计分标准</w:t>
      </w:r>
    </w:p>
    <w:p>
      <w:pPr>
        <w:spacing w:line="580" w:lineRule="exact"/>
        <w:rPr>
          <w:rFonts w:ascii="Times New Roman" w:hAnsi="Times New Roman" w:eastAsia="黑体" w:cs="Times New Roman"/>
          <w:kern w:val="0"/>
          <w:sz w:val="32"/>
          <w:szCs w:val="32"/>
        </w:rPr>
      </w:pPr>
    </w:p>
    <w:tbl>
      <w:tblPr>
        <w:tblStyle w:val="7"/>
        <w:tblW w:w="13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2550"/>
        <w:gridCol w:w="4500"/>
        <w:gridCol w:w="295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60" w:type="dxa"/>
            <w:vAlign w:val="center"/>
          </w:tcPr>
          <w:p>
            <w:pPr>
              <w:widowControl/>
              <w:spacing w:line="40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序号</w:t>
            </w:r>
          </w:p>
        </w:tc>
        <w:tc>
          <w:tcPr>
            <w:tcW w:w="2550" w:type="dxa"/>
            <w:vAlign w:val="center"/>
          </w:tcPr>
          <w:p>
            <w:pPr>
              <w:widowControl/>
              <w:spacing w:line="40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信用信息</w:t>
            </w:r>
          </w:p>
        </w:tc>
        <w:tc>
          <w:tcPr>
            <w:tcW w:w="4500" w:type="dxa"/>
            <w:vAlign w:val="center"/>
          </w:tcPr>
          <w:p>
            <w:pPr>
              <w:widowControl/>
              <w:spacing w:line="40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计分规则</w:t>
            </w:r>
          </w:p>
        </w:tc>
        <w:tc>
          <w:tcPr>
            <w:tcW w:w="2950" w:type="dxa"/>
            <w:vAlign w:val="center"/>
          </w:tcPr>
          <w:p>
            <w:pPr>
              <w:widowControl/>
              <w:spacing w:line="40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认定依据</w:t>
            </w:r>
          </w:p>
        </w:tc>
        <w:tc>
          <w:tcPr>
            <w:tcW w:w="2552" w:type="dxa"/>
            <w:vAlign w:val="center"/>
          </w:tcPr>
          <w:p>
            <w:pPr>
              <w:widowControl/>
              <w:spacing w:line="400" w:lineRule="exact"/>
              <w:jc w:val="center"/>
              <w:rPr>
                <w:rFonts w:ascii="Times New Roman" w:hAnsi="Times New Roman" w:eastAsia="黑体" w:cs="Times New Roman"/>
                <w:kern w:val="0"/>
                <w:szCs w:val="21"/>
              </w:rPr>
            </w:pPr>
            <w:r>
              <w:rPr>
                <w:rFonts w:ascii="Times New Roman" w:hAnsi="Times New Roman" w:eastAsia="黑体" w:cs="Times New Roman"/>
                <w:kern w:val="0"/>
                <w:szCs w:val="21"/>
              </w:rPr>
              <w:t>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2" w:type="dxa"/>
            <w:gridSpan w:val="5"/>
            <w:vAlign w:val="center"/>
          </w:tcPr>
          <w:p>
            <w:pPr>
              <w:widowControl/>
              <w:spacing w:line="400" w:lineRule="exact"/>
              <w:jc w:val="left"/>
              <w:rPr>
                <w:rFonts w:ascii="Times New Roman" w:hAnsi="Times New Roman" w:eastAsia="黑体" w:cs="Times New Roman"/>
                <w:kern w:val="0"/>
                <w:szCs w:val="21"/>
              </w:rPr>
            </w:pPr>
            <w:r>
              <w:rPr>
                <w:rFonts w:ascii="Times New Roman" w:hAnsi="Times New Roman" w:eastAsia="黑体" w:cs="Times New Roman"/>
                <w:kern w:val="0"/>
                <w:szCs w:val="21"/>
              </w:rPr>
              <w:t>一、正面信用信息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2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550" w:type="dxa"/>
            <w:vAlign w:val="center"/>
          </w:tcPr>
          <w:p>
            <w:pPr>
              <w:widowControl/>
              <w:spacing w:line="32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在雄安新区承包</w:t>
            </w:r>
          </w:p>
          <w:p>
            <w:pPr>
              <w:widowControl/>
              <w:spacing w:line="32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施工合同总额</w:t>
            </w:r>
          </w:p>
        </w:tc>
        <w:tc>
          <w:tcPr>
            <w:tcW w:w="4500" w:type="dxa"/>
            <w:vAlign w:val="center"/>
          </w:tcPr>
          <w:p>
            <w:pPr>
              <w:widowControl/>
              <w:spacing w:line="32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每累计2000万元得0.1分，最高得15分。</w:t>
            </w:r>
          </w:p>
        </w:tc>
        <w:tc>
          <w:tcPr>
            <w:tcW w:w="2950" w:type="dxa"/>
            <w:vAlign w:val="center"/>
          </w:tcPr>
          <w:p>
            <w:pPr>
              <w:widowControl/>
              <w:spacing w:line="32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以施工总承包企业自主申报且雄安新区建设主管部门审核认定的已签订合同业绩信息为准。施工联合体中标的合同，以企业提供联合体协议中所占合同份额为准。</w:t>
            </w:r>
          </w:p>
        </w:tc>
        <w:tc>
          <w:tcPr>
            <w:tcW w:w="2552" w:type="dxa"/>
            <w:vAlign w:val="center"/>
          </w:tcPr>
          <w:p>
            <w:pPr>
              <w:widowControl/>
              <w:spacing w:line="32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工程业绩以合同履约完成（竣工验收）日期为生效日期。</w:t>
            </w:r>
          </w:p>
          <w:p>
            <w:pPr>
              <w:widowControl/>
              <w:spacing w:line="32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2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550" w:type="dxa"/>
            <w:vAlign w:val="center"/>
          </w:tcPr>
          <w:p>
            <w:pPr>
              <w:widowControl/>
              <w:spacing w:line="32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在雄安新区</w:t>
            </w:r>
          </w:p>
          <w:p>
            <w:pPr>
              <w:widowControl/>
              <w:spacing w:line="32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依法纳税信息</w:t>
            </w:r>
          </w:p>
        </w:tc>
        <w:tc>
          <w:tcPr>
            <w:tcW w:w="4500" w:type="dxa"/>
            <w:vAlign w:val="center"/>
          </w:tcPr>
          <w:p>
            <w:pPr>
              <w:widowControl/>
              <w:spacing w:line="32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每累计缴纳税款20万元税款得0.1分，最高得分10分。</w:t>
            </w:r>
          </w:p>
        </w:tc>
        <w:tc>
          <w:tcPr>
            <w:tcW w:w="2950" w:type="dxa"/>
            <w:vAlign w:val="center"/>
          </w:tcPr>
          <w:p>
            <w:pPr>
              <w:widowControl/>
              <w:spacing w:line="32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以施工总承包企业自主申报且雄安新区建设主管部门审核认定的税款缴纳证明为准。</w:t>
            </w:r>
          </w:p>
        </w:tc>
        <w:tc>
          <w:tcPr>
            <w:tcW w:w="2552" w:type="dxa"/>
            <w:vAlign w:val="center"/>
          </w:tcPr>
          <w:p>
            <w:pPr>
              <w:widowControl/>
              <w:spacing w:line="32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以税款缴纳凭证日期为生效日期。</w:t>
            </w:r>
          </w:p>
          <w:p>
            <w:pPr>
              <w:widowControl/>
              <w:spacing w:line="32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2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550" w:type="dxa"/>
            <w:vAlign w:val="center"/>
          </w:tcPr>
          <w:p>
            <w:pPr>
              <w:widowControl/>
              <w:spacing w:line="32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在雄安新区承建的建设工程落实创造</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雄安质量</w:t>
            </w:r>
            <w:r>
              <w:rPr>
                <w:rFonts w:hint="eastAsia" w:ascii="Times New Roman" w:hAnsi="Times New Roman" w:eastAsia="仿宋_GB2312" w:cs="Times New Roman"/>
                <w:kern w:val="0"/>
                <w:szCs w:val="21"/>
                <w:lang w:eastAsia="zh-CN"/>
              </w:rPr>
              <w:t>”</w:t>
            </w:r>
            <w:r>
              <w:rPr>
                <w:rFonts w:ascii="Times New Roman" w:hAnsi="Times New Roman" w:eastAsia="仿宋_GB2312" w:cs="Times New Roman"/>
                <w:kern w:val="0"/>
                <w:szCs w:val="21"/>
              </w:rPr>
              <w:t>的要求，获得表彰奖励或认可的信息</w:t>
            </w:r>
          </w:p>
        </w:tc>
        <w:tc>
          <w:tcPr>
            <w:tcW w:w="4500" w:type="dxa"/>
            <w:vAlign w:val="center"/>
          </w:tcPr>
          <w:p>
            <w:pPr>
              <w:widowControl/>
              <w:spacing w:line="32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在雄安新区承建的建设工程获得鲁班奖、国家科学技术奖、国家优质工程奖、中国土木工程詹天佑大奖、</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雄安质量杯</w:t>
            </w:r>
            <w:r>
              <w:rPr>
                <w:rFonts w:hint="eastAsia" w:ascii="Times New Roman" w:hAnsi="Times New Roman" w:eastAsia="仿宋_GB2312" w:cs="Times New Roman"/>
                <w:kern w:val="0"/>
                <w:szCs w:val="21"/>
                <w:lang w:eastAsia="zh-CN"/>
              </w:rPr>
              <w:t>”</w:t>
            </w:r>
            <w:r>
              <w:rPr>
                <w:rFonts w:ascii="Times New Roman" w:hAnsi="Times New Roman" w:eastAsia="仿宋_GB2312" w:cs="Times New Roman"/>
                <w:kern w:val="0"/>
                <w:szCs w:val="21"/>
              </w:rPr>
              <w:t>（雄安精品工程）表彰的，每项得1分；在雄安新区承建的建设工程获得省建筑工程安济杯奖、省安全文明工地、省结构优质工程、省智慧工地示范工程（三星级）的，每项得0.2分；主编体现创造</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雄安质量</w:t>
            </w:r>
            <w:r>
              <w:rPr>
                <w:rFonts w:hint="eastAsia" w:ascii="Times New Roman" w:hAnsi="Times New Roman" w:eastAsia="仿宋_GB2312" w:cs="Times New Roman"/>
                <w:kern w:val="0"/>
                <w:szCs w:val="21"/>
                <w:lang w:eastAsia="zh-CN"/>
              </w:rPr>
              <w:t>”</w:t>
            </w:r>
            <w:r>
              <w:rPr>
                <w:rFonts w:ascii="Times New Roman" w:hAnsi="Times New Roman" w:eastAsia="仿宋_GB2312" w:cs="Times New Roman"/>
                <w:kern w:val="0"/>
                <w:szCs w:val="21"/>
              </w:rPr>
              <w:t>的工程建设领域雄安标准的，每项得0.5分。该项最高得分15分。</w:t>
            </w:r>
          </w:p>
        </w:tc>
        <w:tc>
          <w:tcPr>
            <w:tcW w:w="2950" w:type="dxa"/>
            <w:vAlign w:val="center"/>
          </w:tcPr>
          <w:p>
            <w:pPr>
              <w:widowControl/>
              <w:spacing w:line="32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以表彰奖励或认可的相关文件或材料为准。</w:t>
            </w:r>
          </w:p>
        </w:tc>
        <w:tc>
          <w:tcPr>
            <w:tcW w:w="2552" w:type="dxa"/>
            <w:vAlign w:val="center"/>
          </w:tcPr>
          <w:p>
            <w:pPr>
              <w:widowControl/>
              <w:spacing w:line="32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获得表彰奖励信息以有关表彰奖励文件发布日期为生效日期；主编工程标准信息以标准正式发布日期为生效日期。</w:t>
            </w:r>
          </w:p>
          <w:p>
            <w:pPr>
              <w:widowControl/>
              <w:spacing w:line="32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55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履行社会责任信息</w:t>
            </w:r>
          </w:p>
        </w:tc>
        <w:tc>
          <w:tcPr>
            <w:tcW w:w="450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参加雄安新区党工委（管委会）组织的抢险救灾或紧急重大活动有关的工程建设受到表彰奖励且具备经雄安新区党工委（管委会）认定的常设抢险机构的，每次得2分。最高得分</w:t>
            </w:r>
            <w:r>
              <w:rPr>
                <w:sz w:val="32"/>
              </w:rPr>
              <mc:AlternateContent>
                <mc:Choice Requires="wps">
                  <w:drawing>
                    <wp:anchor distT="0" distB="0" distL="114300" distR="114300" simplePos="0" relativeHeight="251659264" behindDoc="0" locked="0" layoutInCell="1" allowOverlap="1">
                      <wp:simplePos x="0" y="0"/>
                      <wp:positionH relativeFrom="column">
                        <wp:posOffset>-2611755</wp:posOffset>
                      </wp:positionH>
                      <wp:positionV relativeFrom="paragraph">
                        <wp:posOffset>4302125</wp:posOffset>
                      </wp:positionV>
                      <wp:extent cx="381000" cy="976630"/>
                      <wp:effectExtent l="0" t="0" r="0" b="0"/>
                      <wp:wrapNone/>
                      <wp:docPr id="9" name="文本框 9"/>
                      <wp:cNvGraphicFramePr/>
                      <a:graphic xmlns:a="http://schemas.openxmlformats.org/drawingml/2006/main">
                        <a:graphicData uri="http://schemas.microsoft.com/office/word/2010/wordprocessingShape">
                          <wps:wsp>
                            <wps:cNvSpPr txBox="1"/>
                            <wps:spPr>
                              <a:xfrm>
                                <a:off x="0" y="0"/>
                                <a:ext cx="381000" cy="976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ascii="宋体" w:hAnsi="宋体" w:eastAsia="宋体"/>
                                      <w:sz w:val="28"/>
                                      <w:szCs w:val="28"/>
                                    </w:rPr>
                                    <w:t xml:space="preserve">— </w:t>
                                  </w:r>
                                  <w:sdt>
                                    <w:sdtPr>
                                      <w:rPr>
                                        <w:rFonts w:ascii="宋体" w:hAnsi="宋体" w:eastAsia="宋体"/>
                                        <w:sz w:val="28"/>
                                        <w:szCs w:val="28"/>
                                      </w:rPr>
                                      <w:id w:val="-826434119"/>
                                    </w:sdtPr>
                                    <w:sdtEndPr>
                                      <w:rPr>
                                        <w:rFonts w:ascii="宋体" w:hAnsi="宋体" w:eastAsia="宋体"/>
                                        <w:sz w:val="28"/>
                                        <w:szCs w:val="28"/>
                                      </w:rPr>
                                    </w:sdtEndPr>
                                    <w:sdtContent>
                                      <w:r>
                                        <w:rPr>
                                          <w:rFonts w:hint="eastAsia" w:ascii="宋体" w:hAnsi="宋体" w:eastAsia="宋体"/>
                                          <w:sz w:val="28"/>
                                          <w:szCs w:val="28"/>
                                        </w:rPr>
                                        <w:t xml:space="preserve">9 </w:t>
                                      </w:r>
                                    </w:sdtContent>
                                  </w:sdt>
                                  <w:r>
                                    <w:rPr>
                                      <w:rFonts w:hint="eastAsia" w:ascii="宋体" w:hAnsi="宋体" w:eastAsia="宋体"/>
                                      <w:sz w:val="28"/>
                                      <w:szCs w:val="28"/>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65pt;margin-top:338.75pt;height:76.9pt;width:30pt;z-index:251659264;mso-width-relative:page;mso-height-relative:page;" filled="f" stroked="f" coordsize="21600,21600" o:gfxdata="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GZXccPcAAAADQEAAA8AAAAAAAAAAQAgAAAA&#10;IgAAAGRycy9kb3ducmV2LnhtbFBLAQIUABQAAAAIAIdO4kC5ql6VQAIAAGcEAAAOAAAAAAAAAAEA&#10;IAAAACsBAABkcnMvZTJvRG9jLnhtbFBLBQYAAAAABgAGAFkBAADdBQAAAAA=&#10;">
                      <v:fill on="f" focussize="0,0"/>
                      <v:stroke on="f" weight="0.5pt"/>
                      <v:imagedata o:title=""/>
                      <o:lock v:ext="edit" aspectratio="f"/>
                      <v:textbox style="layout-flow:vertical-ideographic;">
                        <w:txbxContent>
                          <w:p>
                            <w:pPr>
                              <w:pStyle w:val="4"/>
                              <w:jc w:val="right"/>
                            </w:pPr>
                            <w:r>
                              <w:rPr>
                                <w:rFonts w:hint="eastAsia" w:ascii="宋体" w:hAnsi="宋体" w:eastAsia="宋体"/>
                                <w:sz w:val="28"/>
                                <w:szCs w:val="28"/>
                              </w:rPr>
                              <w:t xml:space="preserve">— </w:t>
                            </w:r>
                            <w:sdt>
                              <w:sdtPr>
                                <w:rPr>
                                  <w:rFonts w:ascii="宋体" w:hAnsi="宋体" w:eastAsia="宋体"/>
                                  <w:sz w:val="28"/>
                                  <w:szCs w:val="28"/>
                                </w:rPr>
                                <w:id w:val="-826434119"/>
                              </w:sdtPr>
                              <w:sdtEndPr>
                                <w:rPr>
                                  <w:rFonts w:ascii="宋体" w:hAnsi="宋体" w:eastAsia="宋体"/>
                                  <w:sz w:val="28"/>
                                  <w:szCs w:val="28"/>
                                </w:rPr>
                              </w:sdtEndPr>
                              <w:sdtContent>
                                <w:r>
                                  <w:rPr>
                                    <w:rFonts w:hint="eastAsia" w:ascii="宋体" w:hAnsi="宋体" w:eastAsia="宋体"/>
                                    <w:sz w:val="28"/>
                                    <w:szCs w:val="28"/>
                                  </w:rPr>
                                  <w:t xml:space="preserve">9 </w:t>
                                </w:r>
                              </w:sdtContent>
                            </w:sdt>
                            <w:r>
                              <w:rPr>
                                <w:rFonts w:hint="eastAsia" w:ascii="宋体" w:hAnsi="宋体" w:eastAsia="宋体"/>
                                <w:sz w:val="28"/>
                                <w:szCs w:val="28"/>
                              </w:rPr>
                              <w:t>—</w:t>
                            </w:r>
                          </w:p>
                        </w:txbxContent>
                      </v:textbox>
                    </v:shape>
                  </w:pict>
                </mc:Fallback>
              </mc:AlternateContent>
            </w:r>
            <w:r>
              <w:rPr>
                <w:rFonts w:ascii="Times New Roman" w:hAnsi="Times New Roman" w:eastAsia="仿宋_GB2312" w:cs="Times New Roman"/>
                <w:kern w:val="0"/>
                <w:szCs w:val="21"/>
              </w:rPr>
              <w:t>10分。</w:t>
            </w:r>
          </w:p>
        </w:tc>
        <w:tc>
          <w:tcPr>
            <w:tcW w:w="295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以表彰奖励文件为准</w:t>
            </w:r>
          </w:p>
        </w:tc>
        <w:tc>
          <w:tcPr>
            <w:tcW w:w="2552" w:type="dxa"/>
            <w:vAlign w:val="center"/>
          </w:tcPr>
          <w:p>
            <w:pPr>
              <w:widowControl/>
              <w:spacing w:line="34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履行社会责任信息以表彰奖励文件发布日期为生效日期。</w:t>
            </w:r>
          </w:p>
          <w:p>
            <w:pPr>
              <w:widowControl/>
              <w:spacing w:line="34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2" w:type="dxa"/>
            <w:gridSpan w:val="5"/>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黑体" w:cs="Times New Roman"/>
                <w:kern w:val="0"/>
                <w:szCs w:val="21"/>
              </w:rPr>
              <w:t>二、负面信用信息（同一行为适用以下多种情形的，按照扣分较高的情形认定，不累计扣分）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55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依法受到情节严重情形对应的行政处罚或顶格行政处罚的信用信息</w:t>
            </w:r>
          </w:p>
        </w:tc>
        <w:tc>
          <w:tcPr>
            <w:tcW w:w="450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在雄安新区承建的建设项目违法违规行为严重，依法受到情节严重情形对应的行政处罚或顶格行政处罚的，每次扣2分。</w:t>
            </w:r>
          </w:p>
        </w:tc>
        <w:tc>
          <w:tcPr>
            <w:tcW w:w="295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以行政执法文书为准。行政执法部门应当将行政处罚信息实时共享至施工总承包企业信用评价管理系统。</w:t>
            </w:r>
          </w:p>
        </w:tc>
        <w:tc>
          <w:tcPr>
            <w:tcW w:w="2552"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以行政处罚文书下发日期为生效时间。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55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一般质量安全生产事故信息</w:t>
            </w:r>
          </w:p>
        </w:tc>
        <w:tc>
          <w:tcPr>
            <w:tcW w:w="450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在雄安新区承建的建设项目发生一般质量、安全生产事故，每一起扣3分。</w:t>
            </w:r>
          </w:p>
        </w:tc>
        <w:tc>
          <w:tcPr>
            <w:tcW w:w="295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以行政处罚文书或通报文件为准。</w:t>
            </w:r>
          </w:p>
        </w:tc>
        <w:tc>
          <w:tcPr>
            <w:tcW w:w="2552"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以行政处罚文书下发日期或通报文件印发日期为生效日期。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255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疫情事件信息</w:t>
            </w:r>
          </w:p>
        </w:tc>
        <w:tc>
          <w:tcPr>
            <w:tcW w:w="450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因施工现场疫情防控责任履行不到位，导致建设工地发生疫情的，每一起扣5分。</w:t>
            </w:r>
          </w:p>
        </w:tc>
        <w:tc>
          <w:tcPr>
            <w:tcW w:w="295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以疫情事实或建设行政主管部门通报文件为准。</w:t>
            </w:r>
          </w:p>
        </w:tc>
        <w:tc>
          <w:tcPr>
            <w:tcW w:w="2552"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以疫情事实发生日期或建设行政主管部门通报文件印发日期为生效日期。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255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负面外界影响信息</w:t>
            </w:r>
          </w:p>
        </w:tc>
        <w:tc>
          <w:tcPr>
            <w:tcW w:w="450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因拖欠民工工资、工程质量问题处理不力以及施工企业自身其他原因，在雄安新区引发群体性事件、较大影响投诉事件或严重负面舆情的，每一起扣3分。</w:t>
            </w:r>
          </w:p>
        </w:tc>
        <w:tc>
          <w:tcPr>
            <w:tcW w:w="295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以认定事实或行政主管部门通报文件为准。</w:t>
            </w:r>
          </w:p>
        </w:tc>
        <w:tc>
          <w:tcPr>
            <w:tcW w:w="2552"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以事件发生日期或行政主管部门通报文件印发日期为生效日期。</w:t>
            </w:r>
            <w:r>
              <w:rPr>
                <w:rFonts w:ascii="Times New Roman" w:hAnsi="Times New Roman" w:eastAsia="仿宋_GB2312" w:cs="Times New Roman"/>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2550" w:type="dxa"/>
            <w:vAlign w:val="center"/>
          </w:tcPr>
          <w:p>
            <w:pPr>
              <w:widowControl/>
              <w:spacing w:line="3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行贿受贿信息</w:t>
            </w:r>
          </w:p>
        </w:tc>
        <w:tc>
          <w:tcPr>
            <w:tcW w:w="450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违反创造</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廉洁雄安</w:t>
            </w:r>
            <w:r>
              <w:rPr>
                <w:rFonts w:hint="eastAsia" w:ascii="Times New Roman" w:hAnsi="Times New Roman" w:eastAsia="仿宋_GB2312" w:cs="Times New Roman"/>
                <w:kern w:val="0"/>
                <w:szCs w:val="21"/>
                <w:lang w:eastAsia="zh-CN"/>
              </w:rPr>
              <w:t>”</w:t>
            </w:r>
            <w:r>
              <w:rPr>
                <w:rFonts w:ascii="Times New Roman" w:hAnsi="Times New Roman" w:eastAsia="仿宋_GB2312" w:cs="Times New Roman"/>
                <w:kern w:val="0"/>
                <w:szCs w:val="21"/>
              </w:rPr>
              <w:t>的要求，在雄安新区行贿或受贿的，每一起扣3分。</w:t>
            </w:r>
          </w:p>
        </w:tc>
        <w:tc>
          <w:tcPr>
            <w:tcW w:w="2950"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以认定事实或相关主管部门认定文件为准。</w:t>
            </w:r>
          </w:p>
        </w:tc>
        <w:tc>
          <w:tcPr>
            <w:tcW w:w="2552" w:type="dxa"/>
            <w:vAlign w:val="center"/>
          </w:tcPr>
          <w:p>
            <w:pPr>
              <w:widowControl/>
              <w:spacing w:line="3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以事件发生日期或相关主管部门认定文件印发日期为生效日期。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2550" w:type="dxa"/>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破坏生态环境信息</w:t>
            </w:r>
          </w:p>
        </w:tc>
        <w:tc>
          <w:tcPr>
            <w:tcW w:w="450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违反有关规定，在雄安新区随意倾倒建筑垃圾或者造成重大破坏生态环境事件的，每一起扣3分。</w:t>
            </w:r>
          </w:p>
        </w:tc>
        <w:tc>
          <w:tcPr>
            <w:tcW w:w="295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以行政处罚文书或通报文件为准。</w:t>
            </w:r>
          </w:p>
        </w:tc>
        <w:tc>
          <w:tcPr>
            <w:tcW w:w="2552"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以行政处罚文书下发日期或通报文件印发日期为生效日期。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2550" w:type="dxa"/>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施工问题整改信息</w:t>
            </w:r>
          </w:p>
        </w:tc>
        <w:tc>
          <w:tcPr>
            <w:tcW w:w="450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施工现场未履行安全生产职责或未执行法律法规、工程建设强制性标准，拒不整改或未按期整改到位的，每一起扣1分。</w:t>
            </w:r>
          </w:p>
        </w:tc>
        <w:tc>
          <w:tcPr>
            <w:tcW w:w="295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以整改通知文书和整改事实为准。</w:t>
            </w:r>
          </w:p>
        </w:tc>
        <w:tc>
          <w:tcPr>
            <w:tcW w:w="2552"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以整改通知文书下发日期为生效日期。</w:t>
            </w:r>
          </w:p>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2550" w:type="dxa"/>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合同履约信息</w:t>
            </w:r>
          </w:p>
        </w:tc>
        <w:tc>
          <w:tcPr>
            <w:tcW w:w="450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经建设单位提出投诉并提供事实材料，施工总承包企业严重违反合同规定和契约精神，造成不良影响且未按期完成整改的，经建设主管部门核查属实，每一起扣1分。</w:t>
            </w:r>
          </w:p>
        </w:tc>
        <w:tc>
          <w:tcPr>
            <w:tcW w:w="295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以建设主管部门核查意见为准。</w:t>
            </w:r>
          </w:p>
        </w:tc>
        <w:tc>
          <w:tcPr>
            <w:tcW w:w="2552"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以建设主管部门核查意见下发时间为生效日期。</w:t>
            </w:r>
          </w:p>
          <w:p>
            <w:pPr>
              <w:widowControl/>
              <w:spacing w:line="360" w:lineRule="exact"/>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2550" w:type="dxa"/>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诚信申报信息</w:t>
            </w:r>
          </w:p>
        </w:tc>
        <w:tc>
          <w:tcPr>
            <w:tcW w:w="450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在施工总承包企业信用评价过程中弄虚作假、提报虚假材料、刻意虚报漏报的，每一起扣1分。</w:t>
            </w:r>
          </w:p>
        </w:tc>
        <w:tc>
          <w:tcPr>
            <w:tcW w:w="295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施工企业应当自主申报正负面信息。以相关主管部门认定事实或通报文件为准。</w:t>
            </w:r>
          </w:p>
        </w:tc>
        <w:tc>
          <w:tcPr>
            <w:tcW w:w="2552"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以主管部门认定事实发生日期或通报文件印发日期为生效日期。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312" w:type="dxa"/>
            <w:gridSpan w:val="5"/>
            <w:vAlign w:val="center"/>
          </w:tcPr>
          <w:p>
            <w:pPr>
              <w:widowControl/>
              <w:spacing w:line="360" w:lineRule="exact"/>
              <w:rPr>
                <w:rFonts w:ascii="Times New Roman" w:hAnsi="Times New Roman" w:eastAsia="仿宋_GB2312" w:cs="Times New Roman"/>
                <w:kern w:val="0"/>
                <w:szCs w:val="21"/>
              </w:rPr>
            </w:pPr>
            <w:r>
              <w:rPr>
                <w:rFonts w:ascii="Times New Roman" w:hAnsi="Times New Roman" w:eastAsia="黑体" w:cs="Times New Roman"/>
                <w:kern w:val="0"/>
                <w:szCs w:val="21"/>
              </w:rPr>
              <w:t>三、</w:t>
            </w:r>
            <w:r>
              <w:rPr>
                <w:rFonts w:hint="eastAsia" w:ascii="Times New Roman" w:hAnsi="Times New Roman" w:eastAsia="黑体" w:cs="Times New Roman"/>
                <w:kern w:val="0"/>
                <w:szCs w:val="21"/>
              </w:rPr>
              <w:t>“</w:t>
            </w:r>
            <w:r>
              <w:rPr>
                <w:rFonts w:ascii="Times New Roman" w:hAnsi="Times New Roman" w:eastAsia="黑体" w:cs="Times New Roman"/>
                <w:kern w:val="0"/>
                <w:szCs w:val="21"/>
              </w:rPr>
              <w:t>黑名单</w:t>
            </w:r>
            <w:r>
              <w:rPr>
                <w:rFonts w:hint="eastAsia" w:ascii="Times New Roman" w:hAnsi="Times New Roman" w:eastAsia="仿宋_GB2312" w:cs="Times New Roman"/>
                <w:kern w:val="0"/>
                <w:szCs w:val="21"/>
                <w:lang w:eastAsia="zh-CN"/>
              </w:rPr>
              <w:t>”</w:t>
            </w:r>
            <w:r>
              <w:rPr>
                <w:rFonts w:ascii="Times New Roman" w:hAnsi="Times New Roman" w:eastAsia="黑体" w:cs="Times New Roman"/>
                <w:kern w:val="0"/>
                <w:szCs w:val="21"/>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0" w:type="dxa"/>
            <w:vAlign w:val="center"/>
          </w:tcPr>
          <w:p>
            <w:pPr>
              <w:widowControl/>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2550" w:type="dxa"/>
            <w:vAlign w:val="center"/>
          </w:tcPr>
          <w:p>
            <w:pPr>
              <w:widowControl/>
              <w:spacing w:line="360" w:lineRule="exact"/>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黑名单</w:t>
            </w:r>
            <w:r>
              <w:rPr>
                <w:rFonts w:hint="eastAsia" w:ascii="Times New Roman" w:hAnsi="Times New Roman" w:eastAsia="仿宋_GB2312" w:cs="Times New Roman"/>
                <w:kern w:val="0"/>
                <w:szCs w:val="21"/>
                <w:lang w:eastAsia="zh-CN"/>
              </w:rPr>
              <w:t>”</w:t>
            </w:r>
            <w:r>
              <w:rPr>
                <w:rFonts w:ascii="Times New Roman" w:hAnsi="Times New Roman" w:eastAsia="仿宋_GB2312" w:cs="Times New Roman"/>
                <w:kern w:val="0"/>
                <w:szCs w:val="21"/>
              </w:rPr>
              <w:t>信息</w:t>
            </w:r>
          </w:p>
        </w:tc>
        <w:tc>
          <w:tcPr>
            <w:tcW w:w="450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施工总承包企业违法违规行为按规定被纳入</w:t>
            </w:r>
            <w:r>
              <w:rPr>
                <w:rFonts w:hint="eastAsia" w:ascii="Times New Roman" w:hAnsi="Times New Roman" w:eastAsia="仿宋_GB2312" w:cs="Times New Roman"/>
                <w:kern w:val="0"/>
                <w:szCs w:val="21"/>
              </w:rPr>
              <w:t>“</w:t>
            </w:r>
            <w:r>
              <w:rPr>
                <w:rFonts w:ascii="Times New Roman" w:hAnsi="Times New Roman" w:eastAsia="仿宋_GB2312" w:cs="Times New Roman"/>
                <w:kern w:val="0"/>
                <w:szCs w:val="21"/>
              </w:rPr>
              <w:t>黑名单</w:t>
            </w:r>
            <w:r>
              <w:rPr>
                <w:rFonts w:hint="eastAsia" w:ascii="Times New Roman" w:hAnsi="Times New Roman" w:eastAsia="仿宋_GB2312" w:cs="Times New Roman"/>
                <w:kern w:val="0"/>
                <w:szCs w:val="21"/>
                <w:lang w:eastAsia="zh-CN"/>
              </w:rPr>
              <w:t>”</w:t>
            </w:r>
            <w:r>
              <w:rPr>
                <w:rFonts w:ascii="Times New Roman" w:hAnsi="Times New Roman" w:eastAsia="仿宋_GB2312" w:cs="Times New Roman"/>
                <w:kern w:val="0"/>
                <w:szCs w:val="21"/>
              </w:rPr>
              <w:t>的，每一起扣10分。</w:t>
            </w:r>
          </w:p>
        </w:tc>
        <w:tc>
          <w:tcPr>
            <w:tcW w:w="2950"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以行政处罚文书或违法违规认定事实为准。</w:t>
            </w:r>
          </w:p>
        </w:tc>
        <w:tc>
          <w:tcPr>
            <w:tcW w:w="2552" w:type="dxa"/>
            <w:vAlign w:val="center"/>
          </w:tcPr>
          <w:p>
            <w:pPr>
              <w:widowControl/>
              <w:spacing w:line="36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以行政处罚文书下发时间或违法违规事实认定时间为生效日期。</w:t>
            </w:r>
          </w:p>
        </w:tc>
      </w:tr>
    </w:tbl>
    <w:p>
      <w:pPr>
        <w:spacing w:line="580" w:lineRule="exact"/>
        <w:rPr>
          <w:rFonts w:ascii="Times New Roman" w:hAnsi="Times New Roman" w:eastAsia="仿宋_GB2312" w:cs="Times New Roman"/>
          <w:kern w:val="32"/>
          <w:sz w:val="18"/>
          <w:szCs w:val="18"/>
        </w:rPr>
        <w:sectPr>
          <w:headerReference r:id="rId3" w:type="default"/>
          <w:footerReference r:id="rId4" w:type="default"/>
          <w:pgSz w:w="16838" w:h="11906" w:orient="landscape"/>
          <w:pgMar w:top="1531" w:right="1928" w:bottom="1531" w:left="1814" w:header="851" w:footer="1304" w:gutter="0"/>
          <w:cols w:space="0" w:num="1"/>
          <w:docGrid w:type="lines" w:linePitch="319" w:charSpace="0"/>
        </w:sectPr>
      </w:pPr>
      <w:r>
        <w:rPr>
          <w:sz w:val="32"/>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-4445000</wp:posOffset>
                </wp:positionV>
                <wp:extent cx="381000" cy="976630"/>
                <wp:effectExtent l="0" t="0" r="0" b="0"/>
                <wp:wrapNone/>
                <wp:docPr id="8" name="文本框 8"/>
                <wp:cNvGraphicFramePr/>
                <a:graphic xmlns:a="http://schemas.openxmlformats.org/drawingml/2006/main">
                  <a:graphicData uri="http://schemas.microsoft.com/office/word/2010/wordprocessingShape">
                    <wps:wsp>
                      <wps:cNvSpPr txBox="1"/>
                      <wps:spPr>
                        <a:xfrm>
                          <a:off x="0" y="0"/>
                          <a:ext cx="381000" cy="9766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sz w:val="28"/>
                                <w:szCs w:val="28"/>
                              </w:rPr>
                              <w:t xml:space="preserve">— </w:t>
                            </w:r>
                            <w:sdt>
                              <w:sdtPr>
                                <w:rPr>
                                  <w:rFonts w:ascii="宋体" w:hAnsi="宋体" w:eastAsia="宋体"/>
                                  <w:sz w:val="28"/>
                                  <w:szCs w:val="28"/>
                                </w:rPr>
                                <w:id w:val="657042770"/>
                              </w:sdtPr>
                              <w:sdtEndPr>
                                <w:rPr>
                                  <w:rFonts w:ascii="宋体" w:hAnsi="宋体" w:eastAsia="宋体"/>
                                  <w:sz w:val="28"/>
                                  <w:szCs w:val="28"/>
                                </w:rPr>
                              </w:sdtEndPr>
                              <w:sdtContent>
                                <w:r>
                                  <w:rPr>
                                    <w:rFonts w:hint="eastAsia" w:ascii="宋体" w:hAnsi="宋体" w:eastAsia="宋体"/>
                                    <w:sz w:val="28"/>
                                    <w:szCs w:val="28"/>
                                  </w:rPr>
                                  <w:t xml:space="preserve">10 </w:t>
                                </w:r>
                              </w:sdtContent>
                            </w:sdt>
                            <w:r>
                              <w:rPr>
                                <w:rFonts w:hint="eastAsia" w:ascii="宋体" w:hAnsi="宋体" w:eastAsia="宋体"/>
                                <w:sz w:val="28"/>
                                <w:szCs w:val="28"/>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15pt;margin-top:-350pt;height:76.9pt;width:30pt;z-index:251660288;mso-width-relative:page;mso-height-relative:page;" filled="f" stroked="f" coordsize="21600,21600" o:gfxdata="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MOhqa2wAAAA0BAAAPAAAAAAAAAAEAIAAAACIA&#10;AABkcnMvZG93bnJldi54bWxQSwECFAAUAAAACACHTuJADgfZDT8CAABnBAAADgAAAAAAAAABACAA&#10;AAAqAQAAZHJzL2Uyb0RvYy54bWxQSwUGAAAAAAYABgBZAQAA2wUAAAAA&#10;">
                <v:fill on="f" focussize="0,0"/>
                <v:stroke on="f" weight="0.5pt"/>
                <v:imagedata o:title=""/>
                <o:lock v:ext="edit" aspectratio="f"/>
                <v:textbox style="layout-flow:vertical-ideographic;">
                  <w:txbxContent>
                    <w:p>
                      <w:pPr>
                        <w:pStyle w:val="4"/>
                      </w:pPr>
                      <w:r>
                        <w:rPr>
                          <w:rFonts w:hint="eastAsia" w:ascii="宋体" w:hAnsi="宋体" w:eastAsia="宋体"/>
                          <w:sz w:val="28"/>
                          <w:szCs w:val="28"/>
                        </w:rPr>
                        <w:t xml:space="preserve">— </w:t>
                      </w:r>
                      <w:sdt>
                        <w:sdtPr>
                          <w:rPr>
                            <w:rFonts w:ascii="宋体" w:hAnsi="宋体" w:eastAsia="宋体"/>
                            <w:sz w:val="28"/>
                            <w:szCs w:val="28"/>
                          </w:rPr>
                          <w:id w:val="657042770"/>
                        </w:sdtPr>
                        <w:sdtEndPr>
                          <w:rPr>
                            <w:rFonts w:ascii="宋体" w:hAnsi="宋体" w:eastAsia="宋体"/>
                            <w:sz w:val="28"/>
                            <w:szCs w:val="28"/>
                          </w:rPr>
                        </w:sdtEndPr>
                        <w:sdtContent>
                          <w:r>
                            <w:rPr>
                              <w:rFonts w:hint="eastAsia" w:ascii="宋体" w:hAnsi="宋体" w:eastAsia="宋体"/>
                              <w:sz w:val="28"/>
                              <w:szCs w:val="28"/>
                            </w:rPr>
                            <w:t xml:space="preserve">10 </w:t>
                          </w:r>
                        </w:sdtContent>
                      </w:sdt>
                      <w:r>
                        <w:rPr>
                          <w:rFonts w:hint="eastAsia" w:ascii="宋体" w:hAnsi="宋体" w:eastAsia="宋体"/>
                          <w:sz w:val="28"/>
                          <w:szCs w:val="28"/>
                        </w:rPr>
                        <w:t>—</w:t>
                      </w:r>
                    </w:p>
                  </w:txbxContent>
                </v:textbox>
              </v:shape>
            </w:pict>
          </mc:Fallback>
        </mc:AlternateContent>
      </w:r>
    </w:p>
    <w:p>
      <w:pPr>
        <w:spacing w:line="592" w:lineRule="exact"/>
        <w:rPr>
          <w:rFonts w:ascii="Times New Roman" w:hAnsi="Times New Roman" w:cs="Times New Roman"/>
        </w:rPr>
      </w:pPr>
    </w:p>
    <w:p>
      <w:pPr>
        <w:spacing w:line="592" w:lineRule="exact"/>
        <w:rPr>
          <w:rFonts w:ascii="Times New Roman" w:hAnsi="Times New Roman" w:cs="Times New Roman"/>
        </w:rPr>
      </w:pPr>
    </w:p>
    <w:p/>
    <w:p/>
    <w:p/>
    <w:p/>
    <w:p/>
    <w:p/>
    <w:p/>
    <w:p/>
    <w:p/>
    <w:p/>
    <w:p/>
    <w:p/>
    <w:p/>
    <w:p/>
    <w:p/>
    <w:p/>
    <w:p/>
    <w:p/>
    <w:p/>
    <w:p/>
    <w:p/>
    <w:p/>
    <w:p/>
    <w:p/>
    <w:p/>
    <w:p/>
    <w:p>
      <w:pPr>
        <w:pStyle w:val="2"/>
        <w:rPr>
          <w:rFonts w:ascii="Times New Roman" w:hAnsi="Times New Roman" w:cs="Times New Roman"/>
        </w:rPr>
      </w:pPr>
    </w:p>
    <w:p>
      <w:pPr>
        <w:pStyle w:val="3"/>
        <w:framePr w:wrap="around"/>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p>
    <w:p>
      <w:pPr>
        <w:pStyle w:val="3"/>
        <w:framePr w:wrap="around"/>
        <w:rPr>
          <w:rFonts w:ascii="Times New Roman" w:hAnsi="Times New Roman" w:cs="Times New Roman"/>
        </w:rPr>
      </w:pPr>
    </w:p>
    <w:p>
      <w:pPr>
        <w:rPr>
          <w:rFonts w:ascii="Times New Roman" w:hAnsi="Times New Roman" w:cs="Times New Roman"/>
        </w:rPr>
      </w:pPr>
    </w:p>
    <w:p>
      <w:pPr>
        <w:pStyle w:val="2"/>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p>
    <w:p>
      <w:pPr>
        <w:pStyle w:val="3"/>
        <w:framePr w:wrap="around"/>
        <w:rPr>
          <w:rFonts w:ascii="Times New Roman" w:hAnsi="Times New Roman" w:cs="Times New Roman"/>
        </w:rPr>
      </w:pPr>
    </w:p>
    <w:p>
      <w:pPr>
        <w:rPr>
          <w:rFonts w:ascii="Times New Roman" w:hAnsi="Times New Roman" w:cs="Times New Roman"/>
        </w:rPr>
      </w:pPr>
    </w:p>
    <w:p>
      <w:pPr>
        <w:pStyle w:val="2"/>
        <w:rPr>
          <w:rFonts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320" w:lineRule="exact"/>
      <w:rPr>
        <w:b/>
        <w:bC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2513D"/>
    <w:rsid w:val="5E525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cs="Courier New"/>
      <w:szCs w:val="21"/>
    </w:rPr>
  </w:style>
  <w:style w:type="paragraph" w:styleId="3">
    <w:name w:val="index 9"/>
    <w:basedOn w:val="1"/>
    <w:next w:val="1"/>
    <w:unhideWhenUsed/>
    <w:qFormat/>
    <w:uiPriority w:val="99"/>
    <w:pPr>
      <w:framePr w:hSpace="180" w:wrap="around" w:vAnchor="text" w:hAnchor="margin" w:xAlign="center" w:y="10"/>
      <w:ind w:left="3360" w:leftChars="1600"/>
      <w:jc w:val="left"/>
    </w:pPr>
    <w:rPr>
      <w:rFonts w:ascii="仿宋_GB2312" w:eastAsia="仿宋_GB2312"/>
      <w:sz w:val="28"/>
      <w:szCs w:val="28"/>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2021-04-30T10:07:00Z</dcterms:created>
  <dc:creator>TheKING</dc:creator>
  <cp:lastModifiedBy>TheKING</cp:lastModifiedBy>
  <dcterms:modified xsi:type="dcterms:W3CDTF">2021-04-30T10:07:38Z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53B6004A80D544BB872630208B799CA0</vt:lpwstr>
  </property>
</Properties>
</file>