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雄安新区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多测合一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测绘服务事项组织实施和管理要求</w:t>
      </w:r>
    </w:p>
    <w:p>
      <w:pPr>
        <w:pStyle w:val="4"/>
        <w:spacing w:before="0" w:after="0" w:line="580" w:lineRule="exact"/>
        <w:rPr>
          <w:rFonts w:ascii="Times New Roman" w:hAnsi="Times New Roman"/>
          <w:b w:val="0"/>
          <w:bCs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0"/>
        <w:gridCol w:w="948"/>
        <w:gridCol w:w="2417"/>
        <w:gridCol w:w="2126"/>
        <w:gridCol w:w="670"/>
        <w:gridCol w:w="688"/>
        <w:gridCol w:w="653"/>
        <w:gridCol w:w="654"/>
        <w:gridCol w:w="676"/>
        <w:gridCol w:w="578"/>
        <w:gridCol w:w="735"/>
        <w:gridCol w:w="657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1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工程建设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阶段</w:t>
            </w:r>
          </w:p>
        </w:tc>
        <w:tc>
          <w:tcPr>
            <w:tcW w:w="948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测绘服务事项</w:t>
            </w:r>
          </w:p>
        </w:tc>
        <w:tc>
          <w:tcPr>
            <w:tcW w:w="2417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测量目的</w:t>
            </w:r>
          </w:p>
        </w:tc>
        <w:tc>
          <w:tcPr>
            <w:tcW w:w="212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组织实施和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管理要求</w:t>
            </w:r>
          </w:p>
        </w:tc>
        <w:tc>
          <w:tcPr>
            <w:tcW w:w="6026" w:type="dxa"/>
            <w:gridSpan w:val="9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不同工程建设项目需要开展的测绘服务事项要求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（▲表示必须开展，△表示根据需要开展）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2417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  <w:highlight w:val="yellow"/>
              </w:rPr>
            </w:pP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7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房屋建筑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</w:t>
            </w:r>
          </w:p>
        </w:tc>
        <w:tc>
          <w:tcPr>
            <w:tcW w:w="688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管廊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</w:t>
            </w:r>
          </w:p>
        </w:tc>
        <w:tc>
          <w:tcPr>
            <w:tcW w:w="653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管线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</w:t>
            </w:r>
          </w:p>
        </w:tc>
        <w:tc>
          <w:tcPr>
            <w:tcW w:w="654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市政场站工程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道路工程</w:t>
            </w:r>
          </w:p>
        </w:tc>
        <w:tc>
          <w:tcPr>
            <w:tcW w:w="73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城市轨道交通工程</w:t>
            </w:r>
          </w:p>
        </w:tc>
        <w:tc>
          <w:tcPr>
            <w:tcW w:w="657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园林绿化工程</w:t>
            </w:r>
          </w:p>
        </w:tc>
        <w:tc>
          <w:tcPr>
            <w:tcW w:w="71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水利</w:t>
            </w:r>
          </w:p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8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7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4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7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城市道路</w:t>
            </w:r>
          </w:p>
        </w:tc>
        <w:tc>
          <w:tcPr>
            <w:tcW w:w="57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公路</w:t>
            </w:r>
          </w:p>
        </w:tc>
        <w:tc>
          <w:tcPr>
            <w:tcW w:w="73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57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立项用地规划许可阶段</w:t>
            </w: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选址地形图测量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为项目用地预审与选址意见书审批提供项目选址现状地形图。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由建设单位组织实施；</w:t>
            </w:r>
          </w:p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可到新区测绘主管部门申领已有可用基础数据。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房屋土地征迁测绘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为土地征收与房屋拆迁提供测量成果。</w:t>
            </w:r>
          </w:p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由新区征迁主管部门组织实施；</w:t>
            </w:r>
          </w:p>
          <w:p>
            <w:pPr>
              <w:pStyle w:val="9"/>
              <w:spacing w:line="28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可到新区测绘主管部门申领已有可用基础数据。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土地勘测定界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为用地审批提供项目用地的勘测定界成果。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由新区土地管理主管部门组织实施。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土地供应测绘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为项目用地提供宗地图和拨地钉桩成果。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由新区土地供应主管部门组织实施；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建设用地地籍调查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为国有建设用地使用权不动产登记提供地籍调查成果。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由新区土地供应主管部门组织实施；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1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工程规划许可阶段</w:t>
            </w: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规划审批用图测量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为项目设计提供项目用地的现状地形、地下管线、周边已有建筑平立面图等测量成果。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由建设单位组织实施；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可到新区测绘主管部门申领已有可用基础数据。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规划放线测量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为项目开工建设提供规划放线或定线的测量成果。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由建设单位组织实施。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规划初始验线测量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为规划过程监督管理提供项目初始验线测量成果。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由建设单位委托测绘作业单位；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测绘作业单位在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多测合一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信息管理系统中备案；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合同备案；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成果审核。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-3729355</wp:posOffset>
                      </wp:positionH>
                      <wp:positionV relativeFrom="page">
                        <wp:posOffset>1211580</wp:posOffset>
                      </wp:positionV>
                      <wp:extent cx="392430" cy="1071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" cy="1071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tabs>
                                      <w:tab w:val="right" w:pos="8306"/>
                                      <w:tab w:val="clear" w:pos="8307"/>
                                    </w:tabs>
                                    <w:jc w:val="right"/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3.65pt;margin-top:95.4pt;height:84.35pt;width:30.9pt;mso-position-vertical-relative:page;z-index:-251656192;mso-width-relative:page;mso-height-relative:page;" filled="f" stroked="f" coordsize="21600,21600" o:gfxdata="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V0HYndAAAADQEAAA8AAAAAAAAAAQAgAAAAIgAAAGRycy9kb3ducmV2LnhtbFBLAQIU&#10;ABQAAAAIAIdO4kDkIBjhtQEAAFwDAAAOAAAAAAAAAAEAIAAAACw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tabs>
                                <w:tab w:val="right" w:pos="8306"/>
                                <w:tab w:val="clear" w:pos="8307"/>
                              </w:tabs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7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57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10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工程建设许可与施工监督阶段</w:t>
            </w:r>
          </w:p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施工测量和监测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为项目建设过程提供测量成果。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由施工单位组织实施。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建筑沉降观测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为建筑提供沉降监测成果。</w:t>
            </w:r>
          </w:p>
        </w:tc>
        <w:tc>
          <w:tcPr>
            <w:tcW w:w="2126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由建设单位组织实施。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基坑工程第三方监测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为基坑工程提供第三方监测成果。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规划过程验线测量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为规划过程监督管理提供过程验线测量成果。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由建设单位委托测绘作业单位；</w:t>
            </w:r>
          </w:p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测绘作业单位在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多测合一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信息管理系统中备案；</w:t>
            </w:r>
          </w:p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合同备案；</w:t>
            </w:r>
          </w:p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成果提交；</w:t>
            </w:r>
          </w:p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成果审核。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-3729355</wp:posOffset>
                      </wp:positionH>
                      <wp:positionV relativeFrom="page">
                        <wp:posOffset>-2509520</wp:posOffset>
                      </wp:positionV>
                      <wp:extent cx="392430" cy="107124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" cy="1071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tabs>
                                      <w:tab w:val="right" w:pos="8306"/>
                                      <w:tab w:val="clear" w:pos="8307"/>
                                    </w:tabs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3.65pt;margin-top:-197.6pt;height:84.35pt;width:30.9pt;mso-position-vertical-relative:page;z-index:-251657216;mso-width-relative:page;mso-height-relative:page;" filled="f" stroked="f" coordsize="21600,21600" o:gfxdata="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jB5398AAAAPAQAADwAAAAAAAAABACAAAAAiAAAAZHJzL2Rvd25yZXYueG1sUEsB&#10;AhQAFAAAAAgAh07iQGSIobO1AQAAXAMAAA4AAAAAAAAAAQAgAAAALg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tabs>
                                <w:tab w:val="right" w:pos="8306"/>
                                <w:tab w:val="clear" w:pos="8307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房产面积预测绘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为房产预售提供面积测算报告成果。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由建设单位委托测绘作业单位；</w:t>
            </w:r>
          </w:p>
          <w:p>
            <w:pPr>
              <w:pStyle w:val="9"/>
              <w:spacing w:line="26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测绘作业单位在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多测合一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信息管理系统中备案；</w:t>
            </w:r>
          </w:p>
          <w:p>
            <w:pPr>
              <w:pStyle w:val="9"/>
              <w:spacing w:line="26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合同备案；</w:t>
            </w:r>
          </w:p>
          <w:p>
            <w:pPr>
              <w:pStyle w:val="9"/>
              <w:spacing w:line="26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成果提交；</w:t>
            </w:r>
          </w:p>
          <w:p>
            <w:pPr>
              <w:pStyle w:val="9"/>
              <w:spacing w:line="26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成果审核。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1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施工验收测量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为施工验收（交工）提供测量成果。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由施工单位组织实施。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竣工验收阶段</w:t>
            </w: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竣工验收测量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为竣工联合验收提供竣工验收测量成果。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由建设单位委托测绘作业单位；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测绘作业单位在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多测合一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信息管理系统中备案；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合同备案；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成果审核。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1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不动产登记阶段</w:t>
            </w:r>
          </w:p>
        </w:tc>
        <w:tc>
          <w:tcPr>
            <w:tcW w:w="94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房产面积测绘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为不动产登记提供房产面积测绘成果。</w:t>
            </w:r>
          </w:p>
        </w:tc>
        <w:tc>
          <w:tcPr>
            <w:tcW w:w="2126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由建设单位委托测绘作业单位；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测绘作业单位在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多测合一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信息管理系统中备案；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合同备案；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成果提交；</w:t>
            </w:r>
          </w:p>
          <w:p>
            <w:pPr>
              <w:pStyle w:val="9"/>
              <w:spacing w:line="28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成果审核。</w:t>
            </w:r>
          </w:p>
        </w:tc>
        <w:tc>
          <w:tcPr>
            <w:tcW w:w="670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▲</w:t>
            </w:r>
          </w:p>
        </w:tc>
        <w:tc>
          <w:tcPr>
            <w:tcW w:w="688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3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4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1254" w:type="dxa"/>
            <w:gridSpan w:val="2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657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△</w:t>
            </w:r>
          </w:p>
        </w:tc>
      </w:tr>
    </w:tbl>
    <w:p>
      <w:pPr>
        <w:widowControl/>
        <w:spacing w:line="280" w:lineRule="exact"/>
        <w:ind w:left="420" w:hanging="420" w:hangingChars="200"/>
        <w:jc w:val="left"/>
        <w:rPr>
          <w:rFonts w:hint="eastAsia"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注：上表中△所表示根据需要开展的测绘服务事项，应根据每类建设工程的工程类型、设计规模、使用功能、施工工艺等的不同，依据相关法律法规、标准规范和管理要求等具体情况确定是否开展。需开展的测绘服务事项应按照组织实施和管理要求执行</w:t>
      </w:r>
      <w:r>
        <w:rPr>
          <w:rFonts w:hint="eastAsia" w:ascii="Times New Roman" w:hAnsi="Times New Roman" w:eastAsia="仿宋_GB2312"/>
          <w:szCs w:val="21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871C2"/>
    <w:rsid w:val="06BF453D"/>
    <w:rsid w:val="0E5871C2"/>
    <w:rsid w:val="43F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中-表格文字"/>
    <w:basedOn w:val="1"/>
    <w:qFormat/>
    <w:uiPriority w:val="0"/>
    <w:pPr>
      <w:widowControl/>
      <w:jc w:val="center"/>
    </w:pPr>
    <w:rPr>
      <w:rFonts w:ascii="仿宋_GB2312" w:hAnsi="等线" w:eastAsia="仿宋_GB2312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2021-04-14T10:50:00Z</dcterms:created>
  <dc:creator>Dell</dc:creator>
  <cp:lastModifiedBy>Dell</cp:lastModifiedBy>
  <dcterms:modified xsi:type="dcterms:W3CDTF">2021-04-14T10:52:17Z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892B4A4EDE2A4D3280BC66FD563A12BC</vt:lpwstr>
  </property>
</Properties>
</file>