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contextualSpacing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contextualSpacing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pStyle w:val="3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contextualSpacing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3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contextualSpacing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企业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变更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（备案）秒批</w:t>
      </w: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告知书</w:t>
      </w:r>
    </w:p>
    <w:bookmarkEnd w:id="0"/>
    <w:p>
      <w:pPr>
        <w:pStyle w:val="3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contextualSpacing/>
        <w:jc w:val="both"/>
        <w:textAlignment w:val="auto"/>
        <w:rPr>
          <w:rStyle w:val="6"/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</w:pPr>
    </w:p>
    <w:p>
      <w:pPr>
        <w:pStyle w:val="3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contextualSpacing/>
        <w:jc w:val="both"/>
        <w:textAlignment w:val="auto"/>
        <w:rPr>
          <w:rStyle w:val="6"/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6"/>
          <w:rFonts w:hint="default" w:ascii="Times New Roman" w:hAnsi="Times New Roman" w:eastAsia="仿宋_GB2312" w:cs="Times New Roman"/>
          <w:b w:val="0"/>
          <w:color w:val="000000"/>
          <w:sz w:val="32"/>
          <w:szCs w:val="32"/>
          <w:u w:val="single"/>
          <w:lang w:val="en-US" w:eastAsia="zh-CN"/>
        </w:rPr>
        <w:t xml:space="preserve">                            （企业名称）</w:t>
      </w:r>
      <w:r>
        <w:rPr>
          <w:rStyle w:val="6"/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：</w:t>
      </w:r>
    </w:p>
    <w:p>
      <w:pPr>
        <w:pStyle w:val="3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Style w:val="6"/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登记机关就通过</w:t>
      </w:r>
      <w:r>
        <w:rPr>
          <w:rStyle w:val="6"/>
          <w:rFonts w:hint="eastAsia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“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  <w:t>变更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eastAsia="zh-CN"/>
        </w:rPr>
        <w:t>（备案）秒批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承诺制</w:t>
      </w:r>
      <w:r>
        <w:rPr>
          <w:rStyle w:val="6"/>
          <w:rFonts w:hint="eastAsia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”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  <w:t>办理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企业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  <w:t>变更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eastAsia="zh-CN"/>
        </w:rPr>
        <w:t>（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备案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eastAsia="zh-CN"/>
        </w:rPr>
        <w:t>）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  <w:t>登记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事项告知如下</w:t>
      </w:r>
      <w:r>
        <w:rPr>
          <w:rStyle w:val="6"/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：</w:t>
      </w:r>
    </w:p>
    <w:p>
      <w:pPr>
        <w:pStyle w:val="3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</w:rPr>
        <w:t>一、</w:t>
      </w: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/>
        </w:rPr>
        <w:t>企业</w:t>
      </w: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</w:rPr>
        <w:t>变更</w:t>
      </w: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eastAsia="zh-CN"/>
        </w:rPr>
        <w:t>（</w:t>
      </w: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/>
        </w:rPr>
        <w:t>备案</w:t>
      </w: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eastAsia="zh-CN"/>
        </w:rPr>
        <w:t>）</w:t>
      </w: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</w:rPr>
        <w:t>登记审批依据</w:t>
      </w:r>
    </w:p>
    <w:p>
      <w:pPr>
        <w:pStyle w:val="3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《中华人民共和国行政许可法》《中华人民共和国公司法》《公司登记管理条例》等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企业登记相关法律法规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/>
        </w:rPr>
        <w:t>二、企业变更（备案）秒批承诺制填报标准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所提交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材料和填报信息真实、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准确、完整、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合法有效，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无任何伪造、篡改、隐瞒等虚假成分。</w:t>
      </w:r>
    </w:p>
    <w:p>
      <w:pPr>
        <w:pStyle w:val="3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</w:rPr>
        <w:t>三、</w:t>
      </w: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/>
        </w:rPr>
        <w:t>企业变更（备案）秒批承诺制</w:t>
      </w: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</w:rPr>
        <w:t>审查方式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《国务院关于印发注册资本登记制度改革方案的通知》相关规定，尊重市场主体民事权利，登记机关对企业登记环节中的申请材料实行形式审查，在总结以往审批办事经验，辅之以流程管理、数据共享的基础上形成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秒批承诺制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，通过对审批服务的条件、环节、流程等要素采取标准化管理，实现全程数字化办理、无人工干预，确保审批结果公平、公正。</w:t>
      </w:r>
    </w:p>
    <w:p>
      <w:pPr>
        <w:pStyle w:val="3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</w:rPr>
        <w:t>四、</w:t>
      </w: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/>
        </w:rPr>
        <w:t>企业</w:t>
      </w: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</w:rPr>
        <w:t>作出承诺的法律效力，以及作出不实承诺和违反承诺的法律后果</w:t>
      </w:r>
    </w:p>
    <w:p>
      <w:pPr>
        <w:pStyle w:val="3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  <w:t>（一）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企业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  <w:t>应确保已详细阅读并知晓本告知书的全部内容，并愿意依法承担相应法律后果。告知书归入商事主体登记档案。</w:t>
      </w:r>
    </w:p>
    <w:p>
      <w:pPr>
        <w:pStyle w:val="3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  <w:t>（二）市场监管部门将加强事中事后监管，加大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对通过</w:t>
      </w:r>
      <w:r>
        <w:rPr>
          <w:rStyle w:val="6"/>
          <w:rFonts w:hint="eastAsia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“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秒批承诺制</w:t>
      </w:r>
      <w:r>
        <w:rPr>
          <w:rStyle w:val="6"/>
          <w:rFonts w:hint="eastAsia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”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方式完成登记的企业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  <w:t>双随机抽查比例，同时将会接受公民、法人或者其他组织的举报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eastAsia="zh-CN"/>
        </w:rPr>
        <w:t>，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  <w:t>对隐瞒有关情况或者提供虚假材料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取得登记的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  <w:t>，将依法依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规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  <w:t>进行处理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</w:rPr>
        <w:t>涉嫌构成犯罪的，移交司法机关依法追究刑事责任。</w:t>
      </w:r>
    </w:p>
    <w:p>
      <w:pPr>
        <w:pStyle w:val="3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eastAsia="zh-CN"/>
        </w:rPr>
        <w:t>（</w:t>
      </w:r>
      <w:r>
        <w:rPr>
          <w:rStyle w:val="6"/>
          <w:rFonts w:hint="eastAsia" w:ascii="Calibri" w:hAnsi="Calibri" w:eastAsia="仿宋_GB2312" w:cs="Times New Roman"/>
          <w:b w:val="0"/>
          <w:color w:val="auto"/>
          <w:sz w:val="32"/>
          <w:szCs w:val="32"/>
          <w:lang w:val="en-US" w:eastAsia="zh-CN"/>
        </w:rPr>
        <w:t>三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eastAsia="zh-CN"/>
        </w:rPr>
        <w:t>）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企业如果通过</w:t>
      </w:r>
      <w:r>
        <w:rPr>
          <w:rStyle w:val="6"/>
          <w:rFonts w:hint="eastAsia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“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秒批承诺制</w:t>
      </w:r>
      <w:r>
        <w:rPr>
          <w:rStyle w:val="6"/>
          <w:rFonts w:hint="eastAsia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”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取得企业登记后自身发现由于误操作等原因造成提交材料有误的，应当主动联系登记机关撤销登记，重新提交申请。</w:t>
      </w:r>
    </w:p>
    <w:p>
      <w:pPr>
        <w:pStyle w:val="3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contextualSpacing/>
        <w:jc w:val="both"/>
        <w:textAlignment w:val="auto"/>
        <w:rPr>
          <w:rStyle w:val="6"/>
          <w:rFonts w:hint="default" w:ascii="Times New Roman" w:hAnsi="Times New Roman" w:eastAsia="黑体" w:cs="Times New Roman"/>
          <w:b w:val="0"/>
          <w:color w:val="000000"/>
          <w:sz w:val="32"/>
          <w:szCs w:val="32"/>
        </w:rPr>
      </w:pPr>
    </w:p>
    <w:p>
      <w:pPr>
        <w:pStyle w:val="3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contextualSpacing/>
        <w:jc w:val="right"/>
        <w:textAlignment w:val="auto"/>
        <w:rPr>
          <w:rStyle w:val="6"/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</w:pPr>
      <w:r>
        <w:rPr>
          <w:rStyle w:val="6"/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河北</w:t>
      </w:r>
      <w:r>
        <w:rPr>
          <w:rStyle w:val="6"/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雄安新区管理委员会公共服务局</w:t>
      </w:r>
      <w:r>
        <w:rPr>
          <w:rStyle w:val="6"/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 xml:space="preserve">    </w:t>
      </w:r>
    </w:p>
    <w:p>
      <w:pPr>
        <w:pStyle w:val="7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C7ACC"/>
    <w:rsid w:val="640C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560" w:lineRule="exact"/>
      <w:ind w:firstLine="420" w:firstLineChars="200"/>
      <w:jc w:val="both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6">
    <w:name w:val="Strong"/>
    <w:qFormat/>
    <w:uiPriority w:val="0"/>
    <w:rPr>
      <w:b/>
      <w:bCs/>
    </w:rPr>
  </w:style>
  <w:style w:type="paragraph" w:customStyle="1" w:styleId="7">
    <w:name w:val="one-p"/>
    <w:qFormat/>
    <w:uiPriority w:val="0"/>
    <w:pPr>
      <w:widowControl w:val="0"/>
      <w:adjustRightInd/>
      <w:snapToGrid/>
      <w:spacing w:before="100" w:beforeAutospacing="1" w:after="100" w:afterAutospacing="1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2021-03-10T06:09:00Z</dcterms:created>
  <dc:creator>admin</dc:creator>
  <cp:lastModifiedBy>admin</cp:lastModifiedBy>
  <dcterms:modified xsi:type="dcterms:W3CDTF">2021-03-10T06:10:54Z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