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企业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变更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（备案）秒批</w:t>
      </w: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告知书</w:t>
      </w:r>
    </w:p>
    <w:bookmarkEnd w:id="0"/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  <w:u w:val="single"/>
          <w:lang w:val="en-US" w:eastAsia="zh-CN"/>
        </w:rPr>
        <w:t xml:space="preserve">                            （企业名称）</w:t>
      </w:r>
      <w:r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：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登记机关就通过</w:t>
      </w:r>
      <w:r>
        <w:rPr>
          <w:rStyle w:val="6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“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变更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（备案）秒批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承诺制</w:t>
      </w:r>
      <w:r>
        <w:rPr>
          <w:rStyle w:val="6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”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办理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变更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（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备案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）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登记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事项告知如下</w:t>
      </w:r>
      <w:r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：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一、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变更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eastAsia="zh-CN"/>
        </w:rPr>
        <w:t>（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备案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eastAsia="zh-CN"/>
        </w:rPr>
        <w:t>）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登记审批依据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《中华人民共和国行政许可法》《中华人民共和国公司法》《公司登记管理条例》等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企业登记相关法律法规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二、企业变更（备案）秒批承诺制填报标准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材料和填报信息真实、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准确、完整、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合法有效，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无任何伪造、篡改、隐瞒等虚假成分。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三、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企业变更（备案）秒批承诺制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审查方式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《国务院关于印发注册资本登记制度改革方案的通知》相关规定，尊重市场主体民事权利，登记机关对企业登记环节中的申请材料实行形式审查，在总结以往审批办事经验，辅之以流程管理、数据共享的基础上形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秒批承诺制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，通过对审批服务的条件、环节、流程等要素采取标准化管理，实现全程数字化办理、无人工干预，确保审批结果公平、公正。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四、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作出承诺的法律效力，以及作出不实承诺和违反承诺的法律后果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（一）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应确保已详细阅读并知晓本告知书的全部内容，并愿意依法承担相应法律后果。告知书归入商事主体登记档案。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（二）市场监管部门将加强事中事后监管，加大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对通过</w:t>
      </w:r>
      <w:r>
        <w:rPr>
          <w:rStyle w:val="6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“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秒批承诺制</w:t>
      </w:r>
      <w:r>
        <w:rPr>
          <w:rStyle w:val="6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”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方式完成登记的企业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双随机抽查比例，同时将会接受公民、法人或者其他组织的举报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，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对隐瞒有关情况或者提供虚假材料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取得登记的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，将依法依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规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进行处理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涉嫌构成犯罪的，移交司法机关依法追究刑事责任。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（</w:t>
      </w:r>
      <w:r>
        <w:rPr>
          <w:rStyle w:val="6"/>
          <w:rFonts w:hint="eastAsia" w:ascii="Calibri" w:hAnsi="Calibri" w:eastAsia="仿宋_GB2312" w:cs="Times New Roman"/>
          <w:b w:val="0"/>
          <w:color w:val="auto"/>
          <w:sz w:val="32"/>
          <w:szCs w:val="32"/>
          <w:lang w:val="en-US" w:eastAsia="zh-CN"/>
        </w:rPr>
        <w:t>三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）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企业如果通过</w:t>
      </w:r>
      <w:r>
        <w:rPr>
          <w:rStyle w:val="6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“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秒批承诺制</w:t>
      </w:r>
      <w:r>
        <w:rPr>
          <w:rStyle w:val="6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”</w:t>
      </w:r>
      <w:r>
        <w:rPr>
          <w:rStyle w:val="6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取得企业登记后自身发现由于误操作等原因造成提交材料有误的，应当主动联系登记机关撤销登记，重新提交申请。</w:t>
      </w:r>
    </w:p>
    <w:p>
      <w:pPr>
        <w:pStyle w:val="3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</w:pPr>
    </w:p>
    <w:p>
      <w:pPr>
        <w:pStyle w:val="3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right"/>
        <w:textAlignment w:val="auto"/>
        <w:rPr>
          <w:rStyle w:val="6"/>
          <w:rFonts w:hint="eastAsia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color w:val="000000"/>
          <w:sz w:val="32"/>
          <w:szCs w:val="32"/>
          <w:lang w:eastAsia="zh-CN"/>
        </w:rPr>
        <w:t>河北</w:t>
      </w:r>
      <w:r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雄安新区管理委员会公共服务局</w:t>
      </w:r>
      <w:r>
        <w:rPr>
          <w:rStyle w:val="6"/>
          <w:rFonts w:hint="eastAsia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 xml:space="preserve">    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3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C7ACC"/>
    <w:rsid w:val="640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560" w:lineRule="exact"/>
      <w:ind w:firstLine="420" w:firstLineChars="200"/>
      <w:jc w:val="both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one-p"/>
    <w:qFormat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2021-03-10T06:09:00Z</dcterms:created>
  <dc:creator>admin</dc:creator>
  <cp:lastModifiedBy>admin</cp:lastModifiedBy>
  <dcterms:modified xsi:type="dcterms:W3CDTF">2021-03-10T06:10:54Z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