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河北雄安新区中级人民法院2021年部门预算信息公开情况说明</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按照《预算法》《地方预决算公开操作规程》和《河北省省级预算公开办法》规定，现将河北雄安新区中级人民法院2021年部门预算公开如下：</w:t>
      </w:r>
    </w:p>
    <w:p>
      <w:pPr>
        <w:ind w:firstLine="64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 xml:space="preserve">部门职责： </w:t>
      </w:r>
    </w:p>
    <w:p>
      <w:pPr>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（一）依法审判法律规定由新区中级人民法院管辖的和其认为应当由自己审判的刑事、民事、行政的第一审案件。</w:t>
      </w:r>
    </w:p>
    <w:p>
      <w:pPr>
        <w:pStyle w:val="20"/>
        <w:ind w:firstLine="640"/>
        <w:rPr>
          <w:rFonts w:ascii="方正仿宋_GBK" w:hAnsi="Times New Roman" w:eastAsia="方正仿宋_GBK" w:cs="Times New Roman"/>
          <w:kern w:val="2"/>
          <w:sz w:val="32"/>
          <w:szCs w:val="32"/>
        </w:rPr>
      </w:pPr>
      <w:r>
        <w:rPr>
          <w:rFonts w:hint="eastAsia" w:ascii="方正仿宋_GBK" w:hAnsi="Times New Roman" w:eastAsia="方正仿宋_GBK" w:cs="Times New Roman"/>
          <w:kern w:val="2"/>
          <w:sz w:val="32"/>
          <w:szCs w:val="32"/>
        </w:rPr>
        <w:t xml:space="preserve">（二）依法审判法律规定由新区中级人民法院管辖的和其认为应当由自己审判的刑事、民事、行政等二审案件。     </w:t>
      </w:r>
    </w:p>
    <w:p>
      <w:pPr>
        <w:pStyle w:val="20"/>
        <w:ind w:firstLine="640"/>
        <w:rPr>
          <w:rFonts w:ascii="方正仿宋_GBK" w:hAnsi="Times New Roman" w:eastAsia="方正仿宋_GBK" w:cs="Times New Roman"/>
          <w:kern w:val="2"/>
          <w:sz w:val="32"/>
          <w:szCs w:val="32"/>
        </w:rPr>
      </w:pPr>
      <w:r>
        <w:rPr>
          <w:rFonts w:hint="eastAsia" w:ascii="方正仿宋_GBK" w:hAnsi="Times New Roman" w:eastAsia="方正仿宋_GBK" w:cs="Times New Roman"/>
          <w:kern w:val="2"/>
          <w:sz w:val="32"/>
          <w:szCs w:val="32"/>
        </w:rPr>
        <w:t xml:space="preserve">（三）受理不服基层人民法院生效裁判的各类申诉和再审申请，对其中确有错误的，依法审判或指令下级人民法院再审；办理减刑、假释案件。                                 </w:t>
      </w:r>
    </w:p>
    <w:p>
      <w:pPr>
        <w:pStyle w:val="20"/>
        <w:ind w:firstLine="640"/>
        <w:rPr>
          <w:rFonts w:ascii="方正仿宋_GBK" w:hAnsi="Times New Roman" w:eastAsia="方正仿宋_GBK" w:cs="Times New Roman"/>
          <w:kern w:val="2"/>
          <w:sz w:val="32"/>
          <w:szCs w:val="32"/>
        </w:rPr>
      </w:pPr>
      <w:r>
        <w:rPr>
          <w:rFonts w:hint="eastAsia" w:ascii="方正仿宋_GBK" w:hAnsi="Times New Roman" w:eastAsia="方正仿宋_GBK" w:cs="Times New Roman"/>
          <w:kern w:val="2"/>
          <w:sz w:val="32"/>
          <w:szCs w:val="32"/>
        </w:rPr>
        <w:t xml:space="preserve">（四）依法审判河北省人民检察院雄安新区分院按照审判监督程序提出的抗诉案件。                    </w:t>
      </w:r>
    </w:p>
    <w:p>
      <w:pPr>
        <w:pStyle w:val="20"/>
        <w:ind w:firstLine="640"/>
        <w:rPr>
          <w:rFonts w:ascii="方正仿宋_GBK" w:hAnsi="Times New Roman" w:eastAsia="方正仿宋_GBK" w:cs="Times New Roman"/>
          <w:kern w:val="2"/>
          <w:sz w:val="32"/>
          <w:szCs w:val="32"/>
        </w:rPr>
      </w:pPr>
      <w:r>
        <w:rPr>
          <w:rFonts w:hint="eastAsia" w:ascii="方正仿宋_GBK" w:hAnsi="Times New Roman" w:eastAsia="方正仿宋_GBK" w:cs="Times New Roman"/>
          <w:kern w:val="2"/>
          <w:sz w:val="32"/>
          <w:szCs w:val="32"/>
        </w:rPr>
        <w:t xml:space="preserve">（五）依法对基层人民法院行使指定管辖权。                         </w:t>
      </w:r>
    </w:p>
    <w:p>
      <w:pPr>
        <w:pStyle w:val="20"/>
        <w:ind w:firstLine="640"/>
        <w:rPr>
          <w:rFonts w:ascii="方正仿宋_GBK" w:hAnsi="Times New Roman" w:eastAsia="方正仿宋_GBK" w:cs="Times New Roman"/>
          <w:kern w:val="2"/>
          <w:sz w:val="32"/>
          <w:szCs w:val="32"/>
        </w:rPr>
      </w:pPr>
      <w:r>
        <w:rPr>
          <w:rFonts w:hint="eastAsia" w:ascii="方正仿宋_GBK" w:hAnsi="Times New Roman" w:eastAsia="方正仿宋_GBK" w:cs="Times New Roman"/>
          <w:kern w:val="2"/>
          <w:sz w:val="32"/>
          <w:szCs w:val="32"/>
        </w:rPr>
        <w:t xml:space="preserve">（六）监督、指导下级人民法院的审判工作。                      </w:t>
      </w:r>
    </w:p>
    <w:p>
      <w:pPr>
        <w:pStyle w:val="20"/>
        <w:ind w:firstLine="640"/>
        <w:rPr>
          <w:rFonts w:ascii="方正仿宋_GBK" w:hAnsi="Times New Roman" w:eastAsia="方正仿宋_GBK" w:cs="Times New Roman"/>
          <w:kern w:val="2"/>
          <w:sz w:val="32"/>
          <w:szCs w:val="32"/>
        </w:rPr>
      </w:pPr>
      <w:r>
        <w:rPr>
          <w:rFonts w:hint="eastAsia" w:ascii="方正仿宋_GBK" w:hAnsi="Times New Roman" w:eastAsia="方正仿宋_GBK" w:cs="Times New Roman"/>
          <w:kern w:val="2"/>
          <w:sz w:val="32"/>
          <w:szCs w:val="32"/>
        </w:rPr>
        <w:t xml:space="preserve">（七）依法办理发生法律效力的民事、行政案件判决和裁定的执行及刑事案件判决和裁定中有关财产部分的执行事项；办理法律规定由法院执行的其他法律文书的执行事项。                    </w:t>
      </w:r>
    </w:p>
    <w:p>
      <w:pPr>
        <w:pStyle w:val="20"/>
        <w:ind w:firstLine="640"/>
        <w:rPr>
          <w:rFonts w:hint="eastAsia" w:ascii="方正仿宋_GBK" w:hAnsi="Times New Roman" w:eastAsia="方正仿宋_GBK" w:cs="Times New Roman"/>
          <w:kern w:val="2"/>
          <w:sz w:val="32"/>
          <w:szCs w:val="32"/>
        </w:rPr>
      </w:pPr>
      <w:r>
        <w:rPr>
          <w:rFonts w:hint="eastAsia" w:ascii="方正仿宋_GBK" w:hAnsi="Times New Roman" w:eastAsia="方正仿宋_GBK" w:cs="Times New Roman"/>
          <w:kern w:val="2"/>
          <w:sz w:val="32"/>
          <w:szCs w:val="32"/>
        </w:rPr>
        <w:t>（八）依法行使司法决定权。</w:t>
      </w:r>
    </w:p>
    <w:p>
      <w:pPr>
        <w:pStyle w:val="20"/>
        <w:ind w:firstLine="640"/>
        <w:rPr>
          <w:rFonts w:ascii="方正仿宋_GBK" w:hAnsi="Times New Roman" w:eastAsia="方正仿宋_GBK" w:cs="Times New Roman"/>
          <w:kern w:val="2"/>
          <w:sz w:val="32"/>
          <w:szCs w:val="32"/>
        </w:rPr>
      </w:pPr>
      <w:r>
        <w:rPr>
          <w:rFonts w:hint="eastAsia" w:ascii="方正仿宋_GBK" w:hAnsi="Times New Roman" w:eastAsia="方正仿宋_GBK" w:cs="Times New Roman"/>
          <w:kern w:val="2"/>
          <w:sz w:val="32"/>
          <w:szCs w:val="32"/>
        </w:rPr>
        <w:t>（九）依法决定国家赔偿。</w:t>
      </w:r>
    </w:p>
    <w:p>
      <w:pPr>
        <w:pStyle w:val="20"/>
        <w:ind w:firstLine="640"/>
        <w:rPr>
          <w:rFonts w:ascii="方正仿宋_GBK" w:hAnsi="Times New Roman" w:eastAsia="方正仿宋_GBK" w:cs="Times New Roman"/>
          <w:kern w:val="2"/>
          <w:sz w:val="32"/>
          <w:szCs w:val="32"/>
        </w:rPr>
      </w:pPr>
      <w:r>
        <w:rPr>
          <w:rFonts w:hint="eastAsia" w:ascii="方正仿宋_GBK" w:hAnsi="Times New Roman" w:eastAsia="方正仿宋_GBK" w:cs="Times New Roman"/>
          <w:kern w:val="2"/>
          <w:sz w:val="32"/>
          <w:szCs w:val="32"/>
        </w:rPr>
        <w:t>（十）组织、指导基层人民法院办理司法协助事项。</w:t>
      </w:r>
    </w:p>
    <w:p>
      <w:pPr>
        <w:pStyle w:val="20"/>
        <w:ind w:firstLine="640"/>
        <w:rPr>
          <w:rFonts w:ascii="方正仿宋_GBK" w:hAnsi="Times New Roman" w:eastAsia="方正仿宋_GBK" w:cs="Times New Roman"/>
          <w:kern w:val="2"/>
          <w:sz w:val="32"/>
          <w:szCs w:val="32"/>
        </w:rPr>
      </w:pPr>
      <w:r>
        <w:rPr>
          <w:rFonts w:hint="eastAsia" w:ascii="方正仿宋_GBK" w:hAnsi="Times New Roman" w:eastAsia="方正仿宋_GBK" w:cs="Times New Roman"/>
          <w:kern w:val="2"/>
          <w:sz w:val="32"/>
          <w:szCs w:val="32"/>
        </w:rPr>
        <w:t>（十一）对规章等草案提出意见；针对案件审理中发现的问题提出司法建议；负责适用法律政策问题的请示、答复。</w:t>
      </w:r>
    </w:p>
    <w:p>
      <w:pPr>
        <w:pStyle w:val="20"/>
        <w:ind w:firstLine="640"/>
        <w:rPr>
          <w:rFonts w:ascii="方正仿宋_GBK" w:hAnsi="Times New Roman" w:eastAsia="方正仿宋_GBK" w:cs="Times New Roman"/>
          <w:kern w:val="2"/>
          <w:sz w:val="32"/>
          <w:szCs w:val="32"/>
        </w:rPr>
      </w:pPr>
      <w:r>
        <w:rPr>
          <w:rFonts w:hint="eastAsia" w:ascii="方正仿宋_GBK" w:hAnsi="Times New Roman" w:eastAsia="方正仿宋_GBK" w:cs="Times New Roman"/>
          <w:kern w:val="2"/>
          <w:sz w:val="32"/>
          <w:szCs w:val="32"/>
        </w:rPr>
        <w:t>（十二）对新区中级人民法院的法官和其他工作人员进行思想政治教育、组织培训；指导基层人民法院的思想政治工作和教育培训工作；按照权限管理法官和其他工作人员。</w:t>
      </w:r>
    </w:p>
    <w:p>
      <w:pPr>
        <w:pStyle w:val="20"/>
        <w:ind w:firstLine="640"/>
        <w:rPr>
          <w:rFonts w:ascii="方正仿宋_GBK" w:hAnsi="Times New Roman" w:eastAsia="方正仿宋_GBK" w:cs="Times New Roman"/>
          <w:kern w:val="2"/>
          <w:sz w:val="32"/>
          <w:szCs w:val="32"/>
        </w:rPr>
      </w:pPr>
      <w:r>
        <w:rPr>
          <w:rFonts w:hint="eastAsia" w:ascii="方正仿宋_GBK" w:hAnsi="Times New Roman" w:eastAsia="方正仿宋_GBK" w:cs="Times New Roman"/>
          <w:kern w:val="2"/>
          <w:sz w:val="32"/>
          <w:szCs w:val="32"/>
        </w:rPr>
        <w:t xml:space="preserve">（十三）管理人民法院的有关经费和物资装备。                                </w:t>
      </w:r>
    </w:p>
    <w:p>
      <w:pPr>
        <w:pStyle w:val="20"/>
        <w:ind w:firstLine="640"/>
        <w:rPr>
          <w:rFonts w:ascii="方正仿宋_GBK" w:hAnsi="Times New Roman" w:eastAsia="方正仿宋_GBK" w:cs="Times New Roman"/>
          <w:kern w:val="2"/>
          <w:sz w:val="32"/>
          <w:szCs w:val="32"/>
        </w:rPr>
      </w:pPr>
      <w:r>
        <w:rPr>
          <w:rFonts w:hint="eastAsia" w:ascii="方正仿宋_GBK" w:hAnsi="Times New Roman" w:eastAsia="方正仿宋_GBK" w:cs="Times New Roman"/>
          <w:kern w:val="2"/>
          <w:sz w:val="32"/>
          <w:szCs w:val="32"/>
        </w:rPr>
        <w:t xml:space="preserve">（十四）负责人民法院的司法技术鉴定、通讯、计算机等技术管理工作。                        </w:t>
      </w:r>
    </w:p>
    <w:p>
      <w:pPr>
        <w:pStyle w:val="20"/>
        <w:ind w:firstLine="640"/>
        <w:rPr>
          <w:rFonts w:ascii="方正仿宋_GBK" w:hAnsi="Times New Roman" w:eastAsia="方正仿宋_GBK" w:cs="Times New Roman"/>
          <w:kern w:val="2"/>
          <w:sz w:val="32"/>
          <w:szCs w:val="32"/>
        </w:rPr>
      </w:pPr>
      <w:r>
        <w:rPr>
          <w:rFonts w:hint="eastAsia" w:ascii="方正仿宋_GBK" w:hAnsi="Times New Roman" w:eastAsia="方正仿宋_GBK" w:cs="Times New Roman"/>
          <w:kern w:val="2"/>
          <w:sz w:val="32"/>
          <w:szCs w:val="32"/>
        </w:rPr>
        <w:t xml:space="preserve">（十五）在审判工作中宣传法制，教育公民忠于社会主义祖国，自觉遵守宪法、法律和社会公德。                          </w:t>
      </w:r>
    </w:p>
    <w:p>
      <w:pPr>
        <w:pStyle w:val="20"/>
        <w:ind w:firstLine="640"/>
        <w:rPr>
          <w:rFonts w:ascii="方正仿宋_GBK" w:hAnsi="Times New Roman" w:eastAsia="方正仿宋_GBK" w:cs="Times New Roman"/>
          <w:kern w:val="2"/>
          <w:sz w:val="32"/>
          <w:szCs w:val="32"/>
        </w:rPr>
      </w:pPr>
      <w:r>
        <w:rPr>
          <w:rFonts w:hint="eastAsia" w:ascii="方正仿宋_GBK" w:hAnsi="Times New Roman" w:eastAsia="方正仿宋_GBK" w:cs="Times New Roman"/>
          <w:kern w:val="2"/>
          <w:sz w:val="32"/>
          <w:szCs w:val="32"/>
        </w:rPr>
        <w:t>（十六）承办其他应由新区中级人民法院负责的工作。</w:t>
      </w:r>
    </w:p>
    <w:p>
      <w:pPr>
        <w:autoSpaceDE w:val="0"/>
        <w:autoSpaceDN w:val="0"/>
        <w:adjustRightInd w:val="0"/>
        <w:ind w:firstLine="640" w:firstLineChars="200"/>
        <w:jc w:val="left"/>
        <w:rPr>
          <w:rFonts w:ascii="Times New Roman" w:hAnsi="Times New Roman" w:eastAsia="方正仿宋_GBK" w:cs="Times New Roman"/>
          <w:b/>
          <w:sz w:val="32"/>
          <w:szCs w:val="32"/>
        </w:rPr>
      </w:pPr>
      <w:r>
        <w:rPr>
          <w:rFonts w:ascii="Times New Roman" w:hAnsi="Times New Roman" w:eastAsia="方正仿宋_GBK"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部门机构设置情况</w:t>
      </w:r>
    </w:p>
    <w:tbl>
      <w:tblPr>
        <w:tblStyle w:val="10"/>
        <w:tblW w:w="97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59"/>
        <w:gridCol w:w="1134"/>
        <w:gridCol w:w="1276"/>
        <w:gridCol w:w="30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359" w:type="dxa"/>
            <w:vMerge w:val="restart"/>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单位名称</w:t>
            </w:r>
          </w:p>
        </w:tc>
        <w:tc>
          <w:tcPr>
            <w:tcW w:w="1134" w:type="dxa"/>
            <w:vMerge w:val="restart"/>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单位性质</w:t>
            </w:r>
          </w:p>
        </w:tc>
        <w:tc>
          <w:tcPr>
            <w:tcW w:w="1276" w:type="dxa"/>
            <w:vMerge w:val="restart"/>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单位规格</w:t>
            </w:r>
          </w:p>
        </w:tc>
        <w:tc>
          <w:tcPr>
            <w:tcW w:w="3013" w:type="dxa"/>
            <w:vMerge w:val="restart"/>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359" w:type="dxa"/>
            <w:vMerge w:val="continue"/>
            <w:shd w:val="clear" w:color="auto" w:fill="auto"/>
            <w:vAlign w:val="center"/>
          </w:tcPr>
          <w:p>
            <w:pPr>
              <w:spacing w:line="300" w:lineRule="exact"/>
              <w:jc w:val="left"/>
              <w:outlineLvl w:val="0"/>
              <w:rPr>
                <w:rFonts w:ascii="Times New Roman" w:hAnsi="Times New Roman" w:cs="Times New Roman"/>
              </w:rPr>
            </w:pPr>
          </w:p>
        </w:tc>
        <w:tc>
          <w:tcPr>
            <w:tcW w:w="1134" w:type="dxa"/>
            <w:vMerge w:val="continue"/>
            <w:shd w:val="clear" w:color="auto" w:fill="auto"/>
            <w:vAlign w:val="center"/>
          </w:tcPr>
          <w:p>
            <w:pPr>
              <w:spacing w:line="300" w:lineRule="exact"/>
              <w:jc w:val="left"/>
              <w:outlineLvl w:val="0"/>
              <w:rPr>
                <w:rFonts w:ascii="Times New Roman" w:hAnsi="Times New Roman" w:cs="Times New Roman"/>
              </w:rPr>
            </w:pPr>
          </w:p>
        </w:tc>
        <w:tc>
          <w:tcPr>
            <w:tcW w:w="1276" w:type="dxa"/>
            <w:vMerge w:val="continue"/>
            <w:shd w:val="clear" w:color="auto" w:fill="auto"/>
            <w:vAlign w:val="center"/>
          </w:tcPr>
          <w:p>
            <w:pPr>
              <w:spacing w:line="300" w:lineRule="exact"/>
              <w:jc w:val="left"/>
              <w:outlineLvl w:val="0"/>
              <w:rPr>
                <w:rFonts w:ascii="Times New Roman" w:hAnsi="Times New Roman" w:cs="Times New Roman"/>
              </w:rPr>
            </w:pPr>
          </w:p>
        </w:tc>
        <w:tc>
          <w:tcPr>
            <w:tcW w:w="3013" w:type="dxa"/>
            <w:vMerge w:val="continue"/>
            <w:shd w:val="clear" w:color="auto" w:fill="auto"/>
            <w:vAlign w:val="center"/>
          </w:tcPr>
          <w:p>
            <w:pPr>
              <w:spacing w:line="300" w:lineRule="exact"/>
              <w:jc w:val="left"/>
              <w:outlineLvl w:val="0"/>
              <w:rPr>
                <w:rFonts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河北雄安新区中级人民法院</w:t>
            </w:r>
          </w:p>
        </w:tc>
        <w:tc>
          <w:tcPr>
            <w:tcW w:w="1134"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行政</w:t>
            </w:r>
          </w:p>
        </w:tc>
        <w:tc>
          <w:tcPr>
            <w:tcW w:w="1276"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副厅局级</w:t>
            </w:r>
          </w:p>
        </w:tc>
        <w:tc>
          <w:tcPr>
            <w:tcW w:w="3013"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财政拨款</w:t>
            </w:r>
          </w:p>
        </w:tc>
      </w:tr>
    </w:tbl>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按照预算管理有关规定，目前我省部门预算的编制实行综合预算管理，即全部收入和支出都反映在预算中。河北雄安新区中级人民法院机关及所属事业单位的收支包含在部门预算中。</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rPr>
        <w:t>收入说明</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反映本部门当年全部收入。2021年预算收入238.62万元，其中：一般公共预算收入238.62万元，基金预算收入0万元，财政专户核拨收入0万元，其他来源收入（单位资金）0万元。</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rPr>
        <w:t>支出说明</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收支预算总表支出栏、基本支出表、项目支出表按经济分类和支出功能分类科目编制，反映河北雄安新区中级人民法院年度部门预算中支出预算的总体情况。2021年支出预算238.62万元，其中基本支出238.62万元，包括人员经费130.49万元和日常公用经费108.13万元；项目支出0万元；其他支出0万元。</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rPr>
        <w:t>比上年增减情况</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2021年预算收支安排238.62万元，较2020年预算增加91.41万元，其中基本支出增加91.41万元，主要为增加人员经费95.53万元支出；公用经费减少4.12万元。</w:t>
      </w:r>
    </w:p>
    <w:p>
      <w:pPr>
        <w:autoSpaceDE w:val="0"/>
        <w:autoSpaceDN w:val="0"/>
        <w:adjustRightInd w:val="0"/>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2021年，我院运行经费共计安排108.13万元，主要用于日常维修、办公用房水电费、办公用房取暖费、办公用房物业管理费等日常运行支出。</w:t>
      </w:r>
    </w:p>
    <w:p>
      <w:pPr>
        <w:autoSpaceDE w:val="0"/>
        <w:autoSpaceDN w:val="0"/>
        <w:adjustRightInd w:val="0"/>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w:t>
      </w:r>
      <w:r>
        <w:rPr>
          <w:rFonts w:hint="eastAsia" w:ascii="Times New Roman" w:hAnsi="Times New Roman" w:eastAsia="黑体" w:cs="Times New Roman"/>
          <w:sz w:val="32"/>
          <w:szCs w:val="32"/>
          <w:lang w:eastAsia="zh-CN"/>
        </w:rPr>
        <w:t>“</w:t>
      </w:r>
      <w:r>
        <w:rPr>
          <w:rFonts w:ascii="Times New Roman" w:hAnsi="Times New Roman" w:eastAsia="黑体" w:cs="Times New Roman"/>
          <w:sz w:val="32"/>
          <w:szCs w:val="32"/>
        </w:rPr>
        <w:t>三公</w:t>
      </w:r>
      <w:r>
        <w:rPr>
          <w:rFonts w:hint="eastAsia" w:ascii="Times New Roman" w:hAnsi="Times New Roman" w:eastAsia="黑体" w:cs="Times New Roman"/>
          <w:sz w:val="32"/>
          <w:szCs w:val="32"/>
          <w:lang w:eastAsia="zh-CN"/>
        </w:rPr>
        <w:t>”</w:t>
      </w:r>
      <w:r>
        <w:rPr>
          <w:rFonts w:ascii="Times New Roman" w:hAnsi="Times New Roman" w:eastAsia="黑体" w:cs="Times New Roman"/>
          <w:sz w:val="32"/>
          <w:szCs w:val="32"/>
        </w:rPr>
        <w:t>经费预算情况及增减变化原因</w:t>
      </w:r>
    </w:p>
    <w:p>
      <w:pPr>
        <w:autoSpaceDE w:val="0"/>
        <w:autoSpaceDN w:val="0"/>
        <w:adjustRightInd w:val="0"/>
        <w:ind w:left="198" w:firstLine="640" w:firstLineChars="200"/>
        <w:jc w:val="left"/>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2021年，我厅财政拨款</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三公</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经费预算安排0万元，其中因公出国（境）费0万元；公务用车购置及运维费0万元（其中：公务用车购置费为0万元，公务用车运维费0万元)；公务接待费0万元。与2020年相比持平，无增减变化</w:t>
      </w:r>
      <w:r>
        <w:rPr>
          <w:rFonts w:hint="eastAsia" w:ascii="Times New Roman" w:hAnsi="Times New Roman" w:eastAsia="方正仿宋_GBK" w:cs="Times New Roman"/>
          <w:sz w:val="32"/>
          <w:szCs w:val="32"/>
          <w:lang w:eastAsia="zh-CN"/>
        </w:rPr>
        <w:t>。</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ind w:firstLine="640" w:firstLineChars="200"/>
        <w:jc w:val="left"/>
        <w:rPr>
          <w:rFonts w:ascii="Times New Roman" w:hAnsi="Times New Roman" w:eastAsia="方正仿宋_GBK" w:cs="Times New Roman"/>
          <w:b/>
          <w:sz w:val="32"/>
          <w:szCs w:val="32"/>
        </w:rPr>
      </w:pPr>
      <w:bookmarkStart w:id="0" w:name="_Toc471398463"/>
      <w:r>
        <w:rPr>
          <w:rFonts w:ascii="Times New Roman" w:hAnsi="Times New Roman" w:eastAsia="方正仿宋_GBK" w:cs="Times New Roman"/>
          <w:b/>
          <w:sz w:val="32"/>
          <w:szCs w:val="32"/>
        </w:rPr>
        <w:t>第一部分</w:t>
      </w:r>
      <w:r>
        <w:rPr>
          <w:rFonts w:hint="eastAsia" w:ascii="Times New Roman" w:hAnsi="Times New Roman" w:eastAsia="方正仿宋_GBK" w:cs="Times New Roman"/>
          <w:b/>
          <w:sz w:val="32"/>
          <w:szCs w:val="32"/>
          <w:lang w:val="en-US" w:eastAsia="zh-CN"/>
        </w:rPr>
        <w:t xml:space="preserve"> </w:t>
      </w:r>
      <w:r>
        <w:rPr>
          <w:rFonts w:ascii="Times New Roman" w:hAnsi="Times New Roman" w:eastAsia="方正仿宋_GBK" w:cs="Times New Roman"/>
          <w:b/>
          <w:sz w:val="32"/>
          <w:szCs w:val="32"/>
        </w:rPr>
        <w:t>部门整体绩效目标</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（一）总体绩效目标</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以习近平新时代中国特色社会主义思想为指导，紧紧围绕</w:t>
      </w:r>
      <w:r>
        <w:rPr>
          <w:rFonts w:hint="eastAsia" w:ascii="Times New Roman" w:hAnsi="Times New Roman" w:eastAsia="方正仿宋_GBK" w:cs="Times New Roman"/>
          <w:kern w:val="0"/>
          <w:sz w:val="32"/>
          <w:szCs w:val="32"/>
          <w:lang w:eastAsia="zh-CN"/>
        </w:rPr>
        <w:t>“</w:t>
      </w:r>
      <w:r>
        <w:rPr>
          <w:rFonts w:ascii="Times New Roman" w:hAnsi="Times New Roman" w:eastAsia="方正仿宋_GBK" w:cs="Times New Roman"/>
          <w:kern w:val="0"/>
          <w:sz w:val="32"/>
          <w:szCs w:val="32"/>
        </w:rPr>
        <w:t>努力让人民群众在每一个司法案件中感受到公平正义</w:t>
      </w:r>
      <w:r>
        <w:rPr>
          <w:rFonts w:hint="eastAsia" w:ascii="Times New Roman" w:hAnsi="Times New Roman" w:eastAsia="方正仿宋_GBK" w:cs="Times New Roman"/>
          <w:kern w:val="0"/>
          <w:sz w:val="32"/>
          <w:szCs w:val="32"/>
          <w:lang w:eastAsia="zh-CN"/>
        </w:rPr>
        <w:t>”</w:t>
      </w:r>
      <w:r>
        <w:rPr>
          <w:rFonts w:ascii="Times New Roman" w:hAnsi="Times New Roman" w:eastAsia="方正仿宋_GBK" w:cs="Times New Roman"/>
          <w:kern w:val="0"/>
          <w:sz w:val="32"/>
          <w:szCs w:val="32"/>
        </w:rPr>
        <w:t>的目标，充分发挥人民法院在国家治理体系和治理能力现代化中的职能作用，在狠抓执法办案上有新作为，在维护国家政治安全和社会稳定上有新作为，在依法服务保障大局上有新作为，在加强民生司法保障上有新作为，在司法改革和智慧法院建设上有新作为，重点在深入推进产权司法保护、一站式建设、一乡一法庭建设、执行长效机制建设工作上更加有力，为新时代建设经济强省美丽河北提供坚强有力的司法服务和保障。</w:t>
      </w:r>
    </w:p>
    <w:p>
      <w:pPr>
        <w:ind w:firstLine="480" w:firstLineChars="150"/>
        <w:rPr>
          <w:rFonts w:ascii="Times New Roman" w:hAnsi="Times New Roman" w:eastAsia="方正仿宋_GBK" w:cs="Times New Roman"/>
          <w:sz w:val="32"/>
          <w:szCs w:val="32"/>
        </w:rPr>
      </w:pPr>
      <w:r>
        <w:rPr>
          <w:rFonts w:ascii="Times New Roman" w:hAnsi="Times New Roman" w:eastAsia="方正仿宋_GBK" w:cs="Times New Roman"/>
          <w:sz w:val="32"/>
          <w:szCs w:val="32"/>
        </w:rPr>
        <w:t>（二）分项绩效目标</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1.大力推进一站式建设</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绩效目标：深化立案登记制改革，切实做到</w:t>
      </w:r>
      <w:r>
        <w:rPr>
          <w:rFonts w:hint="eastAsia" w:ascii="Times New Roman" w:hAnsi="Times New Roman" w:eastAsia="方正仿宋_GBK" w:cs="Times New Roman"/>
          <w:kern w:val="0"/>
          <w:sz w:val="32"/>
          <w:szCs w:val="32"/>
          <w:lang w:eastAsia="zh-CN"/>
        </w:rPr>
        <w:t>“</w:t>
      </w:r>
      <w:r>
        <w:rPr>
          <w:rFonts w:ascii="Times New Roman" w:hAnsi="Times New Roman" w:eastAsia="方正仿宋_GBK" w:cs="Times New Roman"/>
          <w:kern w:val="0"/>
          <w:sz w:val="32"/>
          <w:szCs w:val="32"/>
        </w:rPr>
        <w:t>有事必登、有诉必理、有案必立</w:t>
      </w:r>
      <w:r>
        <w:rPr>
          <w:rFonts w:hint="eastAsia" w:ascii="Times New Roman" w:hAnsi="Times New Roman" w:eastAsia="方正仿宋_GBK" w:cs="Times New Roman"/>
          <w:kern w:val="0"/>
          <w:sz w:val="32"/>
          <w:szCs w:val="32"/>
          <w:lang w:eastAsia="zh-CN"/>
        </w:rPr>
        <w:t>”</w:t>
      </w:r>
      <w:r>
        <w:rPr>
          <w:rFonts w:ascii="Times New Roman" w:hAnsi="Times New Roman" w:eastAsia="方正仿宋_GBK" w:cs="Times New Roman"/>
          <w:kern w:val="0"/>
          <w:sz w:val="32"/>
          <w:szCs w:val="32"/>
        </w:rPr>
        <w:t>。打造一站式诉讼服务中心，普遍推行网上立案、跨域立案，推行跨层级立案，方便当事人就近能立、多点可立、少跑快立。建立集约送达、保全、鉴定机制，使用全国法院统一送达平台，优化便民利民措施。打造一站式多元解纷机制，联合有关部门机构出台多元解纷文件，完善调解组织与调解人员名册。</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绩效指标：一审民商事纠纷案件登记率达到100%，跨域立案省内全覆盖。</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2.各类案件审理更加高质高效</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绩效目标：充分发挥审判职能作用，妥善处理好刑事、民商事、行政审判等各类案件，完善审判质效评估体系，促进审判质效提高、健全司法权力运行机制、提升司法公信力。</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绩效指标：年度审结案件数量占全部审判案件之比稳定在85%以上、在法律规定的期限内审结案件数量占年度审结案件数量之比在95%以上、办案系统中案件信息录入率稳定在90%以上。</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3.实现执行工作高效规范开展</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绩效目标：巩固和深化基本解决执行难成果，健全解决执行难长效机制，强化执行工作统一管理、统一协调、统一指挥，推进执行工作规范化管理，进一步完善失信联合惩戒机制，实现具有行政审批职能部门联合惩戒全覆盖。加大各类案件特别是涉民生类、拖欠农民工工资等案件的督导力度，向切实解决执行难目标迈进。</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绩效目标：法定期限内结案率达到90%，总体结案率达到80%，执行信访办结率达到90%。</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4.队伍素质和执法能力稳步提升</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绩效目标：健全人员分类管理制度，完善员额动态管理，完善审判辅助人员招录和管理制度，着力加强司法政务队伍建设，大力推进司法警察改革工作，全面落实从优待警各项政策，完善司法人员职业发展制度、激励关怀机制、履职保障机制，加大司法人员依法履职保护力度，更好保障司法人员职业尊严、荣誉和安全。</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绩效指标：加强党建阵地建设，重点培训党的理论教育和党性教育课程不低于总课时的20%。</w:t>
      </w:r>
    </w:p>
    <w:p>
      <w:pPr>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（三）工作保障措施</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1.完善制度建设。认真研究制定《预算编制和执行管理办法》。</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2.强化预算执行。每月初组织召开由主管财务副院长和有关庭处室一把手参加的支出进度调度会，通报情况分析问题，确保预算执行进度。</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3.加强内部监督。完善内部监督制度，加强内部审计工作，并配合做好审计、财政监督等外部监督工作，做好各项审计整改工作，确保财政资金安全有效。</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2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4.加强宣传培训。组织开展多轮次、多角度的业务培训，使全院干警牢固树立绩效理念，及时总结绩效管理成效，营造良好的舆论氛围。积极采取购买服务等方式，利用专业机构、高等院校力量开展工作，提升预算绩效管理科学水平。</w:t>
      </w:r>
    </w:p>
    <w:p>
      <w:pPr>
        <w:rPr>
          <w:rFonts w:ascii="Times New Roman" w:hAnsi="Times New Roman" w:eastAsia="方正仿宋_GBK" w:cs="Times New Roman"/>
          <w:sz w:val="32"/>
          <w:szCs w:val="32"/>
        </w:rPr>
      </w:pPr>
    </w:p>
    <w:p>
      <w:pPr>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第二部分</w:t>
      </w:r>
      <w:r>
        <w:rPr>
          <w:rFonts w:hint="eastAsia" w:ascii="Times New Roman" w:hAnsi="Times New Roman" w:eastAsia="方正仿宋_GBK" w:cs="Times New Roman"/>
          <w:b/>
          <w:sz w:val="32"/>
          <w:szCs w:val="32"/>
          <w:lang w:val="en-US" w:eastAsia="zh-CN"/>
        </w:rPr>
        <w:t xml:space="preserve"> </w:t>
      </w:r>
      <w:r>
        <w:rPr>
          <w:rFonts w:ascii="Times New Roman" w:hAnsi="Times New Roman" w:eastAsia="方正仿宋_GBK" w:cs="Times New Roman"/>
          <w:b/>
          <w:sz w:val="32"/>
          <w:szCs w:val="32"/>
        </w:rPr>
        <w:t xml:space="preserve">专项资金绩效目标： </w:t>
      </w:r>
    </w:p>
    <w:p>
      <w:pPr>
        <w:ind w:firstLine="640" w:firstLineChars="200"/>
        <w:jc w:val="left"/>
        <w:outlineLvl w:val="1"/>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rPr>
        <w:t>专项资金绩效目标表</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shd w:val="clear" w:color="auto" w:fill="auto"/>
            <w:vAlign w:val="center"/>
          </w:tcPr>
          <w:p>
            <w:pPr>
              <w:spacing w:line="300" w:lineRule="exact"/>
              <w:jc w:val="left"/>
              <w:rPr>
                <w:rFonts w:ascii="Times New Roman" w:hAnsi="Times New Roman" w:eastAsia="方正书宋_GBK" w:cs="Times New Roman"/>
              </w:rPr>
            </w:pPr>
          </w:p>
        </w:tc>
      </w:tr>
    </w:tbl>
    <w:p>
      <w:pPr>
        <w:spacing w:line="14" w:lineRule="exact"/>
        <w:ind w:firstLine="420" w:firstLineChars="200"/>
        <w:jc w:val="center"/>
        <w:rPr>
          <w:rFonts w:ascii="Times New Roman" w:hAnsi="Times New Roman" w:cs="Times New Roman"/>
        </w:rPr>
      </w:pP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2891" w:type="dxa"/>
            <w:shd w:val="clear" w:color="auto" w:fill="auto"/>
            <w:vAlign w:val="center"/>
          </w:tcPr>
          <w:p>
            <w:pPr>
              <w:spacing w:line="300" w:lineRule="exact"/>
              <w:jc w:val="left"/>
              <w:rPr>
                <w:rFonts w:ascii="Times New Roman" w:hAnsi="Times New Roman" w:eastAsia="方正书宋_GBK" w:cs="Times New Roman"/>
              </w:rPr>
            </w:pP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1701" w:type="dxa"/>
            <w:shd w:val="clear" w:color="auto" w:fill="auto"/>
            <w:vAlign w:val="center"/>
          </w:tcPr>
          <w:p>
            <w:pPr>
              <w:spacing w:line="300" w:lineRule="exact"/>
              <w:jc w:val="lef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Times New Roman" w:hAnsi="Times New Roman" w:eastAsia="方正书宋_GBK" w:cs="Times New Roman"/>
              </w:rPr>
            </w:pPr>
          </w:p>
        </w:tc>
        <w:tc>
          <w:tcPr>
            <w:tcW w:w="113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2891" w:type="dxa"/>
            <w:shd w:val="clear" w:color="auto" w:fill="auto"/>
            <w:vAlign w:val="center"/>
          </w:tcPr>
          <w:p>
            <w:pPr>
              <w:spacing w:line="300" w:lineRule="exact"/>
              <w:jc w:val="left"/>
              <w:rPr>
                <w:rFonts w:ascii="Times New Roman" w:hAnsi="Times New Roman" w:eastAsia="方正书宋_GBK" w:cs="Times New Roman"/>
              </w:rPr>
            </w:pP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1701" w:type="dxa"/>
            <w:shd w:val="clear" w:color="auto" w:fill="auto"/>
            <w:vAlign w:val="center"/>
          </w:tcPr>
          <w:p>
            <w:pPr>
              <w:spacing w:line="300" w:lineRule="exact"/>
              <w:jc w:val="lef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Times New Roman" w:hAnsi="Times New Roman" w:eastAsia="方正书宋_GBK" w:cs="Times New Roman"/>
              </w:rPr>
            </w:pPr>
          </w:p>
        </w:tc>
        <w:tc>
          <w:tcPr>
            <w:tcW w:w="113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2891" w:type="dxa"/>
            <w:shd w:val="clear" w:color="auto" w:fill="auto"/>
            <w:vAlign w:val="center"/>
          </w:tcPr>
          <w:p>
            <w:pPr>
              <w:spacing w:line="300" w:lineRule="exact"/>
              <w:jc w:val="left"/>
              <w:rPr>
                <w:rFonts w:ascii="Times New Roman" w:hAnsi="Times New Roman" w:eastAsia="方正书宋_GBK" w:cs="Times New Roman"/>
              </w:rPr>
            </w:pP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1701" w:type="dxa"/>
            <w:shd w:val="clear" w:color="auto" w:fill="auto"/>
            <w:vAlign w:val="center"/>
          </w:tcPr>
          <w:p>
            <w:pPr>
              <w:spacing w:line="300" w:lineRule="exact"/>
              <w:jc w:val="lef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Times New Roman" w:hAnsi="Times New Roman" w:eastAsia="方正书宋_GBK" w:cs="Times New Roman"/>
              </w:rPr>
            </w:pPr>
          </w:p>
        </w:tc>
        <w:tc>
          <w:tcPr>
            <w:tcW w:w="113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2891" w:type="dxa"/>
            <w:shd w:val="clear" w:color="auto" w:fill="auto"/>
            <w:vAlign w:val="center"/>
          </w:tcPr>
          <w:p>
            <w:pPr>
              <w:spacing w:line="300" w:lineRule="exact"/>
              <w:jc w:val="left"/>
              <w:rPr>
                <w:rFonts w:ascii="Times New Roman" w:hAnsi="Times New Roman" w:eastAsia="方正书宋_GBK" w:cs="Times New Roman"/>
              </w:rPr>
            </w:pP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1701" w:type="dxa"/>
            <w:shd w:val="clear" w:color="auto" w:fill="auto"/>
            <w:vAlign w:val="center"/>
          </w:tcPr>
          <w:p>
            <w:pPr>
              <w:spacing w:line="300" w:lineRule="exact"/>
              <w:jc w:val="lef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效果指标</w:t>
            </w:r>
          </w:p>
        </w:tc>
        <w:tc>
          <w:tcPr>
            <w:tcW w:w="113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经济效益指标</w:t>
            </w: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2891" w:type="dxa"/>
            <w:shd w:val="clear" w:color="auto" w:fill="auto"/>
            <w:vAlign w:val="center"/>
          </w:tcPr>
          <w:p>
            <w:pPr>
              <w:spacing w:line="300" w:lineRule="exact"/>
              <w:jc w:val="left"/>
              <w:rPr>
                <w:rFonts w:ascii="Times New Roman" w:hAnsi="Times New Roman" w:eastAsia="方正书宋_GBK" w:cs="Times New Roman"/>
              </w:rPr>
            </w:pP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1701" w:type="dxa"/>
            <w:shd w:val="clear" w:color="auto" w:fill="auto"/>
            <w:vAlign w:val="center"/>
          </w:tcPr>
          <w:p>
            <w:pPr>
              <w:spacing w:line="300" w:lineRule="exact"/>
              <w:jc w:val="lef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Times New Roman" w:hAnsi="Times New Roman" w:eastAsia="方正书宋_GBK" w:cs="Times New Roman"/>
              </w:rPr>
            </w:pPr>
          </w:p>
        </w:tc>
        <w:tc>
          <w:tcPr>
            <w:tcW w:w="113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2891" w:type="dxa"/>
            <w:shd w:val="clear" w:color="auto" w:fill="auto"/>
            <w:vAlign w:val="center"/>
          </w:tcPr>
          <w:p>
            <w:pPr>
              <w:spacing w:line="300" w:lineRule="exact"/>
              <w:jc w:val="left"/>
              <w:rPr>
                <w:rFonts w:ascii="Times New Roman" w:hAnsi="Times New Roman" w:eastAsia="方正书宋_GBK" w:cs="Times New Roman"/>
              </w:rPr>
            </w:pP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1701" w:type="dxa"/>
            <w:shd w:val="clear" w:color="auto" w:fill="auto"/>
            <w:vAlign w:val="center"/>
          </w:tcPr>
          <w:p>
            <w:pPr>
              <w:spacing w:line="300" w:lineRule="exact"/>
              <w:jc w:val="lef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Times New Roman" w:hAnsi="Times New Roman" w:eastAsia="方正书宋_GBK" w:cs="Times New Roman"/>
              </w:rPr>
            </w:pPr>
          </w:p>
        </w:tc>
        <w:tc>
          <w:tcPr>
            <w:tcW w:w="113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生态效益指标</w:t>
            </w: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2891" w:type="dxa"/>
            <w:shd w:val="clear" w:color="auto" w:fill="auto"/>
            <w:vAlign w:val="center"/>
          </w:tcPr>
          <w:p>
            <w:pPr>
              <w:spacing w:line="300" w:lineRule="exact"/>
              <w:jc w:val="left"/>
              <w:rPr>
                <w:rFonts w:ascii="Times New Roman" w:hAnsi="Times New Roman" w:eastAsia="方正书宋_GBK" w:cs="Times New Roman"/>
              </w:rPr>
            </w:pP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1701" w:type="dxa"/>
            <w:shd w:val="clear" w:color="auto" w:fill="auto"/>
            <w:vAlign w:val="center"/>
          </w:tcPr>
          <w:p>
            <w:pPr>
              <w:spacing w:line="300" w:lineRule="exact"/>
              <w:jc w:val="lef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Times New Roman" w:hAnsi="Times New Roman" w:eastAsia="方正书宋_GBK" w:cs="Times New Roman"/>
              </w:rPr>
            </w:pPr>
          </w:p>
        </w:tc>
        <w:tc>
          <w:tcPr>
            <w:tcW w:w="113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可持续性影响指标</w:t>
            </w: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2891" w:type="dxa"/>
            <w:shd w:val="clear" w:color="auto" w:fill="auto"/>
            <w:vAlign w:val="center"/>
          </w:tcPr>
          <w:p>
            <w:pPr>
              <w:spacing w:line="300" w:lineRule="exact"/>
              <w:jc w:val="left"/>
              <w:rPr>
                <w:rFonts w:ascii="Times New Roman" w:hAnsi="Times New Roman" w:eastAsia="方正书宋_GBK" w:cs="Times New Roman"/>
              </w:rPr>
            </w:pP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1701" w:type="dxa"/>
            <w:shd w:val="clear" w:color="auto" w:fill="auto"/>
            <w:vAlign w:val="center"/>
          </w:tcPr>
          <w:p>
            <w:pPr>
              <w:spacing w:line="300" w:lineRule="exact"/>
              <w:jc w:val="lef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2891" w:type="dxa"/>
            <w:shd w:val="clear" w:color="auto" w:fill="auto"/>
            <w:vAlign w:val="center"/>
          </w:tcPr>
          <w:p>
            <w:pPr>
              <w:spacing w:line="300" w:lineRule="exact"/>
              <w:jc w:val="left"/>
              <w:rPr>
                <w:rFonts w:ascii="Times New Roman" w:hAnsi="Times New Roman" w:eastAsia="方正书宋_GBK" w:cs="Times New Roman"/>
              </w:rPr>
            </w:pP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1701" w:type="dxa"/>
            <w:shd w:val="clear" w:color="auto" w:fill="auto"/>
            <w:vAlign w:val="center"/>
          </w:tcPr>
          <w:p>
            <w:pPr>
              <w:spacing w:line="300" w:lineRule="exact"/>
              <w:jc w:val="left"/>
              <w:rPr>
                <w:rFonts w:ascii="Times New Roman" w:hAnsi="Times New Roman" w:eastAsia="方正书宋_GBK" w:cs="Times New Roman"/>
              </w:rPr>
            </w:pPr>
          </w:p>
        </w:tc>
      </w:tr>
    </w:tbl>
    <w:p>
      <w:pPr>
        <w:ind w:firstLine="560"/>
        <w:rPr>
          <w:rFonts w:ascii="Times New Roman" w:hAnsi="Times New Roman" w:eastAsia="方正仿宋_GBK" w:cs="Times New Roman"/>
          <w:b/>
          <w:sz w:val="32"/>
          <w:szCs w:val="32"/>
        </w:rPr>
      </w:pPr>
      <w:r>
        <w:rPr>
          <w:rFonts w:ascii="Times New Roman" w:hAnsi="Times New Roman" w:eastAsia="仿宋_GB2312" w:cs="Times New Roman"/>
          <w:b/>
          <w:sz w:val="32"/>
          <w:szCs w:val="32"/>
        </w:rPr>
        <w:t xml:space="preserve">              </w:t>
      </w:r>
      <w:r>
        <w:rPr>
          <w:rFonts w:ascii="Times New Roman" w:hAnsi="Times New Roman" w:eastAsia="方正仿宋_GBK" w:cs="Times New Roman"/>
          <w:b/>
          <w:sz w:val="32"/>
          <w:szCs w:val="32"/>
        </w:rPr>
        <w:t xml:space="preserve">   </w:t>
      </w:r>
      <w:r>
        <w:rPr>
          <w:rFonts w:ascii="Times New Roman" w:hAnsi="Times New Roman" w:eastAsia="方正仿宋_GBK" w:cs="Times New Roman"/>
          <w:kern w:val="0"/>
          <w:sz w:val="32"/>
          <w:szCs w:val="32"/>
        </w:rPr>
        <w:t>（注：无专项资金，空表列示）</w:t>
      </w:r>
    </w:p>
    <w:p>
      <w:pPr>
        <w:ind w:firstLine="56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第三部分</w:t>
      </w:r>
      <w:r>
        <w:rPr>
          <w:rFonts w:hint="eastAsia" w:ascii="Times New Roman" w:hAnsi="Times New Roman" w:eastAsia="方正仿宋_GBK" w:cs="Times New Roman"/>
          <w:b/>
          <w:sz w:val="32"/>
          <w:szCs w:val="32"/>
          <w:lang w:val="en-US" w:eastAsia="zh-CN"/>
        </w:rPr>
        <w:t xml:space="preserve"> </w:t>
      </w:r>
      <w:r>
        <w:rPr>
          <w:rFonts w:ascii="Times New Roman" w:hAnsi="Times New Roman" w:eastAsia="方正仿宋_GBK" w:cs="Times New Roman"/>
          <w:b/>
          <w:sz w:val="32"/>
          <w:szCs w:val="32"/>
        </w:rPr>
        <w:t xml:space="preserve">预算项目绩效目标： </w:t>
      </w:r>
    </w:p>
    <w:p>
      <w:pPr>
        <w:ind w:firstLine="560"/>
        <w:rPr>
          <w:rFonts w:ascii="Times New Roman" w:hAnsi="Times New Roman" w:eastAsia="方正仿宋_GBK" w:cs="Times New Roman"/>
          <w:sz w:val="32"/>
          <w:szCs w:val="32"/>
        </w:rPr>
      </w:pPr>
    </w:p>
    <w:p>
      <w:pPr>
        <w:ind w:firstLine="560"/>
        <w:rPr>
          <w:rFonts w:ascii="Times New Roman" w:hAnsi="Times New Roman" w:eastAsia="方正仿宋_GBK" w:cs="Times New Roman"/>
          <w:b/>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b/>
          <w:sz w:val="32"/>
          <w:szCs w:val="32"/>
        </w:rPr>
        <w:t>项目绩效目标表</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shd w:val="clear" w:color="auto" w:fill="auto"/>
            <w:vAlign w:val="center"/>
          </w:tcPr>
          <w:p>
            <w:pPr>
              <w:spacing w:line="300" w:lineRule="exact"/>
              <w:jc w:val="left"/>
              <w:rPr>
                <w:rFonts w:ascii="Times New Roman" w:hAnsi="Times New Roman" w:eastAsia="方正书宋_GBK" w:cs="Times New Roman"/>
              </w:rPr>
            </w:pPr>
          </w:p>
        </w:tc>
      </w:tr>
    </w:tbl>
    <w:p>
      <w:pPr>
        <w:spacing w:line="14" w:lineRule="exact"/>
        <w:ind w:firstLine="420" w:firstLineChars="200"/>
        <w:jc w:val="center"/>
        <w:rPr>
          <w:rFonts w:ascii="Times New Roman" w:hAnsi="Times New Roman" w:cs="Times New Roman"/>
        </w:rPr>
      </w:pP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2891" w:type="dxa"/>
            <w:shd w:val="clear" w:color="auto" w:fill="auto"/>
            <w:vAlign w:val="center"/>
          </w:tcPr>
          <w:p>
            <w:pPr>
              <w:spacing w:line="300" w:lineRule="exact"/>
              <w:jc w:val="left"/>
              <w:rPr>
                <w:rFonts w:ascii="Times New Roman" w:hAnsi="Times New Roman" w:eastAsia="方正书宋_GBK" w:cs="Times New Roman"/>
              </w:rPr>
            </w:pP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1701" w:type="dxa"/>
            <w:shd w:val="clear" w:color="auto" w:fill="auto"/>
            <w:vAlign w:val="center"/>
          </w:tcPr>
          <w:p>
            <w:pPr>
              <w:spacing w:line="300" w:lineRule="exact"/>
              <w:jc w:val="lef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Times New Roman" w:hAnsi="Times New Roman" w:eastAsia="方正书宋_GBK" w:cs="Times New Roman"/>
              </w:rPr>
            </w:pPr>
          </w:p>
        </w:tc>
        <w:tc>
          <w:tcPr>
            <w:tcW w:w="113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2891" w:type="dxa"/>
            <w:shd w:val="clear" w:color="auto" w:fill="auto"/>
            <w:vAlign w:val="center"/>
          </w:tcPr>
          <w:p>
            <w:pPr>
              <w:spacing w:line="300" w:lineRule="exact"/>
              <w:jc w:val="left"/>
              <w:rPr>
                <w:rFonts w:ascii="Times New Roman" w:hAnsi="Times New Roman" w:eastAsia="方正书宋_GBK" w:cs="Times New Roman"/>
              </w:rPr>
            </w:pP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1701" w:type="dxa"/>
            <w:shd w:val="clear" w:color="auto" w:fill="auto"/>
            <w:vAlign w:val="center"/>
          </w:tcPr>
          <w:p>
            <w:pPr>
              <w:spacing w:line="300" w:lineRule="exact"/>
              <w:jc w:val="lef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Times New Roman" w:hAnsi="Times New Roman" w:eastAsia="方正书宋_GBK" w:cs="Times New Roman"/>
              </w:rPr>
            </w:pPr>
          </w:p>
        </w:tc>
        <w:tc>
          <w:tcPr>
            <w:tcW w:w="113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2891" w:type="dxa"/>
            <w:shd w:val="clear" w:color="auto" w:fill="auto"/>
            <w:vAlign w:val="center"/>
          </w:tcPr>
          <w:p>
            <w:pPr>
              <w:spacing w:line="300" w:lineRule="exact"/>
              <w:jc w:val="left"/>
              <w:rPr>
                <w:rFonts w:ascii="Times New Roman" w:hAnsi="Times New Roman" w:eastAsia="方正书宋_GBK" w:cs="Times New Roman"/>
              </w:rPr>
            </w:pP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1701" w:type="dxa"/>
            <w:shd w:val="clear" w:color="auto" w:fill="auto"/>
            <w:vAlign w:val="center"/>
          </w:tcPr>
          <w:p>
            <w:pPr>
              <w:spacing w:line="300" w:lineRule="exact"/>
              <w:jc w:val="lef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Times New Roman" w:hAnsi="Times New Roman" w:eastAsia="方正书宋_GBK" w:cs="Times New Roman"/>
              </w:rPr>
            </w:pPr>
          </w:p>
        </w:tc>
        <w:tc>
          <w:tcPr>
            <w:tcW w:w="113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2891" w:type="dxa"/>
            <w:shd w:val="clear" w:color="auto" w:fill="auto"/>
            <w:vAlign w:val="center"/>
          </w:tcPr>
          <w:p>
            <w:pPr>
              <w:spacing w:line="300" w:lineRule="exact"/>
              <w:jc w:val="left"/>
              <w:rPr>
                <w:rFonts w:ascii="Times New Roman" w:hAnsi="Times New Roman" w:eastAsia="方正书宋_GBK" w:cs="Times New Roman"/>
              </w:rPr>
            </w:pP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1701" w:type="dxa"/>
            <w:shd w:val="clear" w:color="auto" w:fill="auto"/>
            <w:vAlign w:val="center"/>
          </w:tcPr>
          <w:p>
            <w:pPr>
              <w:spacing w:line="300" w:lineRule="exact"/>
              <w:jc w:val="lef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效果指标</w:t>
            </w:r>
          </w:p>
        </w:tc>
        <w:tc>
          <w:tcPr>
            <w:tcW w:w="113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经济效益指标</w:t>
            </w: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2891" w:type="dxa"/>
            <w:shd w:val="clear" w:color="auto" w:fill="auto"/>
            <w:vAlign w:val="center"/>
          </w:tcPr>
          <w:p>
            <w:pPr>
              <w:spacing w:line="300" w:lineRule="exact"/>
              <w:jc w:val="left"/>
              <w:rPr>
                <w:rFonts w:ascii="Times New Roman" w:hAnsi="Times New Roman" w:eastAsia="方正书宋_GBK" w:cs="Times New Roman"/>
              </w:rPr>
            </w:pP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1701" w:type="dxa"/>
            <w:shd w:val="clear" w:color="auto" w:fill="auto"/>
            <w:vAlign w:val="center"/>
          </w:tcPr>
          <w:p>
            <w:pPr>
              <w:spacing w:line="300" w:lineRule="exact"/>
              <w:jc w:val="lef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Times New Roman" w:hAnsi="Times New Roman" w:eastAsia="方正书宋_GBK" w:cs="Times New Roman"/>
              </w:rPr>
            </w:pPr>
          </w:p>
        </w:tc>
        <w:tc>
          <w:tcPr>
            <w:tcW w:w="113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2891" w:type="dxa"/>
            <w:shd w:val="clear" w:color="auto" w:fill="auto"/>
            <w:vAlign w:val="center"/>
          </w:tcPr>
          <w:p>
            <w:pPr>
              <w:spacing w:line="300" w:lineRule="exact"/>
              <w:jc w:val="left"/>
              <w:rPr>
                <w:rFonts w:ascii="Times New Roman" w:hAnsi="Times New Roman" w:eastAsia="方正书宋_GBK" w:cs="Times New Roman"/>
              </w:rPr>
            </w:pP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1701" w:type="dxa"/>
            <w:shd w:val="clear" w:color="auto" w:fill="auto"/>
            <w:vAlign w:val="center"/>
          </w:tcPr>
          <w:p>
            <w:pPr>
              <w:spacing w:line="300" w:lineRule="exact"/>
              <w:jc w:val="lef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Times New Roman" w:hAnsi="Times New Roman" w:eastAsia="方正书宋_GBK" w:cs="Times New Roman"/>
              </w:rPr>
            </w:pPr>
          </w:p>
        </w:tc>
        <w:tc>
          <w:tcPr>
            <w:tcW w:w="113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生态效益指标</w:t>
            </w: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2891" w:type="dxa"/>
            <w:shd w:val="clear" w:color="auto" w:fill="auto"/>
            <w:vAlign w:val="center"/>
          </w:tcPr>
          <w:p>
            <w:pPr>
              <w:spacing w:line="300" w:lineRule="exact"/>
              <w:jc w:val="left"/>
              <w:rPr>
                <w:rFonts w:ascii="Times New Roman" w:hAnsi="Times New Roman" w:eastAsia="方正书宋_GBK" w:cs="Times New Roman"/>
              </w:rPr>
            </w:pP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1701" w:type="dxa"/>
            <w:shd w:val="clear" w:color="auto" w:fill="auto"/>
            <w:vAlign w:val="center"/>
          </w:tcPr>
          <w:p>
            <w:pPr>
              <w:spacing w:line="300" w:lineRule="exact"/>
              <w:jc w:val="lef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Times New Roman" w:hAnsi="Times New Roman" w:eastAsia="方正书宋_GBK" w:cs="Times New Roman"/>
              </w:rPr>
            </w:pPr>
          </w:p>
        </w:tc>
        <w:tc>
          <w:tcPr>
            <w:tcW w:w="113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可持续性影响指标</w:t>
            </w: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2891" w:type="dxa"/>
            <w:shd w:val="clear" w:color="auto" w:fill="auto"/>
            <w:vAlign w:val="center"/>
          </w:tcPr>
          <w:p>
            <w:pPr>
              <w:spacing w:line="300" w:lineRule="exact"/>
              <w:jc w:val="left"/>
              <w:rPr>
                <w:rFonts w:ascii="Times New Roman" w:hAnsi="Times New Roman" w:eastAsia="方正书宋_GBK" w:cs="Times New Roman"/>
              </w:rPr>
            </w:pP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1701" w:type="dxa"/>
            <w:shd w:val="clear" w:color="auto" w:fill="auto"/>
            <w:vAlign w:val="center"/>
          </w:tcPr>
          <w:p>
            <w:pPr>
              <w:spacing w:line="300" w:lineRule="exact"/>
              <w:jc w:val="lef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2891" w:type="dxa"/>
            <w:shd w:val="clear" w:color="auto" w:fill="auto"/>
            <w:vAlign w:val="center"/>
          </w:tcPr>
          <w:p>
            <w:pPr>
              <w:spacing w:line="300" w:lineRule="exact"/>
              <w:jc w:val="left"/>
              <w:rPr>
                <w:rFonts w:ascii="Times New Roman" w:hAnsi="Times New Roman" w:eastAsia="方正书宋_GBK" w:cs="Times New Roman"/>
              </w:rPr>
            </w:pP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1701" w:type="dxa"/>
            <w:shd w:val="clear" w:color="auto" w:fill="auto"/>
            <w:vAlign w:val="center"/>
          </w:tcPr>
          <w:p>
            <w:pPr>
              <w:spacing w:line="300" w:lineRule="exact"/>
              <w:jc w:val="left"/>
              <w:rPr>
                <w:rFonts w:ascii="Times New Roman" w:hAnsi="Times New Roman" w:eastAsia="方正书宋_GBK" w:cs="Times New Roman"/>
              </w:rPr>
            </w:pPr>
          </w:p>
        </w:tc>
      </w:tr>
    </w:tbl>
    <w:p>
      <w:pPr>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ascii="Times New Roman" w:hAnsi="Times New Roman" w:eastAsia="方正仿宋_GBK" w:cs="Times New Roman"/>
          <w:kern w:val="0"/>
          <w:sz w:val="32"/>
          <w:szCs w:val="32"/>
        </w:rPr>
        <w:t>（注：无项目资金预算，空表列示）</w:t>
      </w:r>
    </w:p>
    <w:p>
      <w:pPr>
        <w:ind w:firstLine="560"/>
        <w:rPr>
          <w:rFonts w:ascii="Times New Roman" w:hAnsi="Times New Roman" w:eastAsia="方正仿宋_GBK" w:cs="Times New Roman"/>
          <w:sz w:val="32"/>
          <w:szCs w:val="32"/>
        </w:rPr>
      </w:pPr>
    </w:p>
    <w:p>
      <w:pPr>
        <w:ind w:firstLine="560"/>
        <w:rPr>
          <w:rFonts w:ascii="Times New Roman" w:hAnsi="Times New Roman" w:eastAsia="方正仿宋_GBK" w:cs="Times New Roman"/>
          <w:b/>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b/>
          <w:sz w:val="32"/>
          <w:szCs w:val="32"/>
        </w:rPr>
        <w:t>项目绩效目标表</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shd w:val="clear" w:color="auto" w:fill="auto"/>
            <w:vAlign w:val="center"/>
          </w:tcPr>
          <w:p>
            <w:pPr>
              <w:spacing w:line="300" w:lineRule="exact"/>
              <w:jc w:val="left"/>
              <w:rPr>
                <w:rFonts w:ascii="Times New Roman" w:hAnsi="Times New Roman" w:eastAsia="方正书宋_GBK" w:cs="Times New Roman"/>
              </w:rPr>
            </w:pPr>
          </w:p>
        </w:tc>
      </w:tr>
    </w:tbl>
    <w:p>
      <w:pPr>
        <w:spacing w:line="14" w:lineRule="exact"/>
        <w:ind w:firstLine="420" w:firstLineChars="200"/>
        <w:jc w:val="center"/>
        <w:rPr>
          <w:rFonts w:ascii="Times New Roman" w:hAnsi="Times New Roman" w:cs="Times New Roman"/>
        </w:rPr>
      </w:pP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2891" w:type="dxa"/>
            <w:shd w:val="clear" w:color="auto" w:fill="auto"/>
            <w:vAlign w:val="center"/>
          </w:tcPr>
          <w:p>
            <w:pPr>
              <w:spacing w:line="300" w:lineRule="exact"/>
              <w:jc w:val="left"/>
              <w:rPr>
                <w:rFonts w:ascii="Times New Roman" w:hAnsi="Times New Roman" w:eastAsia="方正书宋_GBK" w:cs="Times New Roman"/>
              </w:rPr>
            </w:pP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1701" w:type="dxa"/>
            <w:shd w:val="clear" w:color="auto" w:fill="auto"/>
            <w:vAlign w:val="center"/>
          </w:tcPr>
          <w:p>
            <w:pPr>
              <w:spacing w:line="300" w:lineRule="exact"/>
              <w:jc w:val="lef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Times New Roman" w:hAnsi="Times New Roman" w:eastAsia="方正书宋_GBK" w:cs="Times New Roman"/>
              </w:rPr>
            </w:pPr>
          </w:p>
        </w:tc>
        <w:tc>
          <w:tcPr>
            <w:tcW w:w="113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2891" w:type="dxa"/>
            <w:shd w:val="clear" w:color="auto" w:fill="auto"/>
            <w:vAlign w:val="center"/>
          </w:tcPr>
          <w:p>
            <w:pPr>
              <w:spacing w:line="300" w:lineRule="exact"/>
              <w:jc w:val="left"/>
              <w:rPr>
                <w:rFonts w:ascii="Times New Roman" w:hAnsi="Times New Roman" w:eastAsia="方正书宋_GBK" w:cs="Times New Roman"/>
              </w:rPr>
            </w:pP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1701" w:type="dxa"/>
            <w:shd w:val="clear" w:color="auto" w:fill="auto"/>
            <w:vAlign w:val="center"/>
          </w:tcPr>
          <w:p>
            <w:pPr>
              <w:spacing w:line="300" w:lineRule="exact"/>
              <w:jc w:val="lef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Times New Roman" w:hAnsi="Times New Roman" w:eastAsia="方正书宋_GBK" w:cs="Times New Roman"/>
              </w:rPr>
            </w:pPr>
          </w:p>
        </w:tc>
        <w:tc>
          <w:tcPr>
            <w:tcW w:w="113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2891" w:type="dxa"/>
            <w:shd w:val="clear" w:color="auto" w:fill="auto"/>
            <w:vAlign w:val="center"/>
          </w:tcPr>
          <w:p>
            <w:pPr>
              <w:spacing w:line="300" w:lineRule="exact"/>
              <w:jc w:val="left"/>
              <w:rPr>
                <w:rFonts w:ascii="Times New Roman" w:hAnsi="Times New Roman" w:eastAsia="方正书宋_GBK" w:cs="Times New Roman"/>
              </w:rPr>
            </w:pP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1701" w:type="dxa"/>
            <w:shd w:val="clear" w:color="auto" w:fill="auto"/>
            <w:vAlign w:val="center"/>
          </w:tcPr>
          <w:p>
            <w:pPr>
              <w:spacing w:line="300" w:lineRule="exact"/>
              <w:jc w:val="lef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Times New Roman" w:hAnsi="Times New Roman" w:eastAsia="方正书宋_GBK" w:cs="Times New Roman"/>
              </w:rPr>
            </w:pPr>
          </w:p>
        </w:tc>
        <w:tc>
          <w:tcPr>
            <w:tcW w:w="113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2891" w:type="dxa"/>
            <w:shd w:val="clear" w:color="auto" w:fill="auto"/>
            <w:vAlign w:val="center"/>
          </w:tcPr>
          <w:p>
            <w:pPr>
              <w:spacing w:line="300" w:lineRule="exact"/>
              <w:jc w:val="left"/>
              <w:rPr>
                <w:rFonts w:ascii="Times New Roman" w:hAnsi="Times New Roman" w:eastAsia="方正书宋_GBK" w:cs="Times New Roman"/>
              </w:rPr>
            </w:pP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1701" w:type="dxa"/>
            <w:shd w:val="clear" w:color="auto" w:fill="auto"/>
            <w:vAlign w:val="center"/>
          </w:tcPr>
          <w:p>
            <w:pPr>
              <w:spacing w:line="300" w:lineRule="exact"/>
              <w:jc w:val="lef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效果指标</w:t>
            </w:r>
          </w:p>
        </w:tc>
        <w:tc>
          <w:tcPr>
            <w:tcW w:w="113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经济效益指标</w:t>
            </w: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2891" w:type="dxa"/>
            <w:shd w:val="clear" w:color="auto" w:fill="auto"/>
            <w:vAlign w:val="center"/>
          </w:tcPr>
          <w:p>
            <w:pPr>
              <w:spacing w:line="300" w:lineRule="exact"/>
              <w:jc w:val="left"/>
              <w:rPr>
                <w:rFonts w:ascii="Times New Roman" w:hAnsi="Times New Roman" w:eastAsia="方正书宋_GBK" w:cs="Times New Roman"/>
              </w:rPr>
            </w:pP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1701" w:type="dxa"/>
            <w:shd w:val="clear" w:color="auto" w:fill="auto"/>
            <w:vAlign w:val="center"/>
          </w:tcPr>
          <w:p>
            <w:pPr>
              <w:spacing w:line="300" w:lineRule="exact"/>
              <w:jc w:val="lef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Times New Roman" w:hAnsi="Times New Roman" w:eastAsia="方正书宋_GBK" w:cs="Times New Roman"/>
              </w:rPr>
            </w:pPr>
          </w:p>
        </w:tc>
        <w:tc>
          <w:tcPr>
            <w:tcW w:w="113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2891" w:type="dxa"/>
            <w:shd w:val="clear" w:color="auto" w:fill="auto"/>
            <w:vAlign w:val="center"/>
          </w:tcPr>
          <w:p>
            <w:pPr>
              <w:spacing w:line="300" w:lineRule="exact"/>
              <w:jc w:val="left"/>
              <w:rPr>
                <w:rFonts w:ascii="Times New Roman" w:hAnsi="Times New Roman" w:eastAsia="方正书宋_GBK" w:cs="Times New Roman"/>
              </w:rPr>
            </w:pP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1701" w:type="dxa"/>
            <w:shd w:val="clear" w:color="auto" w:fill="auto"/>
            <w:vAlign w:val="center"/>
          </w:tcPr>
          <w:p>
            <w:pPr>
              <w:spacing w:line="300" w:lineRule="exact"/>
              <w:jc w:val="lef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Times New Roman" w:hAnsi="Times New Roman" w:eastAsia="方正书宋_GBK" w:cs="Times New Roman"/>
              </w:rPr>
            </w:pPr>
          </w:p>
        </w:tc>
        <w:tc>
          <w:tcPr>
            <w:tcW w:w="113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生态效益指标</w:t>
            </w: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2891" w:type="dxa"/>
            <w:shd w:val="clear" w:color="auto" w:fill="auto"/>
            <w:vAlign w:val="center"/>
          </w:tcPr>
          <w:p>
            <w:pPr>
              <w:spacing w:line="300" w:lineRule="exact"/>
              <w:jc w:val="left"/>
              <w:rPr>
                <w:rFonts w:ascii="Times New Roman" w:hAnsi="Times New Roman" w:eastAsia="方正书宋_GBK" w:cs="Times New Roman"/>
              </w:rPr>
            </w:pP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1701" w:type="dxa"/>
            <w:shd w:val="clear" w:color="auto" w:fill="auto"/>
            <w:vAlign w:val="center"/>
          </w:tcPr>
          <w:p>
            <w:pPr>
              <w:spacing w:line="300" w:lineRule="exact"/>
              <w:jc w:val="lef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Times New Roman" w:hAnsi="Times New Roman" w:eastAsia="方正书宋_GBK" w:cs="Times New Roman"/>
              </w:rPr>
            </w:pPr>
          </w:p>
        </w:tc>
        <w:tc>
          <w:tcPr>
            <w:tcW w:w="113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可持续性影响指标</w:t>
            </w: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2891" w:type="dxa"/>
            <w:shd w:val="clear" w:color="auto" w:fill="auto"/>
            <w:vAlign w:val="center"/>
          </w:tcPr>
          <w:p>
            <w:pPr>
              <w:spacing w:line="300" w:lineRule="exact"/>
              <w:jc w:val="left"/>
              <w:rPr>
                <w:rFonts w:ascii="Times New Roman" w:hAnsi="Times New Roman" w:eastAsia="方正书宋_GBK" w:cs="Times New Roman"/>
              </w:rPr>
            </w:pP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1701" w:type="dxa"/>
            <w:shd w:val="clear" w:color="auto" w:fill="auto"/>
            <w:vAlign w:val="center"/>
          </w:tcPr>
          <w:p>
            <w:pPr>
              <w:spacing w:line="300" w:lineRule="exact"/>
              <w:jc w:val="lef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2891" w:type="dxa"/>
            <w:shd w:val="clear" w:color="auto" w:fill="auto"/>
            <w:vAlign w:val="center"/>
          </w:tcPr>
          <w:p>
            <w:pPr>
              <w:spacing w:line="300" w:lineRule="exact"/>
              <w:jc w:val="left"/>
              <w:rPr>
                <w:rFonts w:ascii="Times New Roman" w:hAnsi="Times New Roman" w:eastAsia="方正书宋_GBK" w:cs="Times New Roman"/>
              </w:rPr>
            </w:pPr>
          </w:p>
        </w:tc>
        <w:tc>
          <w:tcPr>
            <w:tcW w:w="1276" w:type="dxa"/>
            <w:shd w:val="clear" w:color="auto" w:fill="auto"/>
            <w:vAlign w:val="center"/>
          </w:tcPr>
          <w:p>
            <w:pPr>
              <w:spacing w:line="300" w:lineRule="exact"/>
              <w:jc w:val="left"/>
              <w:rPr>
                <w:rFonts w:ascii="Times New Roman" w:hAnsi="Times New Roman" w:eastAsia="方正书宋_GBK" w:cs="Times New Roman"/>
              </w:rPr>
            </w:pPr>
          </w:p>
        </w:tc>
        <w:tc>
          <w:tcPr>
            <w:tcW w:w="1701" w:type="dxa"/>
            <w:shd w:val="clear" w:color="auto" w:fill="auto"/>
            <w:vAlign w:val="center"/>
          </w:tcPr>
          <w:p>
            <w:pPr>
              <w:spacing w:line="300" w:lineRule="exact"/>
              <w:jc w:val="left"/>
              <w:rPr>
                <w:rFonts w:ascii="Times New Roman" w:hAnsi="Times New Roman" w:eastAsia="方正书宋_GBK" w:cs="Times New Roman"/>
              </w:rPr>
            </w:pPr>
          </w:p>
        </w:tc>
      </w:tr>
      <w:bookmarkEnd w:id="0"/>
    </w:tbl>
    <w:p>
      <w:pPr>
        <w:autoSpaceDE w:val="0"/>
        <w:autoSpaceDN w:val="0"/>
        <w:adjustRightInd w:val="0"/>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b/>
          <w:sz w:val="32"/>
          <w:szCs w:val="32"/>
        </w:rPr>
        <w:t xml:space="preserve">                </w:t>
      </w:r>
      <w:r>
        <w:rPr>
          <w:rFonts w:ascii="Times New Roman" w:hAnsi="Times New Roman" w:eastAsia="方正仿宋_GBK" w:cs="Times New Roman"/>
          <w:kern w:val="0"/>
          <w:sz w:val="32"/>
          <w:szCs w:val="32"/>
        </w:rPr>
        <w:t>（注：无项目资金预算，空表列示）</w:t>
      </w:r>
    </w:p>
    <w:p>
      <w:pPr>
        <w:autoSpaceDE w:val="0"/>
        <w:autoSpaceDN w:val="0"/>
        <w:adjustRightInd w:val="0"/>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ind w:firstLine="640" w:firstLineChars="200"/>
        <w:outlineLvl w:val="0"/>
        <w:rPr>
          <w:rFonts w:ascii="Times New Roman" w:hAnsi="Times New Roman" w:eastAsia="方正仿宋_GBK" w:cs="Times New Roman"/>
          <w:sz w:val="32"/>
          <w:szCs w:val="24"/>
        </w:rPr>
      </w:pPr>
      <w:bookmarkStart w:id="1" w:name="_Toc471398468"/>
      <w:r>
        <w:rPr>
          <w:rFonts w:ascii="Times New Roman" w:hAnsi="Times New Roman" w:eastAsia="方正仿宋_GBK" w:cs="Times New Roman"/>
          <w:sz w:val="32"/>
          <w:szCs w:val="24"/>
        </w:rPr>
        <w:t>2021年，我厅（局）安排政府采购预算0万元。具体内容见下表。</w:t>
      </w:r>
    </w:p>
    <w:p>
      <w:pPr>
        <w:jc w:val="center"/>
        <w:outlineLvl w:val="0"/>
        <w:rPr>
          <w:rFonts w:ascii="Times New Roman" w:hAnsi="Times New Roman" w:eastAsia="方正小标宋_GBK" w:cs="Times New Roman"/>
          <w:sz w:val="32"/>
          <w:szCs w:val="24"/>
        </w:rPr>
      </w:pPr>
    </w:p>
    <w:p>
      <w:pPr>
        <w:jc w:val="center"/>
        <w:outlineLvl w:val="0"/>
        <w:rPr>
          <w:rFonts w:ascii="Times New Roman" w:hAnsi="Times New Roman" w:eastAsia="方正小标宋_GBK" w:cs="Times New Roman"/>
          <w:sz w:val="32"/>
          <w:szCs w:val="24"/>
        </w:rPr>
      </w:pP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部门政府采购预算</w:t>
      </w:r>
      <w:bookmarkEnd w:id="1"/>
    </w:p>
    <w:tbl>
      <w:tblPr>
        <w:tblStyle w:val="10"/>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Times New Roman" w:hAnsi="Times New Roman" w:eastAsia="方正小标宋_GBK" w:cs="Times New Roman"/>
                <w:sz w:val="24"/>
              </w:rPr>
            </w:pPr>
            <w:r>
              <w:rPr>
                <w:rFonts w:ascii="Times New Roman" w:hAnsi="Times New Roman" w:eastAsia="方正小标宋_GBK" w:cs="Times New Roman"/>
                <w:sz w:val="24"/>
              </w:rPr>
              <w:t>部门编码  河北雄安新区中级人民法院</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Times New Roman" w:hAnsi="Times New Roman" w:eastAsia="方正书宋_GBK" w:cs="Times New Roman"/>
                <w:sz w:val="24"/>
              </w:rPr>
            </w:pPr>
            <w:r>
              <w:rPr>
                <w:rFonts w:ascii="Times New Roman" w:hAnsi="Times New Roman"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采购物品名称</w:t>
            </w:r>
          </w:p>
        </w:tc>
        <w:tc>
          <w:tcPr>
            <w:tcW w:w="1531" w:type="dxa"/>
            <w:vMerge w:val="restart"/>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政府采购目录序号</w:t>
            </w:r>
          </w:p>
        </w:tc>
        <w:tc>
          <w:tcPr>
            <w:tcW w:w="709" w:type="dxa"/>
            <w:vMerge w:val="restart"/>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计量  单位</w:t>
            </w:r>
          </w:p>
        </w:tc>
        <w:tc>
          <w:tcPr>
            <w:tcW w:w="907" w:type="dxa"/>
            <w:vMerge w:val="restart"/>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数量</w:t>
            </w:r>
          </w:p>
        </w:tc>
        <w:tc>
          <w:tcPr>
            <w:tcW w:w="907" w:type="dxa"/>
            <w:vMerge w:val="restart"/>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单价</w:t>
            </w:r>
          </w:p>
        </w:tc>
        <w:tc>
          <w:tcPr>
            <w:tcW w:w="6804" w:type="dxa"/>
            <w:gridSpan w:val="6"/>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项目名称</w:t>
            </w:r>
          </w:p>
        </w:tc>
        <w:tc>
          <w:tcPr>
            <w:tcW w:w="113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预算资金</w:t>
            </w:r>
          </w:p>
        </w:tc>
        <w:tc>
          <w:tcPr>
            <w:tcW w:w="1531" w:type="dxa"/>
            <w:vMerge w:val="continue"/>
            <w:shd w:val="clear" w:color="auto" w:fill="auto"/>
            <w:vAlign w:val="center"/>
          </w:tcPr>
          <w:p>
            <w:pPr>
              <w:spacing w:line="300" w:lineRule="exact"/>
              <w:jc w:val="left"/>
              <w:outlineLvl w:val="1"/>
              <w:rPr>
                <w:rFonts w:ascii="Times New Roman" w:hAnsi="Times New Roman" w:eastAsia="方正仿宋_GBK" w:cs="Times New Roman"/>
                <w:sz w:val="28"/>
              </w:rPr>
            </w:pPr>
          </w:p>
        </w:tc>
        <w:tc>
          <w:tcPr>
            <w:tcW w:w="1531" w:type="dxa"/>
            <w:vMerge w:val="continue"/>
            <w:shd w:val="clear" w:color="auto" w:fill="auto"/>
            <w:vAlign w:val="center"/>
          </w:tcPr>
          <w:p>
            <w:pPr>
              <w:spacing w:line="300" w:lineRule="exact"/>
              <w:jc w:val="left"/>
              <w:outlineLvl w:val="1"/>
              <w:rPr>
                <w:rFonts w:ascii="Times New Roman" w:hAnsi="Times New Roman" w:eastAsia="方正仿宋_GBK" w:cs="Times New Roman"/>
                <w:sz w:val="28"/>
              </w:rPr>
            </w:pPr>
          </w:p>
        </w:tc>
        <w:tc>
          <w:tcPr>
            <w:tcW w:w="709" w:type="dxa"/>
            <w:vMerge w:val="continue"/>
            <w:shd w:val="clear" w:color="auto" w:fill="auto"/>
            <w:vAlign w:val="center"/>
          </w:tcPr>
          <w:p>
            <w:pPr>
              <w:spacing w:line="300" w:lineRule="exact"/>
              <w:jc w:val="left"/>
              <w:outlineLvl w:val="1"/>
              <w:rPr>
                <w:rFonts w:ascii="Times New Roman" w:hAnsi="Times New Roman" w:eastAsia="方正仿宋_GBK" w:cs="Times New Roman"/>
                <w:sz w:val="28"/>
              </w:rPr>
            </w:pPr>
          </w:p>
        </w:tc>
        <w:tc>
          <w:tcPr>
            <w:tcW w:w="907" w:type="dxa"/>
            <w:vMerge w:val="continue"/>
            <w:shd w:val="clear" w:color="auto" w:fill="auto"/>
            <w:vAlign w:val="center"/>
          </w:tcPr>
          <w:p>
            <w:pPr>
              <w:spacing w:line="300" w:lineRule="exact"/>
              <w:jc w:val="left"/>
              <w:outlineLvl w:val="1"/>
              <w:rPr>
                <w:rFonts w:ascii="Times New Roman" w:hAnsi="Times New Roman" w:eastAsia="方正仿宋_GBK" w:cs="Times New Roman"/>
                <w:sz w:val="28"/>
              </w:rPr>
            </w:pPr>
          </w:p>
        </w:tc>
        <w:tc>
          <w:tcPr>
            <w:tcW w:w="907" w:type="dxa"/>
            <w:vMerge w:val="continue"/>
            <w:shd w:val="clear" w:color="auto" w:fill="auto"/>
            <w:vAlign w:val="center"/>
          </w:tcPr>
          <w:p>
            <w:pPr>
              <w:spacing w:line="300" w:lineRule="exact"/>
              <w:jc w:val="left"/>
              <w:outlineLvl w:val="1"/>
              <w:rPr>
                <w:rFonts w:ascii="Times New Roman" w:hAnsi="Times New Roman" w:eastAsia="方正仿宋_GBK" w:cs="Times New Roman"/>
                <w:sz w:val="28"/>
              </w:rPr>
            </w:pPr>
          </w:p>
        </w:tc>
        <w:tc>
          <w:tcPr>
            <w:tcW w:w="113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合计</w:t>
            </w:r>
          </w:p>
        </w:tc>
        <w:tc>
          <w:tcPr>
            <w:tcW w:w="113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一般公共预算拨款</w:t>
            </w:r>
          </w:p>
        </w:tc>
        <w:tc>
          <w:tcPr>
            <w:tcW w:w="113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基金预算拨款</w:t>
            </w:r>
          </w:p>
        </w:tc>
        <w:tc>
          <w:tcPr>
            <w:tcW w:w="113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国有资本经营预算拨款</w:t>
            </w:r>
          </w:p>
        </w:tc>
        <w:tc>
          <w:tcPr>
            <w:tcW w:w="113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财政专户核拨</w:t>
            </w:r>
          </w:p>
        </w:tc>
        <w:tc>
          <w:tcPr>
            <w:tcW w:w="113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合  计</w:t>
            </w: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531" w:type="dxa"/>
            <w:shd w:val="clear" w:color="auto" w:fill="auto"/>
            <w:vAlign w:val="center"/>
          </w:tcPr>
          <w:p>
            <w:pPr>
              <w:spacing w:line="300" w:lineRule="exact"/>
              <w:jc w:val="left"/>
              <w:rPr>
                <w:rFonts w:ascii="Times New Roman" w:hAnsi="Times New Roman" w:eastAsia="方正书宋_GBK" w:cs="Times New Roman"/>
                <w:b/>
              </w:rPr>
            </w:pPr>
          </w:p>
        </w:tc>
        <w:tc>
          <w:tcPr>
            <w:tcW w:w="1531" w:type="dxa"/>
            <w:shd w:val="clear" w:color="auto" w:fill="auto"/>
            <w:vAlign w:val="center"/>
          </w:tcPr>
          <w:p>
            <w:pPr>
              <w:spacing w:line="300" w:lineRule="exact"/>
              <w:jc w:val="left"/>
              <w:rPr>
                <w:rFonts w:ascii="Times New Roman" w:hAnsi="Times New Roman" w:eastAsia="方正书宋_GBK" w:cs="Times New Roman"/>
                <w:b/>
              </w:rPr>
            </w:pPr>
          </w:p>
        </w:tc>
        <w:tc>
          <w:tcPr>
            <w:tcW w:w="709" w:type="dxa"/>
            <w:shd w:val="clear" w:color="auto" w:fill="auto"/>
            <w:vAlign w:val="center"/>
          </w:tcPr>
          <w:p>
            <w:pPr>
              <w:spacing w:line="300" w:lineRule="exact"/>
              <w:jc w:val="center"/>
              <w:rPr>
                <w:rFonts w:ascii="Times New Roman" w:hAnsi="Times New Roman" w:eastAsia="方正书宋_GBK" w:cs="Times New Roman"/>
                <w:b/>
              </w:rPr>
            </w:pPr>
          </w:p>
        </w:tc>
        <w:tc>
          <w:tcPr>
            <w:tcW w:w="907" w:type="dxa"/>
            <w:shd w:val="clear" w:color="auto" w:fill="auto"/>
            <w:vAlign w:val="center"/>
          </w:tcPr>
          <w:p>
            <w:pPr>
              <w:spacing w:line="300" w:lineRule="exact"/>
              <w:jc w:val="right"/>
              <w:rPr>
                <w:rFonts w:ascii="Times New Roman" w:hAnsi="Times New Roman" w:eastAsia="方正书宋_GBK" w:cs="Times New Roman"/>
                <w:b/>
              </w:rPr>
            </w:pPr>
          </w:p>
        </w:tc>
        <w:tc>
          <w:tcPr>
            <w:tcW w:w="907"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河北省***厅本级小计</w:t>
            </w: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531" w:type="dxa"/>
            <w:shd w:val="clear" w:color="auto" w:fill="auto"/>
            <w:vAlign w:val="center"/>
          </w:tcPr>
          <w:p>
            <w:pPr>
              <w:spacing w:line="300" w:lineRule="exact"/>
              <w:jc w:val="left"/>
              <w:rPr>
                <w:rFonts w:ascii="Times New Roman" w:hAnsi="Times New Roman" w:eastAsia="方正书宋_GBK" w:cs="Times New Roman"/>
                <w:b/>
              </w:rPr>
            </w:pPr>
          </w:p>
        </w:tc>
        <w:tc>
          <w:tcPr>
            <w:tcW w:w="1531" w:type="dxa"/>
            <w:shd w:val="clear" w:color="auto" w:fill="auto"/>
            <w:vAlign w:val="center"/>
          </w:tcPr>
          <w:p>
            <w:pPr>
              <w:spacing w:line="300" w:lineRule="exact"/>
              <w:jc w:val="left"/>
              <w:rPr>
                <w:rFonts w:ascii="Times New Roman" w:hAnsi="Times New Roman" w:eastAsia="方正书宋_GBK" w:cs="Times New Roman"/>
                <w:b/>
              </w:rPr>
            </w:pPr>
          </w:p>
        </w:tc>
        <w:tc>
          <w:tcPr>
            <w:tcW w:w="709" w:type="dxa"/>
            <w:shd w:val="clear" w:color="auto" w:fill="auto"/>
            <w:vAlign w:val="center"/>
          </w:tcPr>
          <w:p>
            <w:pPr>
              <w:spacing w:line="300" w:lineRule="exact"/>
              <w:jc w:val="center"/>
              <w:rPr>
                <w:rFonts w:ascii="Times New Roman" w:hAnsi="Times New Roman" w:eastAsia="方正书宋_GBK" w:cs="Times New Roman"/>
                <w:b/>
              </w:rPr>
            </w:pPr>
          </w:p>
        </w:tc>
        <w:tc>
          <w:tcPr>
            <w:tcW w:w="907" w:type="dxa"/>
            <w:shd w:val="clear" w:color="auto" w:fill="auto"/>
            <w:vAlign w:val="center"/>
          </w:tcPr>
          <w:p>
            <w:pPr>
              <w:spacing w:line="300" w:lineRule="exact"/>
              <w:jc w:val="right"/>
              <w:rPr>
                <w:rFonts w:ascii="Times New Roman" w:hAnsi="Times New Roman" w:eastAsia="方正书宋_GBK" w:cs="Times New Roman"/>
                <w:b/>
              </w:rPr>
            </w:pPr>
          </w:p>
        </w:tc>
        <w:tc>
          <w:tcPr>
            <w:tcW w:w="907"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531" w:type="dxa"/>
            <w:shd w:val="clear" w:color="auto" w:fill="auto"/>
            <w:vAlign w:val="center"/>
          </w:tcPr>
          <w:p>
            <w:pPr>
              <w:spacing w:line="300" w:lineRule="exact"/>
              <w:jc w:val="left"/>
              <w:rPr>
                <w:rFonts w:ascii="Times New Roman" w:hAnsi="Times New Roman" w:eastAsia="方正书宋_GBK" w:cs="Times New Roman"/>
              </w:rPr>
            </w:pPr>
          </w:p>
        </w:tc>
        <w:tc>
          <w:tcPr>
            <w:tcW w:w="1531" w:type="dxa"/>
            <w:shd w:val="clear" w:color="auto" w:fill="auto"/>
            <w:vAlign w:val="center"/>
          </w:tcPr>
          <w:p>
            <w:pPr>
              <w:spacing w:line="300" w:lineRule="exact"/>
              <w:jc w:val="left"/>
              <w:rPr>
                <w:rFonts w:ascii="Times New Roman" w:hAnsi="Times New Roman" w:eastAsia="方正书宋_GBK" w:cs="Times New Roman"/>
              </w:rPr>
            </w:pPr>
          </w:p>
        </w:tc>
        <w:tc>
          <w:tcPr>
            <w:tcW w:w="709" w:type="dxa"/>
            <w:shd w:val="clear" w:color="auto" w:fill="auto"/>
            <w:vAlign w:val="center"/>
          </w:tcPr>
          <w:p>
            <w:pPr>
              <w:spacing w:line="300" w:lineRule="exact"/>
              <w:jc w:val="center"/>
              <w:rPr>
                <w:rFonts w:ascii="Times New Roman" w:hAnsi="Times New Roman" w:eastAsia="方正书宋_GBK" w:cs="Times New Roman"/>
              </w:rPr>
            </w:pPr>
          </w:p>
        </w:tc>
        <w:tc>
          <w:tcPr>
            <w:tcW w:w="907" w:type="dxa"/>
            <w:shd w:val="clear" w:color="auto" w:fill="auto"/>
            <w:vAlign w:val="center"/>
          </w:tcPr>
          <w:p>
            <w:pPr>
              <w:spacing w:line="300" w:lineRule="exact"/>
              <w:jc w:val="right"/>
              <w:rPr>
                <w:rFonts w:ascii="Times New Roman" w:hAnsi="Times New Roman" w:eastAsia="方正书宋_GBK" w:cs="Times New Roman"/>
              </w:rPr>
            </w:pPr>
          </w:p>
        </w:tc>
        <w:tc>
          <w:tcPr>
            <w:tcW w:w="907"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531" w:type="dxa"/>
            <w:shd w:val="clear" w:color="auto" w:fill="auto"/>
            <w:vAlign w:val="center"/>
          </w:tcPr>
          <w:p>
            <w:pPr>
              <w:spacing w:line="300" w:lineRule="exact"/>
              <w:jc w:val="left"/>
              <w:rPr>
                <w:rFonts w:ascii="Times New Roman" w:hAnsi="Times New Roman" w:eastAsia="方正书宋_GBK" w:cs="Times New Roman"/>
              </w:rPr>
            </w:pPr>
          </w:p>
        </w:tc>
        <w:tc>
          <w:tcPr>
            <w:tcW w:w="1531" w:type="dxa"/>
            <w:shd w:val="clear" w:color="auto" w:fill="auto"/>
            <w:vAlign w:val="center"/>
          </w:tcPr>
          <w:p>
            <w:pPr>
              <w:spacing w:line="300" w:lineRule="exact"/>
              <w:jc w:val="left"/>
              <w:rPr>
                <w:rFonts w:ascii="Times New Roman" w:hAnsi="Times New Roman" w:eastAsia="方正书宋_GBK" w:cs="Times New Roman"/>
              </w:rPr>
            </w:pPr>
          </w:p>
        </w:tc>
        <w:tc>
          <w:tcPr>
            <w:tcW w:w="709" w:type="dxa"/>
            <w:shd w:val="clear" w:color="auto" w:fill="auto"/>
            <w:vAlign w:val="center"/>
          </w:tcPr>
          <w:p>
            <w:pPr>
              <w:spacing w:line="300" w:lineRule="exact"/>
              <w:jc w:val="center"/>
              <w:rPr>
                <w:rFonts w:ascii="Times New Roman" w:hAnsi="Times New Roman" w:eastAsia="方正书宋_GBK" w:cs="Times New Roman"/>
              </w:rPr>
            </w:pPr>
          </w:p>
        </w:tc>
        <w:tc>
          <w:tcPr>
            <w:tcW w:w="907" w:type="dxa"/>
            <w:shd w:val="clear" w:color="auto" w:fill="auto"/>
            <w:vAlign w:val="center"/>
          </w:tcPr>
          <w:p>
            <w:pPr>
              <w:spacing w:line="300" w:lineRule="exact"/>
              <w:jc w:val="right"/>
              <w:rPr>
                <w:rFonts w:ascii="Times New Roman" w:hAnsi="Times New Roman" w:eastAsia="方正书宋_GBK" w:cs="Times New Roman"/>
              </w:rPr>
            </w:pPr>
          </w:p>
        </w:tc>
        <w:tc>
          <w:tcPr>
            <w:tcW w:w="907"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b/>
              </w:rPr>
            </w:pPr>
            <w:r>
              <w:rPr>
                <w:rFonts w:ascii="Times New Roman" w:hAnsi="Times New Roman" w:eastAsia="方正书宋_GBK" w:cs="Times New Roman"/>
                <w:b/>
              </w:rPr>
              <w:t>（预算单位1）小计</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531" w:type="dxa"/>
            <w:shd w:val="clear" w:color="auto" w:fill="auto"/>
            <w:vAlign w:val="center"/>
          </w:tcPr>
          <w:p>
            <w:pPr>
              <w:spacing w:line="300" w:lineRule="exact"/>
              <w:jc w:val="left"/>
              <w:rPr>
                <w:rFonts w:ascii="Times New Roman" w:hAnsi="Times New Roman" w:eastAsia="方正书宋_GBK" w:cs="Times New Roman"/>
              </w:rPr>
            </w:pPr>
          </w:p>
        </w:tc>
        <w:tc>
          <w:tcPr>
            <w:tcW w:w="1531" w:type="dxa"/>
            <w:shd w:val="clear" w:color="auto" w:fill="auto"/>
            <w:vAlign w:val="center"/>
          </w:tcPr>
          <w:p>
            <w:pPr>
              <w:spacing w:line="300" w:lineRule="exact"/>
              <w:jc w:val="left"/>
              <w:rPr>
                <w:rFonts w:ascii="Times New Roman" w:hAnsi="Times New Roman" w:eastAsia="方正书宋_GBK" w:cs="Times New Roman"/>
              </w:rPr>
            </w:pPr>
          </w:p>
        </w:tc>
        <w:tc>
          <w:tcPr>
            <w:tcW w:w="709" w:type="dxa"/>
            <w:shd w:val="clear" w:color="auto" w:fill="auto"/>
            <w:vAlign w:val="center"/>
          </w:tcPr>
          <w:p>
            <w:pPr>
              <w:spacing w:line="300" w:lineRule="exact"/>
              <w:jc w:val="center"/>
              <w:rPr>
                <w:rFonts w:ascii="Times New Roman" w:hAnsi="Times New Roman" w:eastAsia="方正书宋_GBK" w:cs="Times New Roman"/>
              </w:rPr>
            </w:pPr>
          </w:p>
        </w:tc>
        <w:tc>
          <w:tcPr>
            <w:tcW w:w="907" w:type="dxa"/>
            <w:shd w:val="clear" w:color="auto" w:fill="auto"/>
            <w:vAlign w:val="center"/>
          </w:tcPr>
          <w:p>
            <w:pPr>
              <w:spacing w:line="300" w:lineRule="exact"/>
              <w:jc w:val="right"/>
              <w:rPr>
                <w:rFonts w:ascii="Times New Roman" w:hAnsi="Times New Roman" w:eastAsia="方正书宋_GBK" w:cs="Times New Roman"/>
              </w:rPr>
            </w:pPr>
          </w:p>
        </w:tc>
        <w:tc>
          <w:tcPr>
            <w:tcW w:w="907"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531" w:type="dxa"/>
            <w:shd w:val="clear" w:color="auto" w:fill="auto"/>
            <w:vAlign w:val="center"/>
          </w:tcPr>
          <w:p>
            <w:pPr>
              <w:spacing w:line="300" w:lineRule="exact"/>
              <w:jc w:val="left"/>
              <w:rPr>
                <w:rFonts w:ascii="Times New Roman" w:hAnsi="Times New Roman" w:eastAsia="方正书宋_GBK" w:cs="Times New Roman"/>
              </w:rPr>
            </w:pPr>
          </w:p>
        </w:tc>
        <w:tc>
          <w:tcPr>
            <w:tcW w:w="1531" w:type="dxa"/>
            <w:shd w:val="clear" w:color="auto" w:fill="auto"/>
            <w:vAlign w:val="center"/>
          </w:tcPr>
          <w:p>
            <w:pPr>
              <w:spacing w:line="300" w:lineRule="exact"/>
              <w:jc w:val="left"/>
              <w:rPr>
                <w:rFonts w:ascii="Times New Roman" w:hAnsi="Times New Roman" w:eastAsia="方正书宋_GBK" w:cs="Times New Roman"/>
              </w:rPr>
            </w:pPr>
          </w:p>
        </w:tc>
        <w:tc>
          <w:tcPr>
            <w:tcW w:w="709" w:type="dxa"/>
            <w:shd w:val="clear" w:color="auto" w:fill="auto"/>
            <w:vAlign w:val="center"/>
          </w:tcPr>
          <w:p>
            <w:pPr>
              <w:spacing w:line="300" w:lineRule="exact"/>
              <w:jc w:val="center"/>
              <w:rPr>
                <w:rFonts w:ascii="Times New Roman" w:hAnsi="Times New Roman" w:eastAsia="方正书宋_GBK" w:cs="Times New Roman"/>
              </w:rPr>
            </w:pPr>
          </w:p>
        </w:tc>
        <w:tc>
          <w:tcPr>
            <w:tcW w:w="907" w:type="dxa"/>
            <w:shd w:val="clear" w:color="auto" w:fill="auto"/>
            <w:vAlign w:val="center"/>
          </w:tcPr>
          <w:p>
            <w:pPr>
              <w:spacing w:line="300" w:lineRule="exact"/>
              <w:jc w:val="right"/>
              <w:rPr>
                <w:rFonts w:ascii="Times New Roman" w:hAnsi="Times New Roman" w:eastAsia="方正书宋_GBK" w:cs="Times New Roman"/>
              </w:rPr>
            </w:pPr>
          </w:p>
        </w:tc>
        <w:tc>
          <w:tcPr>
            <w:tcW w:w="907"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531" w:type="dxa"/>
            <w:shd w:val="clear" w:color="auto" w:fill="auto"/>
            <w:vAlign w:val="center"/>
          </w:tcPr>
          <w:p>
            <w:pPr>
              <w:spacing w:line="300" w:lineRule="exact"/>
              <w:jc w:val="left"/>
              <w:rPr>
                <w:rFonts w:ascii="Times New Roman" w:hAnsi="Times New Roman" w:eastAsia="方正书宋_GBK" w:cs="Times New Roman"/>
              </w:rPr>
            </w:pPr>
          </w:p>
        </w:tc>
        <w:tc>
          <w:tcPr>
            <w:tcW w:w="1531" w:type="dxa"/>
            <w:shd w:val="clear" w:color="auto" w:fill="auto"/>
            <w:vAlign w:val="center"/>
          </w:tcPr>
          <w:p>
            <w:pPr>
              <w:spacing w:line="300" w:lineRule="exact"/>
              <w:jc w:val="left"/>
              <w:rPr>
                <w:rFonts w:ascii="Times New Roman" w:hAnsi="Times New Roman" w:eastAsia="方正书宋_GBK" w:cs="Times New Roman"/>
              </w:rPr>
            </w:pPr>
          </w:p>
        </w:tc>
        <w:tc>
          <w:tcPr>
            <w:tcW w:w="709" w:type="dxa"/>
            <w:shd w:val="clear" w:color="auto" w:fill="auto"/>
            <w:vAlign w:val="center"/>
          </w:tcPr>
          <w:p>
            <w:pPr>
              <w:spacing w:line="300" w:lineRule="exact"/>
              <w:jc w:val="center"/>
              <w:rPr>
                <w:rFonts w:ascii="Times New Roman" w:hAnsi="Times New Roman" w:eastAsia="方正书宋_GBK" w:cs="Times New Roman"/>
              </w:rPr>
            </w:pPr>
          </w:p>
        </w:tc>
        <w:tc>
          <w:tcPr>
            <w:tcW w:w="907" w:type="dxa"/>
            <w:shd w:val="clear" w:color="auto" w:fill="auto"/>
            <w:vAlign w:val="center"/>
          </w:tcPr>
          <w:p>
            <w:pPr>
              <w:spacing w:line="300" w:lineRule="exact"/>
              <w:jc w:val="right"/>
              <w:rPr>
                <w:rFonts w:ascii="Times New Roman" w:hAnsi="Times New Roman" w:eastAsia="方正书宋_GBK" w:cs="Times New Roman"/>
              </w:rPr>
            </w:pPr>
          </w:p>
        </w:tc>
        <w:tc>
          <w:tcPr>
            <w:tcW w:w="907"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531" w:type="dxa"/>
            <w:shd w:val="clear" w:color="auto" w:fill="auto"/>
            <w:vAlign w:val="center"/>
          </w:tcPr>
          <w:p>
            <w:pPr>
              <w:spacing w:line="300" w:lineRule="exact"/>
              <w:jc w:val="left"/>
              <w:rPr>
                <w:rFonts w:ascii="Times New Roman" w:hAnsi="Times New Roman" w:eastAsia="方正书宋_GBK" w:cs="Times New Roman"/>
              </w:rPr>
            </w:pPr>
          </w:p>
        </w:tc>
        <w:tc>
          <w:tcPr>
            <w:tcW w:w="1531" w:type="dxa"/>
            <w:shd w:val="clear" w:color="auto" w:fill="auto"/>
            <w:vAlign w:val="center"/>
          </w:tcPr>
          <w:p>
            <w:pPr>
              <w:spacing w:line="300" w:lineRule="exact"/>
              <w:jc w:val="left"/>
              <w:rPr>
                <w:rFonts w:ascii="Times New Roman" w:hAnsi="Times New Roman" w:eastAsia="方正书宋_GBK" w:cs="Times New Roman"/>
              </w:rPr>
            </w:pPr>
          </w:p>
        </w:tc>
        <w:tc>
          <w:tcPr>
            <w:tcW w:w="709" w:type="dxa"/>
            <w:shd w:val="clear" w:color="auto" w:fill="auto"/>
            <w:vAlign w:val="center"/>
          </w:tcPr>
          <w:p>
            <w:pPr>
              <w:spacing w:line="300" w:lineRule="exact"/>
              <w:jc w:val="center"/>
              <w:rPr>
                <w:rFonts w:ascii="Times New Roman" w:hAnsi="Times New Roman" w:eastAsia="方正书宋_GBK" w:cs="Times New Roman"/>
              </w:rPr>
            </w:pPr>
          </w:p>
        </w:tc>
        <w:tc>
          <w:tcPr>
            <w:tcW w:w="907" w:type="dxa"/>
            <w:shd w:val="clear" w:color="auto" w:fill="auto"/>
            <w:vAlign w:val="center"/>
          </w:tcPr>
          <w:p>
            <w:pPr>
              <w:spacing w:line="300" w:lineRule="exact"/>
              <w:jc w:val="right"/>
              <w:rPr>
                <w:rFonts w:ascii="Times New Roman" w:hAnsi="Times New Roman" w:eastAsia="方正书宋_GBK" w:cs="Times New Roman"/>
              </w:rPr>
            </w:pPr>
          </w:p>
        </w:tc>
        <w:tc>
          <w:tcPr>
            <w:tcW w:w="907"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b/>
              </w:rPr>
            </w:pPr>
            <w:r>
              <w:rPr>
                <w:rFonts w:ascii="Times New Roman" w:hAnsi="Times New Roman" w:eastAsia="方正书宋_GBK" w:cs="Times New Roman"/>
                <w:b/>
              </w:rPr>
              <w:t>（预算单位2</w:t>
            </w:r>
            <w:r>
              <w:rPr>
                <w:rFonts w:hint="default" w:ascii="Times New Roman" w:hAnsi="Times New Roman" w:eastAsia="方正书宋_GBK" w:cs="Times New Roman"/>
                <w:b/>
                <w:lang w:eastAsia="zh-CN"/>
              </w:rPr>
              <w:t>）</w:t>
            </w:r>
            <w:r>
              <w:rPr>
                <w:rFonts w:ascii="Times New Roman" w:hAnsi="Times New Roman" w:eastAsia="方正书宋_GBK" w:cs="Times New Roman"/>
                <w:b/>
              </w:rPr>
              <w:t>小计</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531" w:type="dxa"/>
            <w:shd w:val="clear" w:color="auto" w:fill="auto"/>
            <w:vAlign w:val="center"/>
          </w:tcPr>
          <w:p>
            <w:pPr>
              <w:spacing w:line="300" w:lineRule="exact"/>
              <w:jc w:val="left"/>
              <w:rPr>
                <w:rFonts w:ascii="Times New Roman" w:hAnsi="Times New Roman" w:eastAsia="方正书宋_GBK" w:cs="Times New Roman"/>
              </w:rPr>
            </w:pPr>
          </w:p>
        </w:tc>
        <w:tc>
          <w:tcPr>
            <w:tcW w:w="1531" w:type="dxa"/>
            <w:shd w:val="clear" w:color="auto" w:fill="auto"/>
            <w:vAlign w:val="center"/>
          </w:tcPr>
          <w:p>
            <w:pPr>
              <w:spacing w:line="300" w:lineRule="exact"/>
              <w:jc w:val="left"/>
              <w:rPr>
                <w:rFonts w:ascii="Times New Roman" w:hAnsi="Times New Roman" w:eastAsia="方正书宋_GBK" w:cs="Times New Roman"/>
              </w:rPr>
            </w:pPr>
          </w:p>
        </w:tc>
        <w:tc>
          <w:tcPr>
            <w:tcW w:w="709" w:type="dxa"/>
            <w:shd w:val="clear" w:color="auto" w:fill="auto"/>
            <w:vAlign w:val="center"/>
          </w:tcPr>
          <w:p>
            <w:pPr>
              <w:spacing w:line="300" w:lineRule="exact"/>
              <w:jc w:val="center"/>
              <w:rPr>
                <w:rFonts w:ascii="Times New Roman" w:hAnsi="Times New Roman" w:eastAsia="方正书宋_GBK" w:cs="Times New Roman"/>
              </w:rPr>
            </w:pPr>
          </w:p>
        </w:tc>
        <w:tc>
          <w:tcPr>
            <w:tcW w:w="907" w:type="dxa"/>
            <w:shd w:val="clear" w:color="auto" w:fill="auto"/>
            <w:vAlign w:val="center"/>
          </w:tcPr>
          <w:p>
            <w:pPr>
              <w:spacing w:line="300" w:lineRule="exact"/>
              <w:jc w:val="right"/>
              <w:rPr>
                <w:rFonts w:ascii="Times New Roman" w:hAnsi="Times New Roman" w:eastAsia="方正书宋_GBK" w:cs="Times New Roman"/>
              </w:rPr>
            </w:pPr>
          </w:p>
        </w:tc>
        <w:tc>
          <w:tcPr>
            <w:tcW w:w="907"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531" w:type="dxa"/>
            <w:shd w:val="clear" w:color="auto" w:fill="auto"/>
            <w:vAlign w:val="center"/>
          </w:tcPr>
          <w:p>
            <w:pPr>
              <w:spacing w:line="300" w:lineRule="exact"/>
              <w:jc w:val="left"/>
              <w:rPr>
                <w:rFonts w:ascii="Times New Roman" w:hAnsi="Times New Roman" w:eastAsia="方正书宋_GBK" w:cs="Times New Roman"/>
              </w:rPr>
            </w:pPr>
          </w:p>
        </w:tc>
        <w:tc>
          <w:tcPr>
            <w:tcW w:w="1531" w:type="dxa"/>
            <w:shd w:val="clear" w:color="auto" w:fill="auto"/>
            <w:vAlign w:val="center"/>
          </w:tcPr>
          <w:p>
            <w:pPr>
              <w:spacing w:line="300" w:lineRule="exact"/>
              <w:jc w:val="left"/>
              <w:rPr>
                <w:rFonts w:ascii="Times New Roman" w:hAnsi="Times New Roman" w:eastAsia="方正书宋_GBK" w:cs="Times New Roman"/>
              </w:rPr>
            </w:pPr>
          </w:p>
        </w:tc>
        <w:tc>
          <w:tcPr>
            <w:tcW w:w="709" w:type="dxa"/>
            <w:shd w:val="clear" w:color="auto" w:fill="auto"/>
            <w:vAlign w:val="center"/>
          </w:tcPr>
          <w:p>
            <w:pPr>
              <w:spacing w:line="300" w:lineRule="exact"/>
              <w:jc w:val="center"/>
              <w:rPr>
                <w:rFonts w:ascii="Times New Roman" w:hAnsi="Times New Roman" w:eastAsia="方正书宋_GBK" w:cs="Times New Roman"/>
              </w:rPr>
            </w:pPr>
          </w:p>
        </w:tc>
        <w:tc>
          <w:tcPr>
            <w:tcW w:w="907" w:type="dxa"/>
            <w:shd w:val="clear" w:color="auto" w:fill="auto"/>
            <w:vAlign w:val="center"/>
          </w:tcPr>
          <w:p>
            <w:pPr>
              <w:spacing w:line="300" w:lineRule="exact"/>
              <w:jc w:val="right"/>
              <w:rPr>
                <w:rFonts w:ascii="Times New Roman" w:hAnsi="Times New Roman" w:eastAsia="方正书宋_GBK" w:cs="Times New Roman"/>
              </w:rPr>
            </w:pPr>
          </w:p>
        </w:tc>
        <w:tc>
          <w:tcPr>
            <w:tcW w:w="907"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531" w:type="dxa"/>
            <w:shd w:val="clear" w:color="auto" w:fill="auto"/>
            <w:vAlign w:val="center"/>
          </w:tcPr>
          <w:p>
            <w:pPr>
              <w:spacing w:line="300" w:lineRule="exact"/>
              <w:jc w:val="left"/>
              <w:rPr>
                <w:rFonts w:ascii="Times New Roman" w:hAnsi="Times New Roman" w:eastAsia="方正书宋_GBK" w:cs="Times New Roman"/>
              </w:rPr>
            </w:pPr>
          </w:p>
        </w:tc>
        <w:tc>
          <w:tcPr>
            <w:tcW w:w="1531" w:type="dxa"/>
            <w:shd w:val="clear" w:color="auto" w:fill="auto"/>
            <w:vAlign w:val="center"/>
          </w:tcPr>
          <w:p>
            <w:pPr>
              <w:spacing w:line="300" w:lineRule="exact"/>
              <w:jc w:val="left"/>
              <w:rPr>
                <w:rFonts w:ascii="Times New Roman" w:hAnsi="Times New Roman" w:eastAsia="方正书宋_GBK" w:cs="Times New Roman"/>
              </w:rPr>
            </w:pPr>
          </w:p>
        </w:tc>
        <w:tc>
          <w:tcPr>
            <w:tcW w:w="709" w:type="dxa"/>
            <w:shd w:val="clear" w:color="auto" w:fill="auto"/>
            <w:vAlign w:val="center"/>
          </w:tcPr>
          <w:p>
            <w:pPr>
              <w:spacing w:line="300" w:lineRule="exact"/>
              <w:jc w:val="center"/>
              <w:rPr>
                <w:rFonts w:ascii="Times New Roman" w:hAnsi="Times New Roman" w:eastAsia="方正书宋_GBK" w:cs="Times New Roman"/>
              </w:rPr>
            </w:pPr>
          </w:p>
        </w:tc>
        <w:tc>
          <w:tcPr>
            <w:tcW w:w="907" w:type="dxa"/>
            <w:shd w:val="clear" w:color="auto" w:fill="auto"/>
            <w:vAlign w:val="center"/>
          </w:tcPr>
          <w:p>
            <w:pPr>
              <w:spacing w:line="300" w:lineRule="exact"/>
              <w:jc w:val="right"/>
              <w:rPr>
                <w:rFonts w:ascii="Times New Roman" w:hAnsi="Times New Roman" w:eastAsia="方正书宋_GBK" w:cs="Times New Roman"/>
              </w:rPr>
            </w:pPr>
          </w:p>
        </w:tc>
        <w:tc>
          <w:tcPr>
            <w:tcW w:w="907"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bl>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（注：无政府采购预算，空表列示）</w:t>
      </w:r>
    </w:p>
    <w:p>
      <w:pPr>
        <w:autoSpaceDE w:val="0"/>
        <w:autoSpaceDN w:val="0"/>
        <w:adjustRightInd w:val="0"/>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河北雄安新区中级人民法院（含所属单位）上年末固定资产金额为100.18万元（详见下表），本年度各单位（处室）拟购置固定资产总额为0万元，详见政府采购预算表。</w:t>
      </w:r>
    </w:p>
    <w:tbl>
      <w:tblPr>
        <w:tblStyle w:val="10"/>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b/>
                <w:bCs/>
                <w:kern w:val="0"/>
                <w:sz w:val="32"/>
                <w:szCs w:val="32"/>
              </w:rPr>
            </w:pPr>
            <w:r>
              <w:rPr>
                <w:rFonts w:ascii="Times New Roman" w:hAnsi="Times New Roman" w:eastAsia="宋体" w:cs="Times New Roman"/>
                <w:b/>
                <w:bCs/>
                <w:kern w:val="0"/>
                <w:sz w:val="32"/>
                <w:szCs w:val="32"/>
              </w:rPr>
              <w:t>河北省省直部门固定资产占用情况表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编制部门：河北雄安新区中级人民法院</w:t>
            </w:r>
          </w:p>
        </w:tc>
        <w:tc>
          <w:tcPr>
            <w:tcW w:w="5103"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截止时间：2020年12月31日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 w:val="22"/>
              </w:rPr>
            </w:pPr>
            <w:r>
              <w:rPr>
                <w:rFonts w:ascii="Times New Roman" w:hAnsi="Times New Roman" w:cs="Times New Roman"/>
                <w:sz w:val="22"/>
              </w:rPr>
              <w:t>454</w:t>
            </w:r>
          </w:p>
        </w:tc>
        <w:tc>
          <w:tcPr>
            <w:tcW w:w="510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 w:val="22"/>
              </w:rPr>
            </w:pPr>
            <w:r>
              <w:rPr>
                <w:rFonts w:ascii="Times New Roman" w:hAnsi="Times New Roman" w:cs="Times New Roman"/>
                <w:sz w:val="22"/>
              </w:rPr>
              <w:t>100.18</w:t>
            </w:r>
          </w:p>
        </w:tc>
      </w:tr>
    </w:tbl>
    <w:p>
      <w:pPr>
        <w:autoSpaceDE w:val="0"/>
        <w:autoSpaceDN w:val="0"/>
        <w:adjustRightInd w:val="0"/>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1</w:t>
      </w:r>
      <w:r>
        <w:rPr>
          <w:rFonts w:hint="eastAsia" w:ascii="Times New Roman" w:hAnsi="Times New Roman" w:eastAsia="方正仿宋_GBK" w:cs="Times New Roman"/>
          <w:b/>
          <w:sz w:val="32"/>
          <w:szCs w:val="32"/>
          <w:lang w:val="en-US" w:eastAsia="zh-CN"/>
        </w:rPr>
        <w:t>.</w:t>
      </w:r>
      <w:r>
        <w:rPr>
          <w:rFonts w:ascii="Times New Roman" w:hAnsi="Times New Roman" w:eastAsia="方正仿宋_GBK" w:cs="Times New Roman"/>
          <w:b/>
          <w:sz w:val="32"/>
          <w:szCs w:val="32"/>
        </w:rPr>
        <w:t>一般公共预算拨款收入：</w:t>
      </w:r>
      <w:r>
        <w:rPr>
          <w:rFonts w:ascii="Times New Roman" w:hAnsi="Times New Roman" w:eastAsia="方正仿宋_GBK" w:cs="Times New Roman"/>
          <w:sz w:val="32"/>
          <w:szCs w:val="32"/>
        </w:rPr>
        <w:t>指省级财政当年拨付的资金。</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2</w:t>
      </w:r>
      <w:r>
        <w:rPr>
          <w:rFonts w:hint="eastAsia" w:ascii="Times New Roman" w:hAnsi="Times New Roman" w:eastAsia="方正仿宋_GBK" w:cs="Times New Roman"/>
          <w:b/>
          <w:sz w:val="32"/>
          <w:szCs w:val="32"/>
          <w:lang w:val="en-US" w:eastAsia="zh-CN"/>
        </w:rPr>
        <w:t>.</w:t>
      </w:r>
      <w:r>
        <w:rPr>
          <w:rFonts w:ascii="Times New Roman" w:hAnsi="Times New Roman" w:eastAsia="方正仿宋_GBK" w:cs="Times New Roman"/>
          <w:b/>
          <w:sz w:val="32"/>
          <w:szCs w:val="32"/>
        </w:rPr>
        <w:t>事业收入：</w:t>
      </w:r>
      <w:r>
        <w:rPr>
          <w:rFonts w:ascii="Times New Roman" w:hAnsi="Times New Roman" w:eastAsia="方正仿宋_GBK" w:cs="Times New Roman"/>
          <w:sz w:val="32"/>
          <w:szCs w:val="32"/>
        </w:rPr>
        <w:t>指事业单位开展专业业务活动及辅助活动所取得的收入。</w:t>
      </w:r>
    </w:p>
    <w:p>
      <w:pPr>
        <w:tabs>
          <w:tab w:val="left" w:pos="11490"/>
        </w:tabs>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w:t>
      </w:r>
      <w:r>
        <w:rPr>
          <w:rFonts w:hint="eastAsia" w:ascii="Times New Roman" w:hAnsi="Times New Roman" w:eastAsia="方正仿宋_GBK" w:cs="Times New Roman"/>
          <w:b/>
          <w:sz w:val="32"/>
          <w:szCs w:val="32"/>
          <w:lang w:val="en-US" w:eastAsia="zh-CN"/>
        </w:rPr>
        <w:t>.</w:t>
      </w:r>
      <w:r>
        <w:rPr>
          <w:rFonts w:ascii="Times New Roman" w:hAnsi="Times New Roman" w:eastAsia="方正仿宋_GBK" w:cs="Times New Roman"/>
          <w:b/>
          <w:sz w:val="32"/>
          <w:szCs w:val="32"/>
        </w:rPr>
        <w:t>其他收入：</w:t>
      </w:r>
      <w:r>
        <w:rPr>
          <w:rFonts w:ascii="Times New Roman" w:hAnsi="Times New Roman" w:eastAsia="方正仿宋_GBK" w:cs="Times New Roman"/>
          <w:sz w:val="32"/>
          <w:szCs w:val="32"/>
        </w:rPr>
        <w:t>指除</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一般公共预算拨款收入</w:t>
      </w:r>
      <w:r>
        <w:rPr>
          <w:rFonts w:hint="eastAsia" w:ascii="Times New Roman" w:hAnsi="Times New Roman" w:eastAsia="方正仿宋_GBK" w:cs="Times New Roman"/>
          <w:sz w:val="32"/>
          <w:szCs w:val="32"/>
          <w:lang w:eastAsia="zh-CN"/>
        </w:rPr>
        <w:t>”</w:t>
      </w:r>
      <w:bookmarkStart w:id="2" w:name="_GoBack"/>
      <w:bookmarkEnd w:id="2"/>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事业收入</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等以外的收入。主要是按规定动用的租房收入、存款利息收入等。</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4</w:t>
      </w:r>
      <w:r>
        <w:rPr>
          <w:rFonts w:hint="eastAsia" w:ascii="Times New Roman" w:hAnsi="Times New Roman" w:eastAsia="方正仿宋_GBK" w:cs="Times New Roman"/>
          <w:b/>
          <w:sz w:val="32"/>
          <w:szCs w:val="32"/>
          <w:lang w:val="en-US" w:eastAsia="zh-CN"/>
        </w:rPr>
        <w:t>.</w:t>
      </w:r>
      <w:r>
        <w:rPr>
          <w:rFonts w:ascii="Times New Roman" w:hAnsi="Times New Roman" w:eastAsia="方正仿宋_GBK" w:cs="Times New Roman"/>
          <w:b/>
          <w:sz w:val="32"/>
          <w:szCs w:val="32"/>
        </w:rPr>
        <w:t>基本支出：</w:t>
      </w:r>
      <w:r>
        <w:rPr>
          <w:rFonts w:ascii="Times New Roman" w:hAnsi="Times New Roman" w:eastAsia="方正仿宋_GBK" w:cs="Times New Roman"/>
          <w:sz w:val="32"/>
          <w:szCs w:val="32"/>
        </w:rPr>
        <w:t>指为保障机构正常运转、完成日常工作任务而发生的人员支出和公用支出。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5</w:t>
      </w:r>
      <w:r>
        <w:rPr>
          <w:rFonts w:hint="eastAsia" w:ascii="Times New Roman" w:hAnsi="Times New Roman" w:eastAsia="方正仿宋_GBK" w:cs="Times New Roman"/>
          <w:b/>
          <w:sz w:val="32"/>
          <w:szCs w:val="32"/>
          <w:lang w:val="en-US" w:eastAsia="zh-CN"/>
        </w:rPr>
        <w:t>.</w:t>
      </w:r>
      <w:r>
        <w:rPr>
          <w:rFonts w:ascii="Times New Roman" w:hAnsi="Times New Roman" w:eastAsia="方正仿宋_GBK" w:cs="Times New Roman"/>
          <w:b/>
          <w:sz w:val="32"/>
          <w:szCs w:val="32"/>
        </w:rPr>
        <w:t>项目支出：</w:t>
      </w:r>
      <w:r>
        <w:rPr>
          <w:rFonts w:ascii="Times New Roman" w:hAnsi="Times New Roman" w:eastAsia="方正仿宋_GBK" w:cs="Times New Roman"/>
          <w:sz w:val="32"/>
          <w:szCs w:val="32"/>
        </w:rPr>
        <w:t>指在基本支出之外为完成特定行政任务和事业发展目标所发生的支出。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6</w:t>
      </w:r>
      <w:r>
        <w:rPr>
          <w:rFonts w:hint="eastAsia" w:ascii="Times New Roman" w:hAnsi="Times New Roman" w:eastAsia="方正仿宋_GBK" w:cs="Times New Roman"/>
          <w:b/>
          <w:sz w:val="32"/>
          <w:szCs w:val="32"/>
          <w:lang w:val="en-US" w:eastAsia="zh-CN"/>
        </w:rPr>
        <w:t>.</w:t>
      </w:r>
      <w:r>
        <w:rPr>
          <w:rFonts w:ascii="Times New Roman" w:hAnsi="Times New Roman" w:eastAsia="方正仿宋_GBK" w:cs="Times New Roman"/>
          <w:b/>
          <w:sz w:val="32"/>
          <w:szCs w:val="32"/>
        </w:rPr>
        <w:t>上缴上级支出：</w:t>
      </w:r>
      <w:r>
        <w:rPr>
          <w:rFonts w:ascii="Times New Roman" w:hAnsi="Times New Roman" w:eastAsia="方正仿宋_GBK" w:cs="Times New Roman"/>
          <w:sz w:val="32"/>
          <w:szCs w:val="32"/>
        </w:rPr>
        <w:t>指下级单位上缴上级的支出。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7</w:t>
      </w:r>
      <w:r>
        <w:rPr>
          <w:rFonts w:hint="eastAsia" w:ascii="Times New Roman" w:hAnsi="Times New Roman" w:eastAsia="方正仿宋_GBK" w:cs="Times New Roman"/>
          <w:b/>
          <w:sz w:val="32"/>
          <w:szCs w:val="32"/>
          <w:lang w:val="en-US" w:eastAsia="zh-CN"/>
        </w:rPr>
        <w:t>.</w:t>
      </w:r>
      <w:r>
        <w:rPr>
          <w:rFonts w:hint="eastAsia" w:ascii="Times New Roman" w:hAnsi="Times New Roman" w:eastAsia="方正仿宋_GBK" w:cs="Times New Roman"/>
          <w:b/>
          <w:sz w:val="32"/>
          <w:szCs w:val="32"/>
        </w:rPr>
        <w:t>“</w:t>
      </w:r>
      <w:r>
        <w:rPr>
          <w:rFonts w:ascii="Times New Roman" w:hAnsi="Times New Roman" w:eastAsia="方正仿宋_GBK" w:cs="Times New Roman"/>
          <w:b/>
          <w:sz w:val="32"/>
          <w:szCs w:val="32"/>
        </w:rPr>
        <w:t>三公</w:t>
      </w:r>
      <w:r>
        <w:rPr>
          <w:rFonts w:hint="eastAsia" w:ascii="Times New Roman" w:hAnsi="Times New Roman" w:eastAsia="方正仿宋_GBK" w:cs="Times New Roman"/>
          <w:b/>
          <w:sz w:val="32"/>
          <w:szCs w:val="32"/>
          <w:lang w:eastAsia="zh-CN"/>
        </w:rPr>
        <w:t>”</w:t>
      </w:r>
      <w:r>
        <w:rPr>
          <w:rFonts w:ascii="Times New Roman" w:hAnsi="Times New Roman" w:eastAsia="方正仿宋_GBK" w:cs="Times New Roman"/>
          <w:b/>
          <w:sz w:val="32"/>
          <w:szCs w:val="32"/>
        </w:rPr>
        <w:t>经费：</w:t>
      </w:r>
      <w:r>
        <w:rPr>
          <w:rFonts w:ascii="Times New Roman" w:hAnsi="Times New Roman" w:eastAsia="方正仿宋_GBK" w:cs="Times New Roman"/>
          <w:sz w:val="32"/>
          <w:szCs w:val="32"/>
        </w:rPr>
        <w:t>纳入省级财政预算管理的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三公</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8</w:t>
      </w:r>
      <w:r>
        <w:rPr>
          <w:rFonts w:hint="eastAsia" w:ascii="Times New Roman" w:hAnsi="Times New Roman" w:eastAsia="方正仿宋_GBK" w:cs="Times New Roman"/>
          <w:b/>
          <w:sz w:val="32"/>
          <w:szCs w:val="32"/>
          <w:lang w:val="en-US" w:eastAsia="zh-CN"/>
        </w:rPr>
        <w:t>.</w:t>
      </w:r>
      <w:r>
        <w:rPr>
          <w:rFonts w:ascii="Times New Roman" w:hAnsi="Times New Roman" w:eastAsia="方正仿宋_GBK" w:cs="Times New Roman"/>
          <w:b/>
          <w:sz w:val="32"/>
          <w:szCs w:val="32"/>
        </w:rPr>
        <w:t>机关运行费：</w:t>
      </w:r>
      <w:r>
        <w:rPr>
          <w:rFonts w:ascii="Times New Roman" w:hAnsi="Times New Roman" w:eastAsia="方正仿宋_GBK" w:cs="Times New Roman"/>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9</w:t>
      </w:r>
      <w:r>
        <w:rPr>
          <w:rFonts w:hint="eastAsia" w:ascii="Times New Roman" w:hAnsi="Times New Roman" w:eastAsia="方正仿宋_GBK" w:cs="Times New Roman"/>
          <w:b/>
          <w:sz w:val="32"/>
          <w:szCs w:val="32"/>
          <w:lang w:val="en-US" w:eastAsia="zh-CN"/>
        </w:rPr>
        <w:t>.</w:t>
      </w:r>
      <w:r>
        <w:rPr>
          <w:rFonts w:ascii="Times New Roman" w:hAnsi="Times New Roman" w:eastAsia="方正仿宋_GBK" w:cs="Times New Roman"/>
          <w:b/>
          <w:sz w:val="32"/>
          <w:szCs w:val="32"/>
        </w:rPr>
        <w:t>上年结转：</w:t>
      </w:r>
      <w:r>
        <w:rPr>
          <w:rFonts w:ascii="Times New Roman" w:hAnsi="Times New Roman" w:eastAsia="方正仿宋_GBK" w:cs="Times New Roman"/>
          <w:sz w:val="32"/>
          <w:szCs w:val="32"/>
        </w:rPr>
        <w:t>指以前年度尚未完成、结转到本年仍按原规定用途继续使用的资金。</w:t>
      </w:r>
    </w:p>
    <w:p>
      <w:pPr>
        <w:autoSpaceDE w:val="0"/>
        <w:autoSpaceDN w:val="0"/>
        <w:adjustRightInd w:val="0"/>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我部门无其他需要说明的事项。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书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34786"/>
    <w:rsid w:val="00037AF6"/>
    <w:rsid w:val="000405D0"/>
    <w:rsid w:val="0004257D"/>
    <w:rsid w:val="00042F57"/>
    <w:rsid w:val="0006483E"/>
    <w:rsid w:val="00075D5F"/>
    <w:rsid w:val="0008102F"/>
    <w:rsid w:val="00087AAF"/>
    <w:rsid w:val="000B529B"/>
    <w:rsid w:val="000C3A19"/>
    <w:rsid w:val="000E617A"/>
    <w:rsid w:val="00104D5C"/>
    <w:rsid w:val="00116F5A"/>
    <w:rsid w:val="00122B38"/>
    <w:rsid w:val="001245BB"/>
    <w:rsid w:val="001251A3"/>
    <w:rsid w:val="00146AA7"/>
    <w:rsid w:val="00165123"/>
    <w:rsid w:val="0018714B"/>
    <w:rsid w:val="0019071F"/>
    <w:rsid w:val="001B4EF3"/>
    <w:rsid w:val="001B5B76"/>
    <w:rsid w:val="001F3E82"/>
    <w:rsid w:val="001F7873"/>
    <w:rsid w:val="00201B2D"/>
    <w:rsid w:val="00241FD4"/>
    <w:rsid w:val="00251B12"/>
    <w:rsid w:val="00296113"/>
    <w:rsid w:val="002A673A"/>
    <w:rsid w:val="002C07BE"/>
    <w:rsid w:val="002C5E13"/>
    <w:rsid w:val="002C62BC"/>
    <w:rsid w:val="002C7DF9"/>
    <w:rsid w:val="002E0EB8"/>
    <w:rsid w:val="002E5944"/>
    <w:rsid w:val="002F126F"/>
    <w:rsid w:val="002F3E58"/>
    <w:rsid w:val="0030542C"/>
    <w:rsid w:val="00311B7A"/>
    <w:rsid w:val="00372FA3"/>
    <w:rsid w:val="0038431E"/>
    <w:rsid w:val="003D24CB"/>
    <w:rsid w:val="003D2C83"/>
    <w:rsid w:val="003D417F"/>
    <w:rsid w:val="003F60E9"/>
    <w:rsid w:val="00402DEE"/>
    <w:rsid w:val="004248B8"/>
    <w:rsid w:val="00424943"/>
    <w:rsid w:val="0043175C"/>
    <w:rsid w:val="0043380A"/>
    <w:rsid w:val="00436327"/>
    <w:rsid w:val="00437296"/>
    <w:rsid w:val="00451590"/>
    <w:rsid w:val="00451871"/>
    <w:rsid w:val="004631FC"/>
    <w:rsid w:val="004706DE"/>
    <w:rsid w:val="00472923"/>
    <w:rsid w:val="00485694"/>
    <w:rsid w:val="004868C2"/>
    <w:rsid w:val="0049455E"/>
    <w:rsid w:val="00496109"/>
    <w:rsid w:val="004B0C3A"/>
    <w:rsid w:val="004D5788"/>
    <w:rsid w:val="004E3066"/>
    <w:rsid w:val="004E74CD"/>
    <w:rsid w:val="005069C1"/>
    <w:rsid w:val="00516E04"/>
    <w:rsid w:val="00555898"/>
    <w:rsid w:val="00565588"/>
    <w:rsid w:val="00572067"/>
    <w:rsid w:val="00573562"/>
    <w:rsid w:val="00590ECE"/>
    <w:rsid w:val="005915C2"/>
    <w:rsid w:val="00592ADD"/>
    <w:rsid w:val="005A2F44"/>
    <w:rsid w:val="00602878"/>
    <w:rsid w:val="00614A29"/>
    <w:rsid w:val="0061668A"/>
    <w:rsid w:val="00643AA7"/>
    <w:rsid w:val="00653C6B"/>
    <w:rsid w:val="0066346C"/>
    <w:rsid w:val="00673D76"/>
    <w:rsid w:val="00674CD7"/>
    <w:rsid w:val="006854F0"/>
    <w:rsid w:val="0069624B"/>
    <w:rsid w:val="006B1C4A"/>
    <w:rsid w:val="006B610D"/>
    <w:rsid w:val="006D2233"/>
    <w:rsid w:val="006E49F5"/>
    <w:rsid w:val="006E7E97"/>
    <w:rsid w:val="007013C8"/>
    <w:rsid w:val="007037AA"/>
    <w:rsid w:val="00717B1E"/>
    <w:rsid w:val="00753836"/>
    <w:rsid w:val="0075393C"/>
    <w:rsid w:val="00754592"/>
    <w:rsid w:val="0077207E"/>
    <w:rsid w:val="00774E96"/>
    <w:rsid w:val="00776C08"/>
    <w:rsid w:val="00786726"/>
    <w:rsid w:val="007C180B"/>
    <w:rsid w:val="007C219A"/>
    <w:rsid w:val="007C4F9B"/>
    <w:rsid w:val="007E1DA8"/>
    <w:rsid w:val="007F6C26"/>
    <w:rsid w:val="007F7214"/>
    <w:rsid w:val="00813208"/>
    <w:rsid w:val="008334AE"/>
    <w:rsid w:val="00836FED"/>
    <w:rsid w:val="0083724E"/>
    <w:rsid w:val="00845CD2"/>
    <w:rsid w:val="00852176"/>
    <w:rsid w:val="00852B0D"/>
    <w:rsid w:val="00881692"/>
    <w:rsid w:val="00883D1A"/>
    <w:rsid w:val="008A17A4"/>
    <w:rsid w:val="008A25C2"/>
    <w:rsid w:val="008A6576"/>
    <w:rsid w:val="008B3CC5"/>
    <w:rsid w:val="008B52CD"/>
    <w:rsid w:val="008E4261"/>
    <w:rsid w:val="008F4662"/>
    <w:rsid w:val="00905D08"/>
    <w:rsid w:val="00925753"/>
    <w:rsid w:val="009425F4"/>
    <w:rsid w:val="00942A2B"/>
    <w:rsid w:val="00966C5C"/>
    <w:rsid w:val="00973104"/>
    <w:rsid w:val="00995BF0"/>
    <w:rsid w:val="009A16D5"/>
    <w:rsid w:val="009A353D"/>
    <w:rsid w:val="009B0B77"/>
    <w:rsid w:val="009B511E"/>
    <w:rsid w:val="00A02FED"/>
    <w:rsid w:val="00A27AB7"/>
    <w:rsid w:val="00A44E3D"/>
    <w:rsid w:val="00A62942"/>
    <w:rsid w:val="00A72D2E"/>
    <w:rsid w:val="00A74447"/>
    <w:rsid w:val="00A74CE5"/>
    <w:rsid w:val="00A911E7"/>
    <w:rsid w:val="00A939D9"/>
    <w:rsid w:val="00AE0E74"/>
    <w:rsid w:val="00B07D9E"/>
    <w:rsid w:val="00B20712"/>
    <w:rsid w:val="00B43238"/>
    <w:rsid w:val="00B45DD3"/>
    <w:rsid w:val="00B52632"/>
    <w:rsid w:val="00B727A9"/>
    <w:rsid w:val="00B75216"/>
    <w:rsid w:val="00B91D52"/>
    <w:rsid w:val="00B9490F"/>
    <w:rsid w:val="00BA1ACD"/>
    <w:rsid w:val="00BA1ED6"/>
    <w:rsid w:val="00BA534E"/>
    <w:rsid w:val="00BD09F8"/>
    <w:rsid w:val="00BD4B2D"/>
    <w:rsid w:val="00BE0E8E"/>
    <w:rsid w:val="00C0360F"/>
    <w:rsid w:val="00C40440"/>
    <w:rsid w:val="00C5353A"/>
    <w:rsid w:val="00C82DF1"/>
    <w:rsid w:val="00CA7176"/>
    <w:rsid w:val="00CB3D48"/>
    <w:rsid w:val="00CB4665"/>
    <w:rsid w:val="00CC75B0"/>
    <w:rsid w:val="00CD2773"/>
    <w:rsid w:val="00CD31CC"/>
    <w:rsid w:val="00CE143B"/>
    <w:rsid w:val="00D0024A"/>
    <w:rsid w:val="00D27003"/>
    <w:rsid w:val="00DB4A9B"/>
    <w:rsid w:val="00DD5C9A"/>
    <w:rsid w:val="00DE0873"/>
    <w:rsid w:val="00E167C7"/>
    <w:rsid w:val="00E2482E"/>
    <w:rsid w:val="00E273A5"/>
    <w:rsid w:val="00E41AAA"/>
    <w:rsid w:val="00E61DF2"/>
    <w:rsid w:val="00E73D47"/>
    <w:rsid w:val="00E82C63"/>
    <w:rsid w:val="00EB56BC"/>
    <w:rsid w:val="00EC47F6"/>
    <w:rsid w:val="00ED7397"/>
    <w:rsid w:val="00EE65B8"/>
    <w:rsid w:val="00F00AAB"/>
    <w:rsid w:val="00F149E2"/>
    <w:rsid w:val="00F159B6"/>
    <w:rsid w:val="00F66032"/>
    <w:rsid w:val="00F728BF"/>
    <w:rsid w:val="00F7301D"/>
    <w:rsid w:val="00F87C1E"/>
    <w:rsid w:val="00F93F68"/>
    <w:rsid w:val="00F958C2"/>
    <w:rsid w:val="00FA3D33"/>
    <w:rsid w:val="00FD1C1D"/>
    <w:rsid w:val="00FD351A"/>
    <w:rsid w:val="00FE75D7"/>
    <w:rsid w:val="416D0AE1"/>
    <w:rsid w:val="46CD359F"/>
    <w:rsid w:val="572D0DA5"/>
    <w:rsid w:val="600855E6"/>
    <w:rsid w:val="75733A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Plain Text"/>
    <w:basedOn w:val="1"/>
    <w:link w:val="21"/>
    <w:uiPriority w:val="99"/>
    <w:pPr>
      <w:widowControl/>
      <w:autoSpaceDE w:val="0"/>
      <w:autoSpaceDN w:val="0"/>
      <w:adjustRightInd w:val="0"/>
    </w:pPr>
    <w:rPr>
      <w:rFonts w:ascii="宋体" w:hAnsi="Times New Roman" w:eastAsia="宋体" w:cs="宋体"/>
      <w:kern w:val="0"/>
      <w:szCs w:val="21"/>
    </w:rPr>
  </w:style>
  <w:style w:type="paragraph" w:styleId="4">
    <w:name w:val="Balloon Text"/>
    <w:basedOn w:val="1"/>
    <w:link w:val="17"/>
    <w:semiHidden/>
    <w:unhideWhenUsed/>
    <w:uiPriority w:val="99"/>
    <w:rPr>
      <w:sz w:val="18"/>
      <w:szCs w:val="18"/>
    </w:rPr>
  </w:style>
  <w:style w:type="paragraph" w:styleId="5">
    <w:name w:val="footer"/>
    <w:basedOn w:val="1"/>
    <w:link w:val="16"/>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6">
    <w:name w:val="header"/>
    <w:basedOn w:val="1"/>
    <w:link w:val="15"/>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7">
    <w:name w:val="toc 1"/>
    <w:basedOn w:val="1"/>
    <w:next w:val="1"/>
    <w:uiPriority w:val="39"/>
    <w:rPr>
      <w:rFonts w:ascii="Times New Roman" w:hAnsi="Times New Roman" w:eastAsia="宋体" w:cs="Times New Roman"/>
      <w:szCs w:val="24"/>
    </w:rPr>
  </w:style>
  <w:style w:type="paragraph" w:styleId="8">
    <w:name w:val="footnote text"/>
    <w:basedOn w:val="1"/>
    <w:link w:val="19"/>
    <w:semiHidden/>
    <w:unhideWhenUsed/>
    <w:qFormat/>
    <w:uiPriority w:val="99"/>
    <w:pPr>
      <w:snapToGrid w:val="0"/>
      <w:jc w:val="left"/>
    </w:pPr>
    <w:rPr>
      <w:rFonts w:ascii="Calibri" w:hAnsi="Calibri" w:eastAsia="宋体" w:cs="Times New Roman"/>
      <w:sz w:val="18"/>
      <w:szCs w:val="18"/>
    </w:rPr>
  </w:style>
  <w:style w:type="paragraph" w:styleId="9">
    <w:name w:val="toc 2"/>
    <w:basedOn w:val="1"/>
    <w:next w:val="1"/>
    <w:uiPriority w:val="39"/>
    <w:pPr>
      <w:ind w:left="420" w:leftChars="200"/>
    </w:pPr>
    <w:rPr>
      <w:rFonts w:ascii="Times New Roman" w:hAnsi="Times New Roman" w:eastAsia="宋体" w:cs="Times New Roman"/>
      <w:szCs w:val="24"/>
    </w:rPr>
  </w:style>
  <w:style w:type="character" w:styleId="12">
    <w:name w:val="page number"/>
    <w:semiHidden/>
    <w:unhideWhenUsed/>
    <w:uiPriority w:val="99"/>
  </w:style>
  <w:style w:type="character" w:styleId="13">
    <w:name w:val="Hyperlink"/>
    <w:unhideWhenUsed/>
    <w:qFormat/>
    <w:uiPriority w:val="99"/>
    <w:rPr>
      <w:color w:val="0000FF"/>
      <w:u w:val="single"/>
    </w:rPr>
  </w:style>
  <w:style w:type="character" w:styleId="14">
    <w:name w:val="footnote reference"/>
    <w:semiHidden/>
    <w:unhideWhenUsed/>
    <w:qFormat/>
    <w:uiPriority w:val="99"/>
    <w:rPr>
      <w:vertAlign w:val="superscript"/>
    </w:rPr>
  </w:style>
  <w:style w:type="character" w:customStyle="1" w:styleId="15">
    <w:name w:val="页眉 Char"/>
    <w:basedOn w:val="11"/>
    <w:link w:val="6"/>
    <w:uiPriority w:val="99"/>
    <w:rPr>
      <w:rFonts w:ascii="Times New Roman" w:hAnsi="Times New Roman" w:eastAsia="宋体" w:cs="Times New Roman"/>
      <w:sz w:val="18"/>
      <w:szCs w:val="18"/>
    </w:rPr>
  </w:style>
  <w:style w:type="character" w:customStyle="1" w:styleId="16">
    <w:name w:val="页脚 Char"/>
    <w:basedOn w:val="11"/>
    <w:link w:val="5"/>
    <w:uiPriority w:val="99"/>
    <w:rPr>
      <w:rFonts w:ascii="Times New Roman" w:hAnsi="Times New Roman" w:eastAsia="宋体" w:cs="Times New Roman"/>
      <w:sz w:val="18"/>
      <w:szCs w:val="18"/>
    </w:rPr>
  </w:style>
  <w:style w:type="character" w:customStyle="1" w:styleId="17">
    <w:name w:val="批注框文本 Char"/>
    <w:basedOn w:val="11"/>
    <w:link w:val="4"/>
    <w:semiHidden/>
    <w:qFormat/>
    <w:uiPriority w:val="99"/>
    <w:rPr>
      <w:sz w:val="18"/>
      <w:szCs w:val="18"/>
    </w:rPr>
  </w:style>
  <w:style w:type="paragraph" w:customStyle="1" w:styleId="18">
    <w:name w:val="Defaul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9">
    <w:name w:val="脚注文本 Char"/>
    <w:basedOn w:val="11"/>
    <w:link w:val="8"/>
    <w:semiHidden/>
    <w:uiPriority w:val="99"/>
    <w:rPr>
      <w:rFonts w:ascii="Calibri" w:hAnsi="Calibri" w:eastAsia="宋体" w:cs="Times New Roman"/>
      <w:sz w:val="18"/>
      <w:szCs w:val="18"/>
    </w:rPr>
  </w:style>
  <w:style w:type="paragraph" w:customStyle="1" w:styleId="20">
    <w:name w:val="p0"/>
    <w:basedOn w:val="1"/>
    <w:uiPriority w:val="0"/>
    <w:pPr>
      <w:widowControl/>
    </w:pPr>
    <w:rPr>
      <w:rFonts w:ascii="Calibri" w:hAnsi="Calibri" w:eastAsia="宋体" w:cs="宋体"/>
      <w:kern w:val="0"/>
      <w:szCs w:val="21"/>
    </w:rPr>
  </w:style>
  <w:style w:type="character" w:customStyle="1" w:styleId="21">
    <w:name w:val="纯文本 Char"/>
    <w:basedOn w:val="11"/>
    <w:link w:val="3"/>
    <w:qFormat/>
    <w:uiPriority w:val="99"/>
    <w:rPr>
      <w:rFonts w:ascii="宋体" w:hAnsi="Times New Roman" w:eastAsia="宋体" w:cs="宋体"/>
      <w:kern w:val="0"/>
      <w:szCs w:val="21"/>
    </w:rPr>
  </w:style>
  <w:style w:type="paragraph" w:customStyle="1" w:styleId="22">
    <w:name w:val="[Normal]"/>
    <w:uiPriority w:val="99"/>
    <w:pPr>
      <w:widowControl w:val="0"/>
      <w:autoSpaceDE w:val="0"/>
      <w:autoSpaceDN w:val="0"/>
      <w:adjustRightInd w:val="0"/>
    </w:pPr>
    <w:rPr>
      <w:rFonts w:ascii="宋体" w:hAnsi="Times New Roman"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030C18-4A73-460B-B4AF-50281802BEC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747</Words>
  <Characters>4262</Characters>
  <Lines>35</Lines>
  <Paragraphs>9</Paragraphs>
  <TotalTime>35</TotalTime>
  <ScaleCrop>false</ScaleCrop>
  <LinksUpToDate>false</LinksUpToDate>
  <CharactersWithSpaces>5000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2019-01-15T00:52:00Z</dcterms:created>
  <dc:creator>guest</dc:creator>
  <cp:lastModifiedBy>dell</cp:lastModifiedBy>
  <cp:lastPrinted>2017-11-09T01:12:00Z</cp:lastPrinted>
  <dcterms:modified xsi:type="dcterms:W3CDTF">2021-02-22T13:28:20Z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