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bookmarkStart w:id="22" w:name="_GoBack"/>
      <w:bookmarkEnd w:id="22"/>
      <w:bookmarkStart w:id="0" w:name="_Hlk38468149"/>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雄安新区大宗建材集采目录入围</w:t>
      </w:r>
      <w:bookmarkStart w:id="1" w:name="_Hlk40354335"/>
      <w:r>
        <w:rPr>
          <w:rFonts w:hint="eastAsia" w:ascii="方正小标宋简体" w:hAnsi="等线" w:eastAsia="方正小标宋简体" w:cs="Times New Roman"/>
          <w:sz w:val="44"/>
          <w:szCs w:val="44"/>
        </w:rPr>
        <w:t>指标体系</w:t>
      </w:r>
    </w:p>
    <w:bookmarkEnd w:id="1"/>
    <w:p>
      <w:pPr>
        <w:jc w:val="center"/>
        <w:rPr>
          <w:rFonts w:ascii="方正小标宋简体" w:hAnsi="等线" w:eastAsia="方正小标宋简体" w:cs="Times New Roman"/>
          <w:sz w:val="44"/>
          <w:szCs w:val="44"/>
        </w:rPr>
      </w:pPr>
      <w:r>
        <w:rPr>
          <w:rFonts w:hint="eastAsia" w:ascii="方正小标宋简体" w:hAnsi="等线" w:eastAsia="方正小标宋简体" w:cs="Times New Roman"/>
          <w:sz w:val="44"/>
          <w:szCs w:val="44"/>
        </w:rPr>
        <w:t>（预拌砂浆 篇）</w:t>
      </w:r>
    </w:p>
    <w:p>
      <w:pPr>
        <w:jc w:val="center"/>
        <w:rPr>
          <w:rFonts w:ascii="仿宋" w:hAnsi="仿宋" w:eastAsia="仿宋" w:cs="Times New Roman"/>
          <w:b/>
          <w:color w:val="000000"/>
          <w:sz w:val="36"/>
          <w:szCs w:val="36"/>
        </w:rPr>
      </w:pPr>
    </w:p>
    <w:p>
      <w:pPr>
        <w:jc w:val="center"/>
        <w:rPr>
          <w:rFonts w:ascii="仿宋" w:hAnsi="仿宋" w:eastAsia="仿宋"/>
          <w:b/>
          <w:sz w:val="52"/>
          <w:szCs w:val="52"/>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jc w:val="center"/>
        <w:rPr>
          <w:rFonts w:ascii="仿宋" w:hAnsi="仿宋" w:eastAsia="仿宋"/>
          <w:b/>
          <w:sz w:val="34"/>
          <w:szCs w:val="34"/>
        </w:rPr>
      </w:pPr>
    </w:p>
    <w:p>
      <w:pPr>
        <w:spacing w:after="156" w:afterLines="50" w:line="480" w:lineRule="exact"/>
        <w:jc w:val="center"/>
        <w:rPr>
          <w:rFonts w:ascii="楷体_GB2312" w:hAnsi="黑体" w:eastAsia="楷体_GB2312" w:cs="Times New Roman"/>
          <w:sz w:val="32"/>
          <w:szCs w:val="32"/>
        </w:rPr>
      </w:pPr>
      <w:bookmarkStart w:id="2" w:name="_Hlk40187309"/>
      <w:r>
        <w:rPr>
          <w:rFonts w:hint="eastAsia" w:ascii="楷体_GB2312" w:hAnsi="黑体" w:eastAsia="楷体_GB2312" w:cs="Times New Roman"/>
          <w:sz w:val="32"/>
          <w:szCs w:val="32"/>
        </w:rPr>
        <w:t>河北雄安新区建设指挥部</w:t>
      </w:r>
    </w:p>
    <w:bookmarkEnd w:id="2"/>
    <w:p>
      <w:pPr>
        <w:spacing w:after="156" w:afterLines="50" w:line="480" w:lineRule="exact"/>
        <w:jc w:val="center"/>
        <w:rPr>
          <w:rFonts w:ascii="楷体_GB2312" w:hAnsi="黑体" w:eastAsia="楷体_GB2312" w:cs="Times New Roman"/>
          <w:sz w:val="32"/>
          <w:szCs w:val="32"/>
        </w:rPr>
      </w:pPr>
      <w:r>
        <w:rPr>
          <w:rFonts w:hint="eastAsia" w:ascii="楷体_GB2312" w:hAnsi="黑体" w:eastAsia="楷体_GB2312" w:cs="Times New Roman"/>
          <w:sz w:val="32"/>
          <w:szCs w:val="32"/>
        </w:rPr>
        <w:t>2020年5月</w:t>
      </w:r>
    </w:p>
    <w:bookmarkEnd w:id="0"/>
    <w:p>
      <w:pPr>
        <w:widowControl/>
        <w:jc w:val="left"/>
        <w:rPr>
          <w:b/>
          <w:bCs/>
          <w:sz w:val="32"/>
          <w:szCs w:val="36"/>
        </w:rPr>
      </w:pPr>
      <w:r>
        <w:rPr>
          <w:b/>
          <w:bCs/>
          <w:sz w:val="32"/>
          <w:szCs w:val="36"/>
        </w:rPr>
        <w:br w:type="page"/>
      </w:r>
    </w:p>
    <w:sdt>
      <w:sdtPr>
        <w:rPr>
          <w:rFonts w:asciiTheme="minorHAnsi" w:hAnsiTheme="minorHAnsi" w:eastAsiaTheme="minorEastAsia" w:cstheme="minorBidi"/>
          <w:b w:val="0"/>
          <w:color w:val="auto"/>
          <w:kern w:val="2"/>
          <w:sz w:val="21"/>
          <w:szCs w:val="22"/>
          <w:lang w:val="zh-CN"/>
        </w:rPr>
        <w:id w:val="-772780130"/>
        <w:docPartObj>
          <w:docPartGallery w:val="Table of Contents"/>
          <w:docPartUnique/>
        </w:docPartObj>
      </w:sdtPr>
      <w:sdtEndPr>
        <w:rPr>
          <w:rFonts w:asciiTheme="minorHAnsi" w:hAnsiTheme="minorHAnsi" w:eastAsiaTheme="minorEastAsia" w:cstheme="minorBidi"/>
          <w:b w:val="0"/>
          <w:bCs/>
          <w:color w:val="auto"/>
          <w:kern w:val="2"/>
          <w:sz w:val="21"/>
          <w:szCs w:val="22"/>
          <w:lang w:val="zh-CN"/>
        </w:rPr>
      </w:sdtEndPr>
      <w:sdtContent>
        <w:p>
          <w:pPr>
            <w:pStyle w:val="40"/>
            <w:numPr>
              <w:ilvl w:val="0"/>
              <w:numId w:val="0"/>
            </w:numPr>
            <w:tabs>
              <w:tab w:val="right" w:leader="dot" w:pos="8647"/>
            </w:tabs>
            <w:spacing w:before="0" w:after="156" w:afterLines="50" w:line="720" w:lineRule="exact"/>
            <w:jc w:val="center"/>
            <w:rPr>
              <w:rFonts w:ascii="黑体" w:hAnsi="黑体" w:eastAsia="黑体"/>
              <w:color w:val="auto"/>
              <w:sz w:val="36"/>
              <w:szCs w:val="36"/>
              <w:lang w:val="zh-CN"/>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ascii="黑体" w:hAnsi="黑体" w:eastAsia="黑体"/>
              <w:color w:val="auto"/>
              <w:sz w:val="36"/>
              <w:szCs w:val="36"/>
              <w:lang w:val="zh-CN"/>
            </w:rPr>
            <w:t>录</w:t>
          </w:r>
        </w:p>
        <w:p>
          <w:pPr>
            <w:tabs>
              <w:tab w:val="right" w:leader="dot" w:pos="8647"/>
            </w:tabs>
            <w:spacing w:after="156" w:afterLines="50" w:line="720" w:lineRule="exact"/>
            <w:jc w:val="center"/>
            <w:rPr>
              <w:rFonts w:ascii="黑体" w:hAnsi="黑体" w:eastAsia="黑体"/>
              <w:sz w:val="36"/>
              <w:szCs w:val="36"/>
              <w:lang w:val="zh-CN"/>
            </w:rPr>
          </w:pPr>
        </w:p>
        <w:p>
          <w:pPr>
            <w:pStyle w:val="14"/>
            <w:tabs>
              <w:tab w:val="right" w:leader="dot" w:pos="8647"/>
            </w:tabs>
            <w:spacing w:line="560" w:lineRule="exact"/>
            <w:rPr>
              <w:rFonts w:ascii="仿宋_GB2312" w:hAnsi="华文仿宋" w:eastAsia="仿宋_GB2312"/>
              <w:b/>
              <w:bCs/>
              <w:sz w:val="32"/>
              <w:szCs w:val="32"/>
            </w:rPr>
          </w:pPr>
          <w:r>
            <w:rPr>
              <w:rFonts w:ascii="华文仿宋" w:hAnsi="华文仿宋" w:eastAsia="华文仿宋"/>
              <w:sz w:val="24"/>
              <w:szCs w:val="24"/>
            </w:rPr>
            <w:fldChar w:fldCharType="begin"/>
          </w:r>
          <w:r>
            <w:rPr>
              <w:rFonts w:ascii="华文仿宋" w:hAnsi="华文仿宋" w:eastAsia="华文仿宋"/>
              <w:sz w:val="24"/>
              <w:szCs w:val="24"/>
            </w:rPr>
            <w:instrText xml:space="preserve"> TOC \o "1-3" \h \z \u </w:instrText>
          </w:r>
          <w:r>
            <w:rPr>
              <w:rFonts w:ascii="华文仿宋" w:hAnsi="华文仿宋" w:eastAsia="华文仿宋"/>
              <w:sz w:val="24"/>
              <w:szCs w:val="24"/>
            </w:rPr>
            <w:fldChar w:fldCharType="separate"/>
          </w:r>
          <w:r>
            <w:fldChar w:fldCharType="begin"/>
          </w:r>
          <w:r>
            <w:instrText xml:space="preserve"> HYPERLINK \l "_Toc41558796" </w:instrText>
          </w:r>
          <w:r>
            <w:fldChar w:fldCharType="separate"/>
          </w:r>
          <w:r>
            <w:rPr>
              <w:rStyle w:val="20"/>
              <w:rFonts w:hint="eastAsia" w:ascii="仿宋_GB2312" w:hAnsi="华文仿宋" w:eastAsia="仿宋_GB2312"/>
              <w:b/>
              <w:bCs/>
              <w:color w:val="auto"/>
              <w:sz w:val="32"/>
              <w:szCs w:val="32"/>
            </w:rPr>
            <w:t>1.</w:t>
          </w:r>
          <w:r>
            <w:rPr>
              <w:rFonts w:hint="eastAsia" w:ascii="仿宋_GB2312" w:hAnsi="华文仿宋" w:eastAsia="仿宋_GB2312"/>
              <w:b/>
              <w:bCs/>
              <w:sz w:val="32"/>
              <w:szCs w:val="32"/>
            </w:rPr>
            <w:tab/>
          </w:r>
          <w:r>
            <w:rPr>
              <w:rStyle w:val="20"/>
              <w:rFonts w:hint="eastAsia" w:ascii="仿宋_GB2312" w:hAnsi="华文仿宋" w:eastAsia="仿宋_GB2312"/>
              <w:b/>
              <w:bCs/>
              <w:color w:val="auto"/>
              <w:sz w:val="32"/>
              <w:szCs w:val="32"/>
            </w:rPr>
            <w:t>范围</w:t>
          </w:r>
          <w:r>
            <w:rPr>
              <w:rFonts w:hint="eastAsia" w:ascii="仿宋_GB2312" w:hAnsi="华文仿宋" w:eastAsia="仿宋_GB2312"/>
              <w:b/>
              <w:bCs/>
              <w:sz w:val="32"/>
              <w:szCs w:val="32"/>
            </w:rPr>
            <w:tab/>
          </w:r>
          <w:r>
            <w:rPr>
              <w:rFonts w:hint="eastAsia" w:ascii="仿宋_GB2312" w:hAnsi="华文仿宋" w:eastAsia="仿宋_GB2312"/>
              <w:b/>
              <w:bCs/>
              <w:sz w:val="32"/>
              <w:szCs w:val="32"/>
            </w:rPr>
            <w:fldChar w:fldCharType="begin"/>
          </w:r>
          <w:r>
            <w:rPr>
              <w:rFonts w:hint="eastAsia" w:ascii="仿宋_GB2312" w:hAnsi="华文仿宋" w:eastAsia="仿宋_GB2312"/>
              <w:b/>
              <w:bCs/>
              <w:sz w:val="32"/>
              <w:szCs w:val="32"/>
            </w:rPr>
            <w:instrText xml:space="preserve"> PAGEREF _Toc41558796 \h </w:instrText>
          </w:r>
          <w:r>
            <w:rPr>
              <w:rFonts w:hint="eastAsia" w:ascii="仿宋_GB2312" w:hAnsi="华文仿宋" w:eastAsia="仿宋_GB2312"/>
              <w:b/>
              <w:bCs/>
              <w:sz w:val="32"/>
              <w:szCs w:val="32"/>
            </w:rPr>
            <w:fldChar w:fldCharType="separate"/>
          </w:r>
          <w:r>
            <w:rPr>
              <w:rFonts w:ascii="仿宋_GB2312" w:hAnsi="华文仿宋" w:eastAsia="仿宋_GB2312"/>
              <w:b/>
              <w:bCs/>
              <w:sz w:val="32"/>
              <w:szCs w:val="32"/>
            </w:rPr>
            <w:t>1</w:t>
          </w:r>
          <w:r>
            <w:rPr>
              <w:rFonts w:hint="eastAsia" w:ascii="仿宋_GB2312" w:hAnsi="华文仿宋" w:eastAsia="仿宋_GB2312"/>
              <w:b/>
              <w:bCs/>
              <w:sz w:val="32"/>
              <w:szCs w:val="32"/>
            </w:rPr>
            <w:fldChar w:fldCharType="end"/>
          </w:r>
          <w:r>
            <w:rPr>
              <w:rFonts w:hint="eastAsia" w:ascii="仿宋_GB2312" w:hAnsi="华文仿宋" w:eastAsia="仿宋_GB2312"/>
              <w:b/>
              <w:bCs/>
              <w:sz w:val="32"/>
              <w:szCs w:val="32"/>
            </w:rPr>
            <w:fldChar w:fldCharType="end"/>
          </w:r>
        </w:p>
        <w:p>
          <w:pPr>
            <w:pStyle w:val="14"/>
            <w:tabs>
              <w:tab w:val="right" w:leader="dot" w:pos="8647"/>
            </w:tabs>
            <w:spacing w:line="560" w:lineRule="exact"/>
            <w:rPr>
              <w:rFonts w:ascii="仿宋_GB2312" w:hAnsi="华文仿宋" w:eastAsia="仿宋_GB2312"/>
              <w:b/>
              <w:bCs/>
              <w:sz w:val="32"/>
              <w:szCs w:val="32"/>
            </w:rPr>
          </w:pPr>
          <w:r>
            <w:fldChar w:fldCharType="begin"/>
          </w:r>
          <w:r>
            <w:instrText xml:space="preserve"> HYPERLINK \l "_Toc41558797" </w:instrText>
          </w:r>
          <w:r>
            <w:fldChar w:fldCharType="separate"/>
          </w:r>
          <w:r>
            <w:rPr>
              <w:rStyle w:val="20"/>
              <w:rFonts w:hint="eastAsia" w:ascii="仿宋_GB2312" w:hAnsi="华文仿宋" w:eastAsia="仿宋_GB2312"/>
              <w:b/>
              <w:bCs/>
              <w:color w:val="auto"/>
              <w:sz w:val="32"/>
              <w:szCs w:val="32"/>
            </w:rPr>
            <w:t>2.</w:t>
          </w:r>
          <w:r>
            <w:rPr>
              <w:rFonts w:hint="eastAsia" w:ascii="仿宋_GB2312" w:hAnsi="华文仿宋" w:eastAsia="仿宋_GB2312"/>
              <w:b/>
              <w:bCs/>
              <w:sz w:val="32"/>
              <w:szCs w:val="32"/>
            </w:rPr>
            <w:tab/>
          </w:r>
          <w:r>
            <w:rPr>
              <w:rStyle w:val="20"/>
              <w:rFonts w:hint="eastAsia" w:ascii="仿宋_GB2312" w:hAnsi="华文仿宋" w:eastAsia="仿宋_GB2312"/>
              <w:b/>
              <w:bCs/>
              <w:color w:val="auto"/>
              <w:sz w:val="32"/>
              <w:szCs w:val="32"/>
            </w:rPr>
            <w:t>指标体系</w:t>
          </w:r>
          <w:r>
            <w:rPr>
              <w:rFonts w:hint="eastAsia" w:ascii="仿宋_GB2312" w:hAnsi="华文仿宋" w:eastAsia="仿宋_GB2312"/>
              <w:b/>
              <w:bCs/>
              <w:sz w:val="32"/>
              <w:szCs w:val="32"/>
            </w:rPr>
            <w:tab/>
          </w:r>
          <w:r>
            <w:rPr>
              <w:rFonts w:hint="eastAsia" w:ascii="仿宋_GB2312" w:hAnsi="华文仿宋" w:eastAsia="仿宋_GB2312"/>
              <w:b/>
              <w:bCs/>
              <w:sz w:val="32"/>
              <w:szCs w:val="32"/>
            </w:rPr>
            <w:fldChar w:fldCharType="begin"/>
          </w:r>
          <w:r>
            <w:rPr>
              <w:rFonts w:hint="eastAsia" w:ascii="仿宋_GB2312" w:hAnsi="华文仿宋" w:eastAsia="仿宋_GB2312"/>
              <w:b/>
              <w:bCs/>
              <w:sz w:val="32"/>
              <w:szCs w:val="32"/>
            </w:rPr>
            <w:instrText xml:space="preserve"> PAGEREF _Toc41558797 \h </w:instrText>
          </w:r>
          <w:r>
            <w:rPr>
              <w:rFonts w:hint="eastAsia" w:ascii="仿宋_GB2312" w:hAnsi="华文仿宋" w:eastAsia="仿宋_GB2312"/>
              <w:b/>
              <w:bCs/>
              <w:sz w:val="32"/>
              <w:szCs w:val="32"/>
            </w:rPr>
            <w:fldChar w:fldCharType="separate"/>
          </w:r>
          <w:r>
            <w:rPr>
              <w:rFonts w:ascii="仿宋_GB2312" w:hAnsi="华文仿宋" w:eastAsia="仿宋_GB2312"/>
              <w:b/>
              <w:bCs/>
              <w:sz w:val="32"/>
              <w:szCs w:val="32"/>
            </w:rPr>
            <w:t>1</w:t>
          </w:r>
          <w:r>
            <w:rPr>
              <w:rFonts w:hint="eastAsia" w:ascii="仿宋_GB2312" w:hAnsi="华文仿宋" w:eastAsia="仿宋_GB2312"/>
              <w:b/>
              <w:bCs/>
              <w:sz w:val="32"/>
              <w:szCs w:val="32"/>
            </w:rPr>
            <w:fldChar w:fldCharType="end"/>
          </w:r>
          <w:r>
            <w:rPr>
              <w:rFonts w:hint="eastAsia" w:ascii="仿宋_GB2312" w:hAnsi="华文仿宋" w:eastAsia="仿宋_GB2312"/>
              <w:b/>
              <w:bCs/>
              <w:sz w:val="32"/>
              <w:szCs w:val="32"/>
            </w:rPr>
            <w:fldChar w:fldCharType="end"/>
          </w:r>
        </w:p>
        <w:p>
          <w:pPr>
            <w:pStyle w:val="8"/>
            <w:tabs>
              <w:tab w:val="right" w:leader="dot" w:pos="8647"/>
              <w:tab w:val="right" w:leader="dot" w:pos="10456"/>
            </w:tabs>
            <w:spacing w:line="560" w:lineRule="exact"/>
            <w:rPr>
              <w:rFonts w:ascii="仿宋_GB2312" w:hAnsi="华文仿宋" w:eastAsia="仿宋_GB2312"/>
              <w:sz w:val="32"/>
              <w:szCs w:val="32"/>
            </w:rPr>
          </w:pPr>
          <w:r>
            <w:fldChar w:fldCharType="begin"/>
          </w:r>
          <w:r>
            <w:instrText xml:space="preserve"> HYPERLINK \l "_Toc41558798" </w:instrText>
          </w:r>
          <w:r>
            <w:fldChar w:fldCharType="separate"/>
          </w:r>
          <w:r>
            <w:rPr>
              <w:rStyle w:val="20"/>
              <w:rFonts w:hint="eastAsia" w:ascii="仿宋_GB2312" w:hAnsi="华文仿宋" w:eastAsia="仿宋_GB2312"/>
              <w:color w:val="auto"/>
              <w:sz w:val="32"/>
              <w:szCs w:val="32"/>
            </w:rPr>
            <w:t>2.1  基本要求</w:t>
          </w:r>
          <w:r>
            <w:rPr>
              <w:rFonts w:hint="eastAsia" w:ascii="仿宋_GB2312" w:hAnsi="华文仿宋" w:eastAsia="仿宋_GB2312"/>
              <w:sz w:val="32"/>
              <w:szCs w:val="32"/>
            </w:rPr>
            <w:tab/>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PAGEREF _Toc41558798 \h </w:instrText>
          </w:r>
          <w:r>
            <w:rPr>
              <w:rFonts w:hint="eastAsia" w:ascii="仿宋_GB2312" w:hAnsi="华文仿宋" w:eastAsia="仿宋_GB2312"/>
              <w:sz w:val="32"/>
              <w:szCs w:val="32"/>
            </w:rPr>
            <w:fldChar w:fldCharType="separate"/>
          </w:r>
          <w:r>
            <w:rPr>
              <w:rFonts w:ascii="仿宋_GB2312" w:hAnsi="华文仿宋" w:eastAsia="仿宋_GB2312"/>
              <w:sz w:val="32"/>
              <w:szCs w:val="32"/>
            </w:rPr>
            <w:t>1</w:t>
          </w:r>
          <w:r>
            <w:rPr>
              <w:rFonts w:hint="eastAsia" w:ascii="仿宋_GB2312" w:hAnsi="华文仿宋" w:eastAsia="仿宋_GB2312"/>
              <w:sz w:val="32"/>
              <w:szCs w:val="32"/>
            </w:rPr>
            <w:fldChar w:fldCharType="end"/>
          </w:r>
          <w:r>
            <w:rPr>
              <w:rFonts w:hint="eastAsia" w:ascii="仿宋_GB2312" w:hAnsi="华文仿宋" w:eastAsia="仿宋_GB2312"/>
              <w:sz w:val="32"/>
              <w:szCs w:val="32"/>
            </w:rPr>
            <w:fldChar w:fldCharType="end"/>
          </w:r>
        </w:p>
        <w:p>
          <w:pPr>
            <w:pStyle w:val="8"/>
            <w:tabs>
              <w:tab w:val="right" w:leader="dot" w:pos="8647"/>
              <w:tab w:val="right" w:leader="dot" w:pos="10456"/>
            </w:tabs>
            <w:spacing w:line="560" w:lineRule="exact"/>
            <w:rPr>
              <w:rFonts w:ascii="仿宋_GB2312" w:hAnsi="华文仿宋" w:eastAsia="仿宋_GB2312"/>
              <w:sz w:val="32"/>
              <w:szCs w:val="32"/>
            </w:rPr>
          </w:pPr>
          <w:r>
            <w:fldChar w:fldCharType="begin"/>
          </w:r>
          <w:r>
            <w:instrText xml:space="preserve"> HYPERLINK \l "_Toc41558799" </w:instrText>
          </w:r>
          <w:r>
            <w:fldChar w:fldCharType="separate"/>
          </w:r>
          <w:r>
            <w:rPr>
              <w:rStyle w:val="20"/>
              <w:rFonts w:hint="eastAsia" w:ascii="仿宋_GB2312" w:hAnsi="华文仿宋" w:eastAsia="仿宋_GB2312"/>
              <w:color w:val="auto"/>
              <w:sz w:val="32"/>
              <w:szCs w:val="32"/>
            </w:rPr>
            <w:t>2.2  提升性指标要求</w:t>
          </w:r>
          <w:r>
            <w:rPr>
              <w:rFonts w:hint="eastAsia" w:ascii="仿宋_GB2312" w:hAnsi="华文仿宋" w:eastAsia="仿宋_GB2312"/>
              <w:sz w:val="32"/>
              <w:szCs w:val="32"/>
            </w:rPr>
            <w:tab/>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PAGEREF _Toc41558799 \h </w:instrText>
          </w:r>
          <w:r>
            <w:rPr>
              <w:rFonts w:hint="eastAsia" w:ascii="仿宋_GB2312" w:hAnsi="华文仿宋" w:eastAsia="仿宋_GB2312"/>
              <w:sz w:val="32"/>
              <w:szCs w:val="32"/>
            </w:rPr>
            <w:fldChar w:fldCharType="separate"/>
          </w:r>
          <w:r>
            <w:rPr>
              <w:rFonts w:ascii="仿宋_GB2312" w:hAnsi="华文仿宋" w:eastAsia="仿宋_GB2312"/>
              <w:sz w:val="32"/>
              <w:szCs w:val="32"/>
            </w:rPr>
            <w:t>1</w:t>
          </w:r>
          <w:r>
            <w:rPr>
              <w:rFonts w:hint="eastAsia" w:ascii="仿宋_GB2312" w:hAnsi="华文仿宋" w:eastAsia="仿宋_GB2312"/>
              <w:sz w:val="32"/>
              <w:szCs w:val="32"/>
            </w:rPr>
            <w:fldChar w:fldCharType="end"/>
          </w:r>
          <w:r>
            <w:rPr>
              <w:rFonts w:hint="eastAsia" w:ascii="仿宋_GB2312" w:hAnsi="华文仿宋" w:eastAsia="仿宋_GB2312"/>
              <w:sz w:val="32"/>
              <w:szCs w:val="32"/>
            </w:rPr>
            <w:fldChar w:fldCharType="end"/>
          </w:r>
        </w:p>
        <w:p>
          <w:pPr>
            <w:pStyle w:val="14"/>
            <w:tabs>
              <w:tab w:val="right" w:leader="dot" w:pos="8647"/>
            </w:tabs>
            <w:spacing w:line="560" w:lineRule="exact"/>
            <w:rPr>
              <w:rFonts w:ascii="仿宋_GB2312" w:hAnsi="华文仿宋" w:eastAsia="仿宋_GB2312"/>
              <w:b/>
              <w:bCs/>
              <w:sz w:val="32"/>
              <w:szCs w:val="32"/>
            </w:rPr>
          </w:pPr>
          <w:r>
            <w:fldChar w:fldCharType="begin"/>
          </w:r>
          <w:r>
            <w:instrText xml:space="preserve"> HYPERLINK \l "_Toc41558800" </w:instrText>
          </w:r>
          <w:r>
            <w:fldChar w:fldCharType="separate"/>
          </w:r>
          <w:r>
            <w:rPr>
              <w:rStyle w:val="20"/>
              <w:rFonts w:hint="eastAsia" w:ascii="仿宋_GB2312" w:hAnsi="华文仿宋" w:eastAsia="仿宋_GB2312"/>
              <w:b/>
              <w:bCs/>
              <w:color w:val="auto"/>
              <w:sz w:val="32"/>
              <w:szCs w:val="32"/>
            </w:rPr>
            <w:t>3.</w:t>
          </w:r>
          <w:r>
            <w:rPr>
              <w:rFonts w:hint="eastAsia" w:ascii="仿宋_GB2312" w:hAnsi="华文仿宋" w:eastAsia="仿宋_GB2312"/>
              <w:b/>
              <w:bCs/>
              <w:sz w:val="32"/>
              <w:szCs w:val="32"/>
            </w:rPr>
            <w:tab/>
          </w:r>
          <w:r>
            <w:rPr>
              <w:rStyle w:val="20"/>
              <w:rFonts w:hint="eastAsia" w:ascii="仿宋_GB2312" w:hAnsi="华文仿宋" w:eastAsia="仿宋_GB2312"/>
              <w:b/>
              <w:bCs/>
              <w:color w:val="auto"/>
              <w:sz w:val="32"/>
              <w:szCs w:val="32"/>
            </w:rPr>
            <w:t>供应商准入要求</w:t>
          </w:r>
          <w:r>
            <w:rPr>
              <w:rFonts w:hint="eastAsia" w:ascii="仿宋_GB2312" w:hAnsi="华文仿宋" w:eastAsia="仿宋_GB2312"/>
              <w:b/>
              <w:bCs/>
              <w:sz w:val="32"/>
              <w:szCs w:val="32"/>
            </w:rPr>
            <w:tab/>
          </w:r>
          <w:r>
            <w:rPr>
              <w:rFonts w:hint="eastAsia" w:ascii="仿宋_GB2312" w:hAnsi="华文仿宋" w:eastAsia="仿宋_GB2312"/>
              <w:b/>
              <w:bCs/>
              <w:sz w:val="32"/>
              <w:szCs w:val="32"/>
            </w:rPr>
            <w:fldChar w:fldCharType="begin"/>
          </w:r>
          <w:r>
            <w:rPr>
              <w:rFonts w:hint="eastAsia" w:ascii="仿宋_GB2312" w:hAnsi="华文仿宋" w:eastAsia="仿宋_GB2312"/>
              <w:b/>
              <w:bCs/>
              <w:sz w:val="32"/>
              <w:szCs w:val="32"/>
            </w:rPr>
            <w:instrText xml:space="preserve"> PAGEREF _Toc41558800 \h </w:instrText>
          </w:r>
          <w:r>
            <w:rPr>
              <w:rFonts w:hint="eastAsia" w:ascii="仿宋_GB2312" w:hAnsi="华文仿宋" w:eastAsia="仿宋_GB2312"/>
              <w:b/>
              <w:bCs/>
              <w:sz w:val="32"/>
              <w:szCs w:val="32"/>
            </w:rPr>
            <w:fldChar w:fldCharType="separate"/>
          </w:r>
          <w:r>
            <w:rPr>
              <w:rFonts w:ascii="仿宋_GB2312" w:hAnsi="华文仿宋" w:eastAsia="仿宋_GB2312"/>
              <w:b/>
              <w:bCs/>
              <w:sz w:val="32"/>
              <w:szCs w:val="32"/>
            </w:rPr>
            <w:t>4</w:t>
          </w:r>
          <w:r>
            <w:rPr>
              <w:rFonts w:hint="eastAsia" w:ascii="仿宋_GB2312" w:hAnsi="华文仿宋" w:eastAsia="仿宋_GB2312"/>
              <w:b/>
              <w:bCs/>
              <w:sz w:val="32"/>
              <w:szCs w:val="32"/>
            </w:rPr>
            <w:fldChar w:fldCharType="end"/>
          </w:r>
          <w:r>
            <w:rPr>
              <w:rFonts w:hint="eastAsia" w:ascii="仿宋_GB2312" w:hAnsi="华文仿宋" w:eastAsia="仿宋_GB2312"/>
              <w:b/>
              <w:bCs/>
              <w:sz w:val="32"/>
              <w:szCs w:val="32"/>
            </w:rPr>
            <w:fldChar w:fldCharType="end"/>
          </w:r>
        </w:p>
        <w:p>
          <w:pPr>
            <w:pStyle w:val="8"/>
            <w:tabs>
              <w:tab w:val="left" w:pos="1470"/>
              <w:tab w:val="right" w:leader="dot" w:pos="8647"/>
              <w:tab w:val="right" w:leader="dot" w:pos="10456"/>
            </w:tabs>
            <w:spacing w:line="560" w:lineRule="exact"/>
            <w:rPr>
              <w:rFonts w:ascii="仿宋_GB2312" w:hAnsi="华文仿宋" w:eastAsia="仿宋_GB2312"/>
              <w:sz w:val="32"/>
              <w:szCs w:val="32"/>
            </w:rPr>
          </w:pPr>
          <w:r>
            <w:fldChar w:fldCharType="begin"/>
          </w:r>
          <w:r>
            <w:instrText xml:space="preserve"> HYPERLINK \l "_Toc41558801" </w:instrText>
          </w:r>
          <w:r>
            <w:fldChar w:fldCharType="separate"/>
          </w:r>
          <w:r>
            <w:rPr>
              <w:rStyle w:val="20"/>
              <w:rFonts w:hint="eastAsia" w:ascii="仿宋_GB2312" w:hAnsi="华文仿宋" w:eastAsia="仿宋_GB2312"/>
              <w:color w:val="auto"/>
              <w:sz w:val="32"/>
              <w:szCs w:val="32"/>
            </w:rPr>
            <w:t>3.1</w:t>
          </w:r>
          <w:r>
            <w:rPr>
              <w:rFonts w:hint="eastAsia" w:ascii="仿宋_GB2312" w:hAnsi="华文仿宋" w:eastAsia="仿宋_GB2312"/>
              <w:sz w:val="32"/>
              <w:szCs w:val="32"/>
            </w:rPr>
            <w:tab/>
          </w:r>
          <w:r>
            <w:rPr>
              <w:rStyle w:val="20"/>
              <w:rFonts w:hint="eastAsia" w:ascii="仿宋_GB2312" w:hAnsi="华文仿宋" w:eastAsia="仿宋_GB2312"/>
              <w:color w:val="auto"/>
              <w:sz w:val="32"/>
              <w:szCs w:val="32"/>
            </w:rPr>
            <w:t>材料生产厂商类</w:t>
          </w:r>
          <w:r>
            <w:rPr>
              <w:rFonts w:hint="eastAsia" w:ascii="仿宋_GB2312" w:hAnsi="华文仿宋" w:eastAsia="仿宋_GB2312"/>
              <w:sz w:val="32"/>
              <w:szCs w:val="32"/>
            </w:rPr>
            <w:tab/>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PAGEREF _Toc41558801 \h </w:instrText>
          </w:r>
          <w:r>
            <w:rPr>
              <w:rFonts w:hint="eastAsia" w:ascii="仿宋_GB2312" w:hAnsi="华文仿宋" w:eastAsia="仿宋_GB2312"/>
              <w:sz w:val="32"/>
              <w:szCs w:val="32"/>
            </w:rPr>
            <w:fldChar w:fldCharType="separate"/>
          </w:r>
          <w:r>
            <w:rPr>
              <w:rFonts w:ascii="仿宋_GB2312" w:hAnsi="华文仿宋" w:eastAsia="仿宋_GB2312"/>
              <w:sz w:val="32"/>
              <w:szCs w:val="32"/>
            </w:rPr>
            <w:t>4</w:t>
          </w:r>
          <w:r>
            <w:rPr>
              <w:rFonts w:hint="eastAsia" w:ascii="仿宋_GB2312" w:hAnsi="华文仿宋" w:eastAsia="仿宋_GB2312"/>
              <w:sz w:val="32"/>
              <w:szCs w:val="32"/>
            </w:rPr>
            <w:fldChar w:fldCharType="end"/>
          </w:r>
          <w:r>
            <w:rPr>
              <w:rFonts w:hint="eastAsia" w:ascii="仿宋_GB2312" w:hAnsi="华文仿宋" w:eastAsia="仿宋_GB2312"/>
              <w:sz w:val="32"/>
              <w:szCs w:val="32"/>
            </w:rPr>
            <w:fldChar w:fldCharType="end"/>
          </w:r>
        </w:p>
        <w:p>
          <w:pPr>
            <w:pStyle w:val="8"/>
            <w:tabs>
              <w:tab w:val="left" w:pos="1470"/>
              <w:tab w:val="right" w:leader="dot" w:pos="8647"/>
              <w:tab w:val="right" w:leader="dot" w:pos="10456"/>
            </w:tabs>
            <w:spacing w:line="560" w:lineRule="exact"/>
            <w:rPr>
              <w:rFonts w:ascii="华文仿宋" w:hAnsi="华文仿宋" w:eastAsia="华文仿宋"/>
              <w:sz w:val="24"/>
              <w:szCs w:val="24"/>
            </w:rPr>
          </w:pPr>
          <w:r>
            <w:fldChar w:fldCharType="begin"/>
          </w:r>
          <w:r>
            <w:instrText xml:space="preserve"> HYPERLINK \l "_Toc41558802" </w:instrText>
          </w:r>
          <w:r>
            <w:fldChar w:fldCharType="separate"/>
          </w:r>
          <w:r>
            <w:rPr>
              <w:rStyle w:val="20"/>
              <w:rFonts w:hint="eastAsia" w:ascii="仿宋_GB2312" w:hAnsi="华文仿宋" w:eastAsia="仿宋_GB2312"/>
              <w:color w:val="auto"/>
              <w:sz w:val="32"/>
              <w:szCs w:val="32"/>
            </w:rPr>
            <w:t>3.2</w:t>
          </w:r>
          <w:r>
            <w:rPr>
              <w:rFonts w:hint="eastAsia" w:ascii="仿宋_GB2312" w:hAnsi="华文仿宋" w:eastAsia="仿宋_GB2312"/>
              <w:sz w:val="32"/>
              <w:szCs w:val="32"/>
            </w:rPr>
            <w:tab/>
          </w:r>
          <w:r>
            <w:rPr>
              <w:rStyle w:val="20"/>
              <w:rFonts w:hint="eastAsia" w:ascii="仿宋_GB2312" w:hAnsi="华文仿宋" w:eastAsia="仿宋_GB2312"/>
              <w:color w:val="auto"/>
              <w:sz w:val="32"/>
              <w:szCs w:val="32"/>
            </w:rPr>
            <w:t>经销代理商类</w:t>
          </w:r>
          <w:r>
            <w:rPr>
              <w:rFonts w:hint="eastAsia" w:ascii="仿宋_GB2312" w:hAnsi="华文仿宋" w:eastAsia="仿宋_GB2312"/>
              <w:sz w:val="32"/>
              <w:szCs w:val="32"/>
            </w:rPr>
            <w:tab/>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PAGEREF _Toc41558802 \h </w:instrText>
          </w:r>
          <w:r>
            <w:rPr>
              <w:rFonts w:hint="eastAsia" w:ascii="仿宋_GB2312" w:hAnsi="华文仿宋" w:eastAsia="仿宋_GB2312"/>
              <w:sz w:val="32"/>
              <w:szCs w:val="32"/>
            </w:rPr>
            <w:fldChar w:fldCharType="separate"/>
          </w:r>
          <w:r>
            <w:rPr>
              <w:rFonts w:ascii="仿宋_GB2312" w:hAnsi="华文仿宋" w:eastAsia="仿宋_GB2312"/>
              <w:sz w:val="32"/>
              <w:szCs w:val="32"/>
            </w:rPr>
            <w:t>5</w:t>
          </w:r>
          <w:r>
            <w:rPr>
              <w:rFonts w:hint="eastAsia" w:ascii="仿宋_GB2312" w:hAnsi="华文仿宋" w:eastAsia="仿宋_GB2312"/>
              <w:sz w:val="32"/>
              <w:szCs w:val="32"/>
            </w:rPr>
            <w:fldChar w:fldCharType="end"/>
          </w:r>
          <w:r>
            <w:rPr>
              <w:rFonts w:hint="eastAsia" w:ascii="仿宋_GB2312" w:hAnsi="华文仿宋" w:eastAsia="仿宋_GB2312"/>
              <w:sz w:val="32"/>
              <w:szCs w:val="32"/>
            </w:rPr>
            <w:fldChar w:fldCharType="end"/>
          </w:r>
        </w:p>
        <w:p>
          <w:pPr>
            <w:tabs>
              <w:tab w:val="right" w:leader="dot" w:pos="8647"/>
            </w:tabs>
            <w:spacing w:after="156" w:afterLines="50" w:line="560" w:lineRule="exact"/>
            <w:sectPr>
              <w:footerReference r:id="rId3" w:type="default"/>
              <w:pgSz w:w="11906" w:h="16838"/>
              <w:pgMar w:top="2041" w:right="1531" w:bottom="2041" w:left="1531" w:header="397" w:footer="397" w:gutter="0"/>
              <w:pgNumType w:start="1"/>
              <w:cols w:space="425" w:num="1"/>
              <w:docGrid w:type="lines" w:linePitch="312" w:charSpace="0"/>
            </w:sectPr>
          </w:pPr>
          <w:r>
            <w:rPr>
              <w:rFonts w:ascii="华文仿宋" w:hAnsi="华文仿宋" w:eastAsia="华文仿宋"/>
              <w:b/>
              <w:bCs/>
              <w:sz w:val="24"/>
              <w:szCs w:val="24"/>
              <w:lang w:val="zh-CN"/>
            </w:rPr>
            <w:fldChar w:fldCharType="end"/>
          </w:r>
        </w:p>
      </w:sdtContent>
    </w:sdt>
    <w:p>
      <w:pPr>
        <w:pStyle w:val="44"/>
        <w:spacing w:after="156" w:afterLines="50" w:line="720" w:lineRule="exact"/>
        <w:jc w:val="left"/>
      </w:pPr>
      <w:bookmarkStart w:id="3" w:name="_Toc40186988"/>
      <w:bookmarkStart w:id="4" w:name="_Toc41558796"/>
      <w:r>
        <w:rPr>
          <w:rFonts w:hint="eastAsia"/>
        </w:rPr>
        <w:t>1. 范围</w:t>
      </w:r>
      <w:bookmarkEnd w:id="3"/>
      <w:bookmarkEnd w:id="4"/>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1.1</w:t>
      </w:r>
      <w:r>
        <w:rPr>
          <w:rFonts w:ascii="仿宋_GB2312" w:hAnsi="黑体" w:eastAsia="仿宋_GB2312"/>
          <w:sz w:val="32"/>
          <w:szCs w:val="34"/>
        </w:rPr>
        <w:t xml:space="preserve"> </w:t>
      </w:r>
      <w:r>
        <w:rPr>
          <w:rFonts w:hint="eastAsia" w:ascii="仿宋_GB2312" w:hAnsi="黑体" w:eastAsia="仿宋_GB2312"/>
          <w:sz w:val="32"/>
          <w:szCs w:val="34"/>
        </w:rPr>
        <w:t>本指标体系适用于雄安新区建设工程用预拌砂浆，包括：湿拌砂浆、干混砌筑砂浆、干混抹灰砂浆、干混地面砂浆、预拌</w:t>
      </w:r>
      <w:r>
        <w:rPr>
          <w:rFonts w:ascii="仿宋_GB2312" w:hAnsi="黑体" w:eastAsia="仿宋_GB2312"/>
          <w:sz w:val="32"/>
          <w:szCs w:val="34"/>
        </w:rPr>
        <w:t>普通防水砂浆</w:t>
      </w:r>
      <w:r>
        <w:rPr>
          <w:rFonts w:hint="eastAsia" w:ascii="仿宋_GB2312" w:hAnsi="黑体" w:eastAsia="仿宋_GB2312"/>
          <w:sz w:val="32"/>
          <w:szCs w:val="34"/>
        </w:rPr>
        <w:t>和其他干混砂浆（主要产品见表2所列）。</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1.2</w:t>
      </w:r>
      <w:r>
        <w:rPr>
          <w:rFonts w:ascii="仿宋_GB2312" w:hAnsi="黑体" w:eastAsia="仿宋_GB2312"/>
          <w:sz w:val="32"/>
          <w:szCs w:val="34"/>
        </w:rPr>
        <w:t xml:space="preserve"> </w:t>
      </w:r>
      <w:r>
        <w:rPr>
          <w:rFonts w:hint="eastAsia" w:ascii="仿宋_GB2312" w:hAnsi="黑体" w:eastAsia="仿宋_GB2312"/>
          <w:sz w:val="32"/>
          <w:szCs w:val="34"/>
        </w:rPr>
        <w:t>国家发改委发布的《产业结构调整指导目录》和河北省发布的《</w:t>
      </w:r>
      <w:r>
        <w:rPr>
          <w:rFonts w:ascii="仿宋_GB2312" w:hAnsi="黑体" w:eastAsia="仿宋_GB2312"/>
          <w:sz w:val="32"/>
          <w:szCs w:val="34"/>
        </w:rPr>
        <w:t>河北省推广、限制和禁止使用建设工程材料设备产品目录</w:t>
      </w:r>
      <w:r>
        <w:rPr>
          <w:rFonts w:hint="eastAsia" w:ascii="仿宋_GB2312" w:hAnsi="黑体" w:eastAsia="仿宋_GB2312"/>
          <w:sz w:val="32"/>
          <w:szCs w:val="34"/>
        </w:rPr>
        <w:t>》中限制和禁止类的产品不允许进入新区集采目录中。</w:t>
      </w:r>
    </w:p>
    <w:p>
      <w:pPr>
        <w:pStyle w:val="44"/>
        <w:spacing w:after="156" w:afterLines="50" w:line="720" w:lineRule="exact"/>
        <w:jc w:val="left"/>
      </w:pPr>
      <w:bookmarkStart w:id="5" w:name="_Toc41558797"/>
      <w:r>
        <w:rPr>
          <w:rFonts w:hint="eastAsia"/>
        </w:rPr>
        <w:t>2. 建材指标体系</w:t>
      </w:r>
      <w:bookmarkEnd w:id="5"/>
    </w:p>
    <w:p>
      <w:pPr>
        <w:pStyle w:val="45"/>
        <w:jc w:val="left"/>
        <w:rPr>
          <w:b/>
        </w:rPr>
      </w:pPr>
      <w:bookmarkStart w:id="6" w:name="_Toc41558798"/>
      <w:r>
        <w:rPr>
          <w:rFonts w:hint="eastAsia"/>
          <w:b/>
        </w:rPr>
        <w:t>2.1 基本要求</w:t>
      </w:r>
      <w:bookmarkEnd w:id="6"/>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2.1.1 参与雄安新区建设项目的预拌砂浆质量应符合现行国家、行业及地方相关标准的全部要求</w:t>
      </w:r>
      <w:r>
        <w:rPr>
          <w:rFonts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2.1.2 预拌砂浆应满足所应用工程、部位的相关建工标准规范要求。</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2.1.3</w:t>
      </w:r>
      <w:r>
        <w:rPr>
          <w:rFonts w:ascii="仿宋_GB2312" w:hAnsi="黑体" w:eastAsia="仿宋_GB2312"/>
          <w:sz w:val="32"/>
          <w:szCs w:val="34"/>
        </w:rPr>
        <w:t xml:space="preserve"> </w:t>
      </w:r>
      <w:r>
        <w:rPr>
          <w:rFonts w:hint="eastAsia" w:ascii="仿宋_GB2312" w:hAnsi="黑体" w:eastAsia="仿宋_GB2312"/>
          <w:sz w:val="32"/>
          <w:szCs w:val="34"/>
        </w:rPr>
        <w:t>本指标体系所引用的文件，</w:t>
      </w:r>
      <w:r>
        <w:rPr>
          <w:rFonts w:ascii="仿宋_GB2312" w:hAnsi="黑体" w:eastAsia="仿宋_GB2312"/>
          <w:sz w:val="32"/>
          <w:szCs w:val="34"/>
        </w:rPr>
        <w:t>凡是注日期的引用文件，其随后所有的修改单（不包括勘误的内容）或修订版均不适用</w:t>
      </w:r>
      <w:r>
        <w:rPr>
          <w:rFonts w:hint="eastAsia" w:ascii="仿宋_GB2312" w:hAnsi="黑体" w:eastAsia="仿宋_GB2312"/>
          <w:sz w:val="32"/>
          <w:szCs w:val="34"/>
        </w:rPr>
        <w:t>于</w:t>
      </w:r>
      <w:r>
        <w:rPr>
          <w:rFonts w:ascii="仿宋_GB2312" w:hAnsi="黑体" w:eastAsia="仿宋_GB2312"/>
          <w:sz w:val="32"/>
          <w:szCs w:val="34"/>
        </w:rPr>
        <w:t>本</w:t>
      </w:r>
      <w:r>
        <w:rPr>
          <w:rFonts w:hint="eastAsia" w:ascii="仿宋_GB2312" w:hAnsi="黑体" w:eastAsia="仿宋_GB2312"/>
          <w:sz w:val="32"/>
          <w:szCs w:val="34"/>
        </w:rPr>
        <w:t>文件</w:t>
      </w:r>
      <w:r>
        <w:rPr>
          <w:rFonts w:ascii="仿宋_GB2312" w:hAnsi="黑体" w:eastAsia="仿宋_GB2312"/>
          <w:sz w:val="32"/>
          <w:szCs w:val="34"/>
        </w:rPr>
        <w:t>，然而，鼓励各方研究是否可使用这些文件的最新版本。凡是不注日期的引用文件，其最新版本适用于本</w:t>
      </w:r>
      <w:r>
        <w:rPr>
          <w:rFonts w:hint="eastAsia" w:ascii="仿宋_GB2312" w:hAnsi="黑体" w:eastAsia="仿宋_GB2312"/>
          <w:sz w:val="32"/>
          <w:szCs w:val="34"/>
        </w:rPr>
        <w:t>文件</w:t>
      </w:r>
      <w:r>
        <w:rPr>
          <w:rFonts w:ascii="仿宋_GB2312" w:hAnsi="黑体" w:eastAsia="仿宋_GB2312"/>
          <w:sz w:val="32"/>
          <w:szCs w:val="34"/>
        </w:rPr>
        <w:t>。</w:t>
      </w:r>
    </w:p>
    <w:p>
      <w:pPr>
        <w:pStyle w:val="45"/>
        <w:jc w:val="left"/>
        <w:rPr>
          <w:b/>
        </w:rPr>
      </w:pPr>
      <w:bookmarkStart w:id="7" w:name="_Toc41558799"/>
      <w:r>
        <w:rPr>
          <w:rFonts w:hint="eastAsia"/>
          <w:b/>
        </w:rPr>
        <w:t>2.2 提升性指标要求</w:t>
      </w:r>
      <w:bookmarkEnd w:id="7"/>
    </w:p>
    <w:p>
      <w:pPr>
        <w:spacing w:line="560" w:lineRule="exact"/>
        <w:ind w:firstLine="640" w:firstLineChars="200"/>
        <w:rPr>
          <w:rFonts w:ascii="仿宋_GB2312" w:hAnsi="黑体" w:eastAsia="仿宋_GB2312"/>
          <w:sz w:val="32"/>
          <w:szCs w:val="34"/>
        </w:rPr>
      </w:pPr>
      <w:r>
        <w:rPr>
          <w:rFonts w:ascii="仿宋_GB2312" w:hAnsi="黑体" w:eastAsia="仿宋_GB2312"/>
          <w:sz w:val="32"/>
          <w:szCs w:val="34"/>
        </w:rPr>
        <w:t xml:space="preserve">2.2.1 </w:t>
      </w:r>
      <w:bookmarkStart w:id="8" w:name="_Hlk40454116"/>
      <w:r>
        <w:rPr>
          <w:rFonts w:hint="eastAsia" w:ascii="仿宋_GB2312" w:hAnsi="黑体" w:eastAsia="仿宋_GB2312"/>
          <w:sz w:val="32"/>
          <w:szCs w:val="34"/>
        </w:rPr>
        <w:t>湿拌砂浆、干混砌筑砂浆、干混抹灰砂浆、干混地面砂浆</w:t>
      </w:r>
      <w:bookmarkEnd w:id="8"/>
      <w:r>
        <w:rPr>
          <w:rFonts w:hint="eastAsia" w:ascii="仿宋_GB2312" w:hAnsi="黑体" w:eastAsia="仿宋_GB2312"/>
          <w:sz w:val="32"/>
          <w:szCs w:val="34"/>
        </w:rPr>
        <w:t>和预拌普通防水砂浆性能指标应符合表</w:t>
      </w:r>
      <w:r>
        <w:rPr>
          <w:rFonts w:ascii="仿宋_GB2312" w:hAnsi="黑体" w:eastAsia="仿宋_GB2312"/>
          <w:sz w:val="32"/>
          <w:szCs w:val="34"/>
        </w:rPr>
        <w:t>1的规定。</w:t>
      </w:r>
    </w:p>
    <w:p>
      <w:pPr>
        <w:spacing w:line="560" w:lineRule="exact"/>
        <w:ind w:firstLine="640" w:firstLineChars="200"/>
        <w:rPr>
          <w:rFonts w:ascii="仿宋_GB2312" w:hAnsi="黑体" w:eastAsia="仿宋_GB2312"/>
          <w:sz w:val="32"/>
          <w:szCs w:val="34"/>
        </w:rPr>
      </w:pPr>
    </w:p>
    <w:p>
      <w:pPr>
        <w:spacing w:line="560" w:lineRule="exact"/>
        <w:jc w:val="center"/>
        <w:rPr>
          <w:rFonts w:ascii="黑体" w:hAnsi="黑体" w:eastAsia="黑体"/>
          <w:sz w:val="30"/>
          <w:szCs w:val="30"/>
        </w:rPr>
      </w:pPr>
      <w:r>
        <w:rPr>
          <w:rFonts w:hint="eastAsia" w:ascii="黑体" w:hAnsi="黑体" w:eastAsia="黑体"/>
          <w:sz w:val="30"/>
          <w:szCs w:val="30"/>
        </w:rPr>
        <w:t>表</w:t>
      </w:r>
      <w:r>
        <w:rPr>
          <w:rFonts w:ascii="黑体" w:hAnsi="黑体" w:eastAsia="黑体"/>
          <w:sz w:val="30"/>
          <w:szCs w:val="30"/>
        </w:rPr>
        <w:t xml:space="preserve">1 </w:t>
      </w:r>
      <w:r>
        <w:rPr>
          <w:rFonts w:hint="eastAsia" w:ascii="黑体" w:hAnsi="黑体" w:eastAsia="黑体"/>
          <w:sz w:val="30"/>
          <w:szCs w:val="30"/>
        </w:rPr>
        <w:t>湿拌砂浆、干混砌筑砂浆、干混抹灰砂浆、干混地面砂浆、预拌普通防水砂浆</w:t>
      </w:r>
      <w:r>
        <w:rPr>
          <w:rFonts w:ascii="黑体" w:hAnsi="黑体" w:eastAsia="黑体"/>
          <w:sz w:val="30"/>
          <w:szCs w:val="30"/>
        </w:rPr>
        <w:t>指标要求</w:t>
      </w:r>
    </w:p>
    <w:tbl>
      <w:tblPr>
        <w:tblStyle w:val="1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723"/>
        <w:gridCol w:w="1563"/>
        <w:gridCol w:w="1324"/>
        <w:gridCol w:w="721"/>
        <w:gridCol w:w="1324"/>
        <w:gridCol w:w="1924"/>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2027" w:type="pct"/>
            <w:gridSpan w:val="3"/>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仿宋_GB2312"/>
                <w:b/>
                <w:color w:val="auto"/>
                <w:kern w:val="2"/>
                <w:sz w:val="22"/>
                <w:szCs w:val="22"/>
              </w:rPr>
              <w:t>指标项目</w:t>
            </w:r>
          </w:p>
        </w:tc>
        <w:tc>
          <w:tcPr>
            <w:tcW w:w="405"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仿宋_GB2312"/>
                <w:b/>
                <w:color w:val="auto"/>
                <w:kern w:val="2"/>
                <w:sz w:val="22"/>
                <w:szCs w:val="22"/>
              </w:rPr>
              <w:t>单位</w:t>
            </w:r>
          </w:p>
        </w:tc>
        <w:tc>
          <w:tcPr>
            <w:tcW w:w="744"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仿宋_GB2312"/>
                <w:b/>
                <w:color w:val="auto"/>
                <w:kern w:val="2"/>
                <w:sz w:val="22"/>
                <w:szCs w:val="22"/>
              </w:rPr>
              <w:t>基准值</w:t>
            </w:r>
          </w:p>
        </w:tc>
        <w:tc>
          <w:tcPr>
            <w:tcW w:w="1081"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黑体"/>
                <w:b/>
                <w:sz w:val="22"/>
                <w:szCs w:val="22"/>
              </w:rPr>
              <w:t>适用条件</w:t>
            </w:r>
          </w:p>
        </w:tc>
        <w:tc>
          <w:tcPr>
            <w:tcW w:w="743"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黑体"/>
                <w:b/>
                <w:sz w:val="22"/>
                <w:szCs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restar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品质</w:t>
            </w:r>
          </w:p>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属性</w:t>
            </w:r>
          </w:p>
        </w:tc>
        <w:tc>
          <w:tcPr>
            <w:tcW w:w="1622" w:type="pct"/>
            <w:gridSpan w:val="2"/>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冻融循环后抗压强度损失率</w:t>
            </w:r>
          </w:p>
        </w:tc>
        <w:tc>
          <w:tcPr>
            <w:tcW w:w="405" w:type="pc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w:t>
            </w:r>
          </w:p>
        </w:tc>
        <w:tc>
          <w:tcPr>
            <w:tcW w:w="744" w:type="pc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≤12</w:t>
            </w:r>
          </w:p>
        </w:tc>
        <w:tc>
          <w:tcPr>
            <w:tcW w:w="1081" w:type="pc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所有工程</w:t>
            </w:r>
          </w:p>
        </w:tc>
        <w:tc>
          <w:tcPr>
            <w:tcW w:w="743" w:type="pct"/>
            <w:vMerge w:val="restart"/>
            <w:tcBorders>
              <w:top w:val="single" w:color="auto" w:sz="8" w:space="0"/>
            </w:tcBorders>
            <w:vAlign w:val="center"/>
          </w:tcPr>
          <w:p>
            <w:pPr>
              <w:pStyle w:val="23"/>
              <w:spacing w:line="400" w:lineRule="exact"/>
              <w:jc w:val="lef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GB/T 25181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2" w:type="pct"/>
            <w:gridSpan w:val="2"/>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抗压强度实测值与设计值的比值</w:t>
            </w:r>
          </w:p>
        </w:tc>
        <w:tc>
          <w:tcPr>
            <w:tcW w:w="405"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w:t>
            </w: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≥1.15且≤2.0</w:t>
            </w:r>
          </w:p>
        </w:tc>
        <w:tc>
          <w:tcPr>
            <w:tcW w:w="108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所有工程</w:t>
            </w:r>
          </w:p>
        </w:tc>
        <w:tc>
          <w:tcPr>
            <w:tcW w:w="743" w:type="pct"/>
            <w:vMerge w:val="continue"/>
            <w:vAlign w:val="center"/>
          </w:tcPr>
          <w:p>
            <w:pPr>
              <w:pStyle w:val="23"/>
              <w:spacing w:line="400" w:lineRule="exact"/>
              <w:jc w:val="left"/>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2" w:type="pct"/>
            <w:gridSpan w:val="2"/>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保水率</w:t>
            </w:r>
          </w:p>
        </w:tc>
        <w:tc>
          <w:tcPr>
            <w:tcW w:w="405"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w:t>
            </w: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≥95</w:t>
            </w:r>
          </w:p>
        </w:tc>
        <w:tc>
          <w:tcPr>
            <w:tcW w:w="108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sz w:val="22"/>
              </w:rPr>
              <w:t>干混</w:t>
            </w:r>
            <w:r>
              <w:rPr>
                <w:rFonts w:hint="eastAsia" w:ascii="仿宋_GB2312" w:hAnsi="华文仿宋" w:eastAsia="仿宋_GB2312" w:cs="仿宋_GB2312"/>
                <w:color w:val="auto"/>
                <w:kern w:val="2"/>
                <w:sz w:val="22"/>
                <w:szCs w:val="22"/>
              </w:rPr>
              <w:t>机喷抹灰砂浆</w:t>
            </w:r>
          </w:p>
        </w:tc>
        <w:tc>
          <w:tcPr>
            <w:tcW w:w="743" w:type="pct"/>
            <w:vMerge w:val="continue"/>
            <w:vAlign w:val="center"/>
          </w:tcPr>
          <w:p>
            <w:pPr>
              <w:pStyle w:val="23"/>
              <w:spacing w:line="400" w:lineRule="exact"/>
              <w:jc w:val="left"/>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2" w:type="pct"/>
            <w:gridSpan w:val="2"/>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405"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≥90</w:t>
            </w:r>
          </w:p>
        </w:tc>
        <w:tc>
          <w:tcPr>
            <w:tcW w:w="108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sz w:val="22"/>
              </w:rPr>
              <w:t>干混普通</w:t>
            </w:r>
            <w:r>
              <w:rPr>
                <w:rFonts w:hint="eastAsia" w:ascii="仿宋_GB2312" w:hAnsi="华文仿宋" w:eastAsia="仿宋_GB2312" w:cs="仿宋_GB2312"/>
                <w:color w:val="auto"/>
                <w:kern w:val="2"/>
                <w:sz w:val="22"/>
                <w:szCs w:val="22"/>
              </w:rPr>
              <w:t>抹灰砂浆</w:t>
            </w:r>
          </w:p>
        </w:tc>
        <w:tc>
          <w:tcPr>
            <w:tcW w:w="743" w:type="pct"/>
            <w:vMerge w:val="continue"/>
            <w:vAlign w:val="center"/>
          </w:tcPr>
          <w:p>
            <w:pPr>
              <w:pStyle w:val="23"/>
              <w:spacing w:line="400" w:lineRule="exact"/>
              <w:jc w:val="left"/>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2" w:type="pct"/>
            <w:gridSpan w:val="2"/>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抗渗等级</w:t>
            </w:r>
          </w:p>
        </w:tc>
        <w:tc>
          <w:tcPr>
            <w:tcW w:w="405"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w:t>
            </w: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P10</w:t>
            </w:r>
          </w:p>
        </w:tc>
        <w:tc>
          <w:tcPr>
            <w:tcW w:w="108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仅适用于预拌普通防水砂浆</w:t>
            </w:r>
          </w:p>
        </w:tc>
        <w:tc>
          <w:tcPr>
            <w:tcW w:w="743" w:type="pct"/>
            <w:vMerge w:val="continue"/>
            <w:vAlign w:val="center"/>
          </w:tcPr>
          <w:p>
            <w:pPr>
              <w:pStyle w:val="23"/>
              <w:spacing w:line="400" w:lineRule="exact"/>
              <w:jc w:val="left"/>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绿色</w:t>
            </w:r>
          </w:p>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属性</w:t>
            </w:r>
          </w:p>
        </w:tc>
        <w:tc>
          <w:tcPr>
            <w:tcW w:w="1622" w:type="pct"/>
            <w:gridSpan w:val="2"/>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可溶性重金属（铬）</w:t>
            </w:r>
          </w:p>
        </w:tc>
        <w:tc>
          <w:tcPr>
            <w:tcW w:w="405"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mg/kg</w:t>
            </w: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≤30</w:t>
            </w:r>
          </w:p>
        </w:tc>
        <w:tc>
          <w:tcPr>
            <w:tcW w:w="1081" w:type="pct"/>
            <w:vMerge w:val="restart"/>
            <w:vAlign w:val="center"/>
          </w:tcPr>
          <w:p>
            <w:pPr>
              <w:pStyle w:val="23"/>
              <w:spacing w:line="32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所有工程</w:t>
            </w:r>
          </w:p>
        </w:tc>
        <w:tc>
          <w:tcPr>
            <w:tcW w:w="743" w:type="pct"/>
            <w:vAlign w:val="center"/>
          </w:tcPr>
          <w:p>
            <w:pPr>
              <w:pStyle w:val="23"/>
              <w:spacing w:line="320" w:lineRule="exact"/>
              <w:jc w:val="lef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 18582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878"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放射性核素限量</w:t>
            </w:r>
          </w:p>
        </w:tc>
        <w:tc>
          <w:tcPr>
            <w:tcW w:w="743"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I</w:t>
            </w:r>
            <w:r>
              <w:rPr>
                <w:rFonts w:hint="eastAsia" w:ascii="仿宋_GB2312" w:hAnsi="华文仿宋" w:eastAsia="仿宋_GB2312" w:cs="仿宋_GB2312"/>
                <w:sz w:val="22"/>
                <w:szCs w:val="22"/>
                <w:vertAlign w:val="subscript"/>
              </w:rPr>
              <w:t>Ra</w:t>
            </w:r>
          </w:p>
        </w:tc>
        <w:tc>
          <w:tcPr>
            <w:tcW w:w="405"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w:t>
            </w: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≤0.4</w:t>
            </w:r>
          </w:p>
        </w:tc>
        <w:tc>
          <w:tcPr>
            <w:tcW w:w="1081" w:type="pct"/>
            <w:vMerge w:val="continue"/>
            <w:vAlign w:val="center"/>
          </w:tcPr>
          <w:p>
            <w:pPr>
              <w:pStyle w:val="23"/>
              <w:spacing w:line="320" w:lineRule="exact"/>
              <w:rPr>
                <w:rFonts w:ascii="仿宋_GB2312" w:hAnsi="华文仿宋" w:eastAsia="仿宋_GB2312" w:cs="仿宋_GB2312"/>
                <w:color w:val="auto"/>
                <w:kern w:val="2"/>
                <w:sz w:val="22"/>
                <w:szCs w:val="22"/>
              </w:rPr>
            </w:pPr>
          </w:p>
        </w:tc>
        <w:tc>
          <w:tcPr>
            <w:tcW w:w="743" w:type="pct"/>
            <w:vMerge w:val="restart"/>
            <w:vAlign w:val="center"/>
          </w:tcPr>
          <w:p>
            <w:pPr>
              <w:pStyle w:val="23"/>
              <w:spacing w:line="320" w:lineRule="exact"/>
              <w:jc w:val="lef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 6566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878"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743"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I</w:t>
            </w:r>
            <w:r>
              <w:rPr>
                <w:rFonts w:hint="eastAsia" w:ascii="仿宋_GB2312" w:hAnsi="华文仿宋" w:eastAsia="仿宋_GB2312" w:cs="仿宋_GB2312"/>
                <w:sz w:val="22"/>
                <w:szCs w:val="22"/>
                <w:vertAlign w:val="subscript"/>
              </w:rPr>
              <w:t>r</w:t>
            </w:r>
          </w:p>
        </w:tc>
        <w:tc>
          <w:tcPr>
            <w:tcW w:w="405"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w:t>
            </w: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≤0.4</w:t>
            </w:r>
          </w:p>
        </w:tc>
        <w:tc>
          <w:tcPr>
            <w:tcW w:w="1081" w:type="pct"/>
            <w:vMerge w:val="continue"/>
            <w:vAlign w:val="center"/>
          </w:tcPr>
          <w:p>
            <w:pPr>
              <w:pStyle w:val="23"/>
              <w:spacing w:line="320" w:lineRule="exact"/>
              <w:rPr>
                <w:rFonts w:ascii="仿宋_GB2312" w:hAnsi="华文仿宋" w:eastAsia="仿宋_GB2312" w:cs="仿宋_GB2312"/>
                <w:color w:val="auto"/>
                <w:kern w:val="2"/>
                <w:sz w:val="22"/>
                <w:szCs w:val="22"/>
              </w:rPr>
            </w:pPr>
          </w:p>
        </w:tc>
        <w:tc>
          <w:tcPr>
            <w:tcW w:w="743" w:type="pct"/>
            <w:vMerge w:val="continue"/>
            <w:vAlign w:val="center"/>
          </w:tcPr>
          <w:p>
            <w:pPr>
              <w:pStyle w:val="23"/>
              <w:spacing w:line="320" w:lineRule="exact"/>
              <w:jc w:val="left"/>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2" w:type="pct"/>
            <w:gridSpan w:val="2"/>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氨释放量</w:t>
            </w:r>
          </w:p>
        </w:tc>
        <w:tc>
          <w:tcPr>
            <w:tcW w:w="405"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mg/t</w:t>
            </w:r>
          </w:p>
        </w:tc>
        <w:tc>
          <w:tcPr>
            <w:tcW w:w="74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≤2</w:t>
            </w:r>
          </w:p>
        </w:tc>
        <w:tc>
          <w:tcPr>
            <w:tcW w:w="108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仅适用于生产过程中添加粉煤灰、防冻剂的干混砂浆产品</w:t>
            </w:r>
          </w:p>
        </w:tc>
        <w:tc>
          <w:tcPr>
            <w:tcW w:w="743" w:type="pct"/>
            <w:vAlign w:val="center"/>
          </w:tcPr>
          <w:p>
            <w:pPr>
              <w:pStyle w:val="23"/>
              <w:spacing w:line="400" w:lineRule="exact"/>
              <w:jc w:val="left"/>
              <w:rPr>
                <w:rFonts w:ascii="仿宋_GB2312" w:hAnsi="华文仿宋" w:eastAsia="仿宋_GB2312" w:cs="仿宋_GB2312"/>
                <w:strike/>
                <w:color w:val="auto"/>
                <w:kern w:val="2"/>
                <w:sz w:val="22"/>
                <w:szCs w:val="22"/>
              </w:rPr>
            </w:pPr>
            <w:r>
              <w:rPr>
                <w:rFonts w:hint="eastAsia" w:ascii="仿宋_GB2312" w:hAnsi="华文仿宋" w:eastAsia="仿宋_GB2312" w:cs="仿宋_GB2312"/>
                <w:color w:val="auto"/>
                <w:kern w:val="2"/>
                <w:sz w:val="22"/>
                <w:szCs w:val="22"/>
              </w:rPr>
              <w:t>GB 18588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 w:hRule="atLeast"/>
        </w:trPr>
        <w:tc>
          <w:tcPr>
            <w:tcW w:w="406"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2" w:type="pct"/>
            <w:gridSpan w:val="2"/>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TVOC</w:t>
            </w:r>
          </w:p>
        </w:tc>
        <w:tc>
          <w:tcPr>
            <w:tcW w:w="405"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g/kg</w:t>
            </w:r>
          </w:p>
        </w:tc>
        <w:tc>
          <w:tcPr>
            <w:tcW w:w="744"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≤5</w:t>
            </w:r>
          </w:p>
        </w:tc>
        <w:tc>
          <w:tcPr>
            <w:tcW w:w="1081" w:type="pct"/>
            <w:vAlign w:val="center"/>
          </w:tcPr>
          <w:p>
            <w:pPr>
              <w:pStyle w:val="23"/>
              <w:spacing w:line="400" w:lineRule="exact"/>
              <w:rPr>
                <w:rFonts w:ascii="仿宋_GB2312" w:hAnsi="华文仿宋" w:eastAsia="仿宋_GB2312" w:cs="仿宋_GB2312"/>
                <w:sz w:val="22"/>
                <w:szCs w:val="22"/>
              </w:rPr>
            </w:pPr>
            <w:r>
              <w:rPr>
                <w:rFonts w:hint="eastAsia" w:ascii="仿宋_GB2312" w:hAnsi="华文仿宋" w:eastAsia="仿宋_GB2312" w:cs="仿宋_GB2312"/>
                <w:sz w:val="22"/>
                <w:szCs w:val="22"/>
              </w:rPr>
              <w:t>仅适用于生产过程中添加胶粉的干混砂浆产品</w:t>
            </w:r>
          </w:p>
        </w:tc>
        <w:tc>
          <w:tcPr>
            <w:tcW w:w="743" w:type="pct"/>
            <w:vAlign w:val="center"/>
          </w:tcPr>
          <w:p>
            <w:pPr>
              <w:pStyle w:val="23"/>
              <w:spacing w:line="400" w:lineRule="exact"/>
              <w:jc w:val="lef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 18582</w:t>
            </w:r>
          </w:p>
        </w:tc>
      </w:tr>
    </w:tbl>
    <w:p>
      <w:pPr>
        <w:ind w:left="141" w:leftChars="67"/>
        <w:rPr>
          <w:rFonts w:ascii="华文仿宋" w:hAnsi="华文仿宋" w:eastAsia="华文仿宋"/>
          <w:sz w:val="22"/>
        </w:rPr>
      </w:pPr>
      <w:r>
        <w:rPr>
          <w:rFonts w:hint="eastAsia" w:ascii="华文仿宋" w:hAnsi="华文仿宋" w:eastAsia="华文仿宋"/>
          <w:sz w:val="22"/>
        </w:rPr>
        <w:t xml:space="preserve">  </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2</w:t>
      </w:r>
      <w:r>
        <w:rPr>
          <w:rFonts w:ascii="仿宋_GB2312" w:hAnsi="黑体" w:eastAsia="仿宋_GB2312"/>
          <w:sz w:val="32"/>
          <w:szCs w:val="34"/>
        </w:rPr>
        <w:t xml:space="preserve">.2.2 </w:t>
      </w:r>
      <w:r>
        <w:rPr>
          <w:rFonts w:hint="eastAsia" w:ascii="仿宋_GB2312" w:hAnsi="黑体" w:eastAsia="仿宋_GB2312"/>
          <w:sz w:val="32"/>
          <w:szCs w:val="34"/>
        </w:rPr>
        <w:t>其他干混砂浆性能指标应符合表2、表3</w:t>
      </w:r>
      <w:r>
        <w:rPr>
          <w:rFonts w:ascii="仿宋_GB2312" w:hAnsi="黑体" w:eastAsia="仿宋_GB2312"/>
          <w:sz w:val="32"/>
          <w:szCs w:val="34"/>
        </w:rPr>
        <w:t>的规定</w:t>
      </w:r>
      <w:r>
        <w:rPr>
          <w:rFonts w:hint="eastAsia" w:ascii="仿宋_GB2312" w:hAnsi="黑体" w:eastAsia="仿宋_GB2312"/>
          <w:sz w:val="32"/>
          <w:szCs w:val="34"/>
        </w:rPr>
        <w:t>.</w:t>
      </w:r>
    </w:p>
    <w:p>
      <w:pPr>
        <w:spacing w:line="560" w:lineRule="exact"/>
        <w:jc w:val="center"/>
        <w:rPr>
          <w:rFonts w:ascii="黑体" w:hAnsi="黑体" w:eastAsia="黑体"/>
          <w:sz w:val="30"/>
          <w:szCs w:val="30"/>
        </w:rPr>
      </w:pPr>
      <w:r>
        <w:rPr>
          <w:rFonts w:hint="eastAsia" w:ascii="黑体" w:hAnsi="黑体" w:eastAsia="黑体"/>
          <w:sz w:val="30"/>
          <w:szCs w:val="30"/>
        </w:rPr>
        <w:t>表2</w:t>
      </w:r>
      <w:r>
        <w:rPr>
          <w:rFonts w:ascii="黑体" w:hAnsi="黑体" w:eastAsia="黑体"/>
          <w:sz w:val="30"/>
          <w:szCs w:val="30"/>
        </w:rPr>
        <w:t xml:space="preserve"> </w:t>
      </w:r>
      <w:r>
        <w:rPr>
          <w:rFonts w:hint="eastAsia" w:ascii="黑体" w:hAnsi="黑体" w:eastAsia="黑体"/>
          <w:sz w:val="30"/>
          <w:szCs w:val="30"/>
        </w:rPr>
        <w:t>其他干混砂浆主要产品性能对应标准</w:t>
      </w:r>
    </w:p>
    <w:tbl>
      <w:tblPr>
        <w:tblStyle w:val="17"/>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5215"/>
        <w:gridCol w:w="31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09" w:type="pct"/>
            <w:tcBorders>
              <w:top w:val="single" w:color="auto" w:sz="8" w:space="0"/>
              <w:bottom w:val="single" w:color="auto" w:sz="8" w:space="0"/>
            </w:tcBorders>
            <w:vAlign w:val="center"/>
          </w:tcPr>
          <w:p>
            <w:pPr>
              <w:spacing w:line="400" w:lineRule="exact"/>
              <w:jc w:val="center"/>
              <w:rPr>
                <w:rFonts w:ascii="仿宋_GB2312" w:hAnsi="华文仿宋" w:eastAsia="仿宋_GB2312"/>
                <w:b/>
                <w:sz w:val="22"/>
              </w:rPr>
            </w:pPr>
            <w:r>
              <w:rPr>
                <w:rFonts w:hint="eastAsia" w:ascii="仿宋_GB2312" w:hAnsi="华文仿宋" w:eastAsia="仿宋_GB2312"/>
                <w:b/>
                <w:sz w:val="22"/>
              </w:rPr>
              <w:t>序号</w:t>
            </w:r>
          </w:p>
        </w:tc>
        <w:tc>
          <w:tcPr>
            <w:tcW w:w="2878" w:type="pct"/>
            <w:tcBorders>
              <w:top w:val="single" w:color="auto" w:sz="8" w:space="0"/>
              <w:bottom w:val="single" w:color="auto" w:sz="8" w:space="0"/>
            </w:tcBorders>
            <w:vAlign w:val="center"/>
          </w:tcPr>
          <w:p>
            <w:pPr>
              <w:spacing w:line="400" w:lineRule="exact"/>
              <w:jc w:val="center"/>
              <w:rPr>
                <w:rFonts w:ascii="仿宋_GB2312" w:hAnsi="华文仿宋" w:eastAsia="仿宋_GB2312"/>
                <w:b/>
                <w:sz w:val="22"/>
              </w:rPr>
            </w:pPr>
            <w:r>
              <w:rPr>
                <w:rFonts w:hint="eastAsia" w:ascii="仿宋_GB2312" w:hAnsi="华文仿宋" w:eastAsia="仿宋_GB2312"/>
                <w:b/>
                <w:sz w:val="22"/>
              </w:rPr>
              <w:t>材料类型</w:t>
            </w:r>
          </w:p>
        </w:tc>
        <w:tc>
          <w:tcPr>
            <w:tcW w:w="1713" w:type="pct"/>
            <w:tcBorders>
              <w:top w:val="single" w:color="auto" w:sz="8" w:space="0"/>
              <w:bottom w:val="single" w:color="auto" w:sz="8" w:space="0"/>
            </w:tcBorders>
            <w:vAlign w:val="center"/>
          </w:tcPr>
          <w:p>
            <w:pPr>
              <w:ind w:left="141" w:leftChars="67"/>
              <w:jc w:val="center"/>
              <w:rPr>
                <w:rFonts w:ascii="仿宋_GB2312" w:hAnsi="华文仿宋" w:eastAsia="仿宋_GB2312"/>
                <w:b/>
                <w:sz w:val="22"/>
              </w:rPr>
            </w:pPr>
            <w:r>
              <w:rPr>
                <w:rFonts w:hint="eastAsia" w:ascii="仿宋_GB2312" w:hAnsi="华文仿宋" w:eastAsia="仿宋_GB2312"/>
                <w:b/>
                <w:sz w:val="22"/>
              </w:rPr>
              <w:t>产品</w:t>
            </w:r>
            <w:r>
              <w:rPr>
                <w:rFonts w:hint="eastAsia" w:ascii="仿宋_GB2312" w:hAnsi="华文仿宋" w:eastAsia="仿宋_GB2312" w:cs="仿宋_GB2312"/>
                <w:b/>
                <w:sz w:val="22"/>
              </w:rPr>
              <w:t>性能对应标准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tcBorders>
              <w:top w:val="single" w:color="auto" w:sz="8" w:space="0"/>
            </w:tcBorders>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tcBorders>
              <w:top w:val="single" w:color="auto" w:sz="8" w:space="0"/>
            </w:tcBorders>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干混保温板粘结砂浆</w:t>
            </w:r>
          </w:p>
        </w:tc>
        <w:tc>
          <w:tcPr>
            <w:tcW w:w="1713" w:type="pct"/>
            <w:vMerge w:val="restart"/>
            <w:tcBorders>
              <w:top w:val="single" w:color="auto" w:sz="8" w:space="0"/>
            </w:tcBorders>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GB/T 25181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干混保温板抹面砂浆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干混界面砂浆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干混陶瓷砖粘结砂浆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干混聚合物水泥防水砂浆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干混水泥自流平砂浆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干混耐磨地坪砂浆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干混饰面砂浆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蒸压加气混凝土用砌筑砂浆</w:t>
            </w:r>
          </w:p>
        </w:tc>
        <w:tc>
          <w:tcPr>
            <w:tcW w:w="1713" w:type="pct"/>
            <w:vMerge w:val="restar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JC 890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蒸压加气混凝土用抹面砂浆</w:t>
            </w:r>
          </w:p>
        </w:tc>
        <w:tc>
          <w:tcPr>
            <w:tcW w:w="1713" w:type="pct"/>
            <w:vMerge w:val="continue"/>
            <w:vAlign w:val="center"/>
          </w:tcPr>
          <w:p>
            <w:pPr>
              <w:spacing w:line="400" w:lineRule="exact"/>
              <w:jc w:val="center"/>
              <w:rPr>
                <w:rFonts w:ascii="仿宋_GB2312" w:hAnsi="华文仿宋" w:eastAsia="仿宋_GB2312"/>
                <w:sz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建筑保温砂浆</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GB/T 20473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水泥基渗透结晶型防水材料</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GB 18445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建筑室内用腻子</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JG/T 298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建筑外墙用腻子</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JG/T 157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水泥基灌浆砂浆</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GB/T 50448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水泥基灌浆材料</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JC/T 986-2018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抹灰石膏</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GB/T 28627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粘结石膏</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JC/T 1025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石膏基自流平砂浆</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JC/T 1023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修补砂浆</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JC/T 2381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预拌喷射混凝土干料</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DB11/T 1609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预拌盾构注浆料</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DB11/T 1608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岩棉外墙外保温系统用粘结、抹面砂浆</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JC/T 2559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09" w:type="pct"/>
            <w:vAlign w:val="center"/>
          </w:tcPr>
          <w:p>
            <w:pPr>
              <w:pStyle w:val="22"/>
              <w:numPr>
                <w:ilvl w:val="0"/>
                <w:numId w:val="3"/>
              </w:numPr>
              <w:spacing w:line="400" w:lineRule="exact"/>
              <w:ind w:left="0" w:firstLine="0" w:firstLineChars="0"/>
              <w:jc w:val="center"/>
              <w:rPr>
                <w:rFonts w:ascii="仿宋_GB2312" w:hAnsi="华文仿宋" w:eastAsia="仿宋_GB2312"/>
                <w:sz w:val="22"/>
              </w:rPr>
            </w:pPr>
          </w:p>
        </w:tc>
        <w:tc>
          <w:tcPr>
            <w:tcW w:w="2878"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陶瓷砖填缝剂</w:t>
            </w:r>
          </w:p>
        </w:tc>
        <w:tc>
          <w:tcPr>
            <w:tcW w:w="1713" w:type="pct"/>
            <w:vAlign w:val="center"/>
          </w:tcPr>
          <w:p>
            <w:pPr>
              <w:spacing w:line="400" w:lineRule="exact"/>
              <w:jc w:val="center"/>
              <w:rPr>
                <w:rFonts w:ascii="仿宋_GB2312" w:hAnsi="华文仿宋" w:eastAsia="仿宋_GB2312"/>
                <w:sz w:val="22"/>
              </w:rPr>
            </w:pPr>
            <w:r>
              <w:rPr>
                <w:rFonts w:hint="eastAsia" w:ascii="仿宋_GB2312" w:hAnsi="华文仿宋" w:eastAsia="仿宋_GB2312"/>
                <w:sz w:val="22"/>
              </w:rPr>
              <w:t>JC/T 1004</w:t>
            </w:r>
          </w:p>
        </w:tc>
      </w:tr>
    </w:tbl>
    <w:p>
      <w:pPr>
        <w:rPr>
          <w:rFonts w:ascii="华文仿宋" w:hAnsi="华文仿宋" w:eastAsia="华文仿宋"/>
          <w:sz w:val="22"/>
        </w:rPr>
      </w:pPr>
    </w:p>
    <w:p>
      <w:pPr>
        <w:spacing w:line="560" w:lineRule="exact"/>
        <w:jc w:val="center"/>
        <w:rPr>
          <w:rFonts w:ascii="黑体" w:hAnsi="黑体" w:eastAsia="黑体"/>
          <w:sz w:val="30"/>
          <w:szCs w:val="30"/>
        </w:rPr>
      </w:pPr>
      <w:r>
        <w:rPr>
          <w:rFonts w:hint="eastAsia" w:ascii="黑体" w:hAnsi="黑体" w:eastAsia="黑体"/>
          <w:sz w:val="30"/>
          <w:szCs w:val="30"/>
        </w:rPr>
        <w:t>表3</w:t>
      </w:r>
      <w:r>
        <w:rPr>
          <w:rFonts w:ascii="黑体" w:hAnsi="黑体" w:eastAsia="黑体"/>
          <w:sz w:val="30"/>
          <w:szCs w:val="30"/>
        </w:rPr>
        <w:t xml:space="preserve"> </w:t>
      </w:r>
      <w:r>
        <w:rPr>
          <w:rFonts w:hint="eastAsia" w:ascii="黑体" w:hAnsi="黑体" w:eastAsia="黑体"/>
          <w:sz w:val="30"/>
          <w:szCs w:val="30"/>
        </w:rPr>
        <w:t>其他干混砂浆性能指标</w:t>
      </w:r>
    </w:p>
    <w:tbl>
      <w:tblPr>
        <w:tblStyle w:val="1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821"/>
        <w:gridCol w:w="742"/>
        <w:gridCol w:w="1363"/>
        <w:gridCol w:w="766"/>
        <w:gridCol w:w="910"/>
        <w:gridCol w:w="2211"/>
        <w:gridCol w:w="15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986" w:type="pct"/>
            <w:gridSpan w:val="4"/>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仿宋_GB2312"/>
                <w:b/>
                <w:color w:val="auto"/>
                <w:kern w:val="2"/>
                <w:sz w:val="22"/>
                <w:szCs w:val="22"/>
              </w:rPr>
              <w:t>指标项目</w:t>
            </w:r>
          </w:p>
        </w:tc>
        <w:tc>
          <w:tcPr>
            <w:tcW w:w="411"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仿宋_GB2312"/>
                <w:b/>
                <w:color w:val="auto"/>
                <w:kern w:val="2"/>
                <w:sz w:val="22"/>
                <w:szCs w:val="22"/>
              </w:rPr>
              <w:t>单位</w:t>
            </w:r>
          </w:p>
        </w:tc>
        <w:tc>
          <w:tcPr>
            <w:tcW w:w="504"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仿宋_GB2312"/>
                <w:b/>
                <w:color w:val="auto"/>
                <w:kern w:val="2"/>
                <w:sz w:val="22"/>
                <w:szCs w:val="22"/>
              </w:rPr>
              <w:t>基准值</w:t>
            </w:r>
          </w:p>
        </w:tc>
        <w:tc>
          <w:tcPr>
            <w:tcW w:w="1222"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黑体"/>
                <w:b/>
                <w:sz w:val="22"/>
                <w:szCs w:val="22"/>
              </w:rPr>
              <w:t>适用条件</w:t>
            </w:r>
          </w:p>
        </w:tc>
        <w:tc>
          <w:tcPr>
            <w:tcW w:w="876" w:type="pct"/>
            <w:tcBorders>
              <w:top w:val="single" w:color="auto" w:sz="8" w:space="0"/>
              <w:bottom w:val="single" w:color="auto" w:sz="8" w:space="0"/>
            </w:tcBorders>
            <w:vAlign w:val="center"/>
          </w:tcPr>
          <w:p>
            <w:pPr>
              <w:pStyle w:val="23"/>
              <w:spacing w:line="400" w:lineRule="exact"/>
              <w:rPr>
                <w:rFonts w:ascii="仿宋_GB2312" w:hAnsi="华文仿宋" w:eastAsia="仿宋_GB2312" w:cs="仿宋_GB2312"/>
                <w:b/>
                <w:color w:val="auto"/>
                <w:kern w:val="2"/>
                <w:sz w:val="22"/>
                <w:szCs w:val="22"/>
              </w:rPr>
            </w:pPr>
            <w:r>
              <w:rPr>
                <w:rFonts w:hint="eastAsia" w:ascii="仿宋_GB2312" w:hAnsi="华文仿宋" w:eastAsia="仿宋_GB2312" w:cs="黑体"/>
                <w:b/>
                <w:sz w:val="22"/>
                <w:szCs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restar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品质属性</w:t>
            </w:r>
          </w:p>
        </w:tc>
        <w:tc>
          <w:tcPr>
            <w:tcW w:w="455" w:type="pct"/>
            <w:vMerge w:val="restar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耐久性</w:t>
            </w:r>
          </w:p>
        </w:tc>
        <w:tc>
          <w:tcPr>
            <w:tcW w:w="1164" w:type="pct"/>
            <w:gridSpan w:val="2"/>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 xml:space="preserve">冻融循环后，抗压强度损失率设计值与实测值的比值 </w:t>
            </w:r>
          </w:p>
        </w:tc>
        <w:tc>
          <w:tcPr>
            <w:tcW w:w="411" w:type="pc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 xml:space="preserve">—— </w:t>
            </w:r>
          </w:p>
        </w:tc>
        <w:tc>
          <w:tcPr>
            <w:tcW w:w="504" w:type="pc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≥1.5</w:t>
            </w:r>
          </w:p>
        </w:tc>
        <w:tc>
          <w:tcPr>
            <w:tcW w:w="1222" w:type="pct"/>
            <w:vMerge w:val="restart"/>
            <w:tcBorders>
              <w:top w:val="single" w:color="auto" w:sz="8" w:space="0"/>
            </w:tcBorders>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适用于表2中对相关强度有要求的产品</w:t>
            </w:r>
          </w:p>
        </w:tc>
        <w:tc>
          <w:tcPr>
            <w:tcW w:w="876" w:type="pct"/>
            <w:vMerge w:val="restart"/>
            <w:tcBorders>
              <w:top w:val="single" w:color="auto" w:sz="8" w:space="0"/>
            </w:tcBorders>
            <w:vAlign w:val="center"/>
          </w:tcPr>
          <w:p>
            <w:pPr>
              <w:pStyle w:val="23"/>
              <w:spacing w:line="400" w:lineRule="exact"/>
              <w:jc w:val="both"/>
              <w:rPr>
                <w:rFonts w:ascii="仿宋_GB2312" w:hAnsi="华文仿宋" w:eastAsia="仿宋_GB2312" w:cs="仿宋_GB2312"/>
                <w:color w:val="auto"/>
                <w:kern w:val="2"/>
                <w:sz w:val="22"/>
                <w:szCs w:val="22"/>
              </w:rPr>
            </w:pPr>
            <w:r>
              <w:rPr>
                <w:rFonts w:hint="eastAsia" w:ascii="仿宋_GB2312" w:hAnsi="华文仿宋" w:eastAsia="仿宋_GB2312"/>
                <w:sz w:val="22"/>
                <w:szCs w:val="22"/>
              </w:rPr>
              <w:t>按表2主要产品对应</w:t>
            </w:r>
            <w:r>
              <w:rPr>
                <w:rFonts w:hint="eastAsia" w:ascii="仿宋_GB2312" w:hAnsi="华文仿宋" w:eastAsia="仿宋_GB2312" w:cs="仿宋_GB2312"/>
                <w:sz w:val="22"/>
              </w:rPr>
              <w:t>对应标准内规定的</w:t>
            </w:r>
            <w:r>
              <w:rPr>
                <w:rFonts w:hint="eastAsia" w:ascii="仿宋_GB2312" w:hAnsi="华文仿宋" w:eastAsia="仿宋_GB2312"/>
                <w:sz w:val="22"/>
                <w:szCs w:val="22"/>
              </w:rPr>
              <w:t>检测依据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455"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1164" w:type="pct"/>
            <w:gridSpan w:val="2"/>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耐水、耐热、耐冻融拉伸强度实测值与设计值的比值</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 xml:space="preserve">—— </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≥1.15</w:t>
            </w:r>
          </w:p>
        </w:tc>
        <w:tc>
          <w:tcPr>
            <w:tcW w:w="1222"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876" w:type="pct"/>
            <w:vMerge w:val="continue"/>
            <w:vAlign w:val="center"/>
          </w:tcPr>
          <w:p>
            <w:pPr>
              <w:pStyle w:val="23"/>
              <w:spacing w:line="400" w:lineRule="exact"/>
              <w:jc w:val="both"/>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455"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强度</w:t>
            </w:r>
          </w:p>
        </w:tc>
        <w:tc>
          <w:tcPr>
            <w:tcW w:w="1164" w:type="pct"/>
            <w:gridSpan w:val="2"/>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 xml:space="preserve">抗压、抗折强度实测值与设计值的比值 </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 xml:space="preserve">—— </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≥1.15</w:t>
            </w:r>
          </w:p>
        </w:tc>
        <w:tc>
          <w:tcPr>
            <w:tcW w:w="1222" w:type="pct"/>
            <w:vMerge w:val="restart"/>
            <w:vAlign w:val="center"/>
          </w:tcPr>
          <w:p>
            <w:pPr>
              <w:pStyle w:val="23"/>
              <w:spacing w:line="400" w:lineRule="exact"/>
              <w:rPr>
                <w:rFonts w:ascii="仿宋_GB2312" w:hAnsi="华文仿宋" w:eastAsia="仿宋_GB2312" w:cs="仿宋_GB2312"/>
                <w:strike/>
                <w:color w:val="auto"/>
                <w:kern w:val="2"/>
                <w:sz w:val="22"/>
                <w:szCs w:val="22"/>
              </w:rPr>
            </w:pPr>
            <w:r>
              <w:rPr>
                <w:rFonts w:hint="eastAsia" w:ascii="仿宋_GB2312" w:hAnsi="华文仿宋" w:eastAsia="仿宋_GB2312" w:cs="仿宋_GB2312"/>
                <w:color w:val="auto"/>
                <w:kern w:val="2"/>
                <w:sz w:val="22"/>
                <w:szCs w:val="22"/>
              </w:rPr>
              <w:t>适用于表2中对相关强度有要求的产品</w:t>
            </w:r>
          </w:p>
        </w:tc>
        <w:tc>
          <w:tcPr>
            <w:tcW w:w="876" w:type="pct"/>
            <w:vMerge w:val="continue"/>
            <w:vAlign w:val="center"/>
          </w:tcPr>
          <w:p>
            <w:pPr>
              <w:pStyle w:val="23"/>
              <w:spacing w:line="400" w:lineRule="exact"/>
              <w:jc w:val="both"/>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455"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1164" w:type="pct"/>
            <w:gridSpan w:val="2"/>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原始拉伸粘结强度实测值与设计值的比值</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 xml:space="preserve">—— </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≥1.15</w:t>
            </w:r>
          </w:p>
        </w:tc>
        <w:tc>
          <w:tcPr>
            <w:tcW w:w="1222"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876" w:type="pct"/>
            <w:vMerge w:val="continue"/>
            <w:vAlign w:val="center"/>
          </w:tcPr>
          <w:p>
            <w:pPr>
              <w:pStyle w:val="23"/>
              <w:spacing w:line="400" w:lineRule="exact"/>
              <w:jc w:val="both"/>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1620" w:type="pct"/>
            <w:gridSpan w:val="3"/>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保水率</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≥80</w:t>
            </w:r>
          </w:p>
        </w:tc>
        <w:tc>
          <w:tcPr>
            <w:tcW w:w="1222"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底层抹灰石膏</w:t>
            </w:r>
          </w:p>
        </w:tc>
        <w:tc>
          <w:tcPr>
            <w:tcW w:w="876"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GB/T 28627-2012中7.4.3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1620" w:type="pct"/>
            <w:gridSpan w:val="3"/>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≥65</w:t>
            </w:r>
          </w:p>
        </w:tc>
        <w:tc>
          <w:tcPr>
            <w:tcW w:w="1222"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轻质抹灰石膏</w:t>
            </w:r>
          </w:p>
        </w:tc>
        <w:tc>
          <w:tcPr>
            <w:tcW w:w="876" w:type="pct"/>
            <w:vMerge w:val="continue"/>
            <w:vAlign w:val="center"/>
          </w:tcPr>
          <w:p>
            <w:pPr>
              <w:pStyle w:val="23"/>
              <w:spacing w:line="400" w:lineRule="exact"/>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绿色属性</w:t>
            </w:r>
          </w:p>
        </w:tc>
        <w:tc>
          <w:tcPr>
            <w:tcW w:w="1620" w:type="pct"/>
            <w:gridSpan w:val="3"/>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可溶性重金属（铬）</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mg/kg</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≤30</w:t>
            </w:r>
          </w:p>
        </w:tc>
        <w:tc>
          <w:tcPr>
            <w:tcW w:w="1222"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所有工程</w:t>
            </w:r>
          </w:p>
        </w:tc>
        <w:tc>
          <w:tcPr>
            <w:tcW w:w="876"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 18582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866" w:type="pct"/>
            <w:gridSpan w:val="2"/>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放射性核素限量</w:t>
            </w:r>
          </w:p>
        </w:tc>
        <w:tc>
          <w:tcPr>
            <w:tcW w:w="753"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I</w:t>
            </w:r>
            <w:r>
              <w:rPr>
                <w:rFonts w:hint="eastAsia" w:ascii="仿宋_GB2312" w:hAnsi="华文仿宋" w:eastAsia="仿宋_GB2312" w:cs="仿宋_GB2312"/>
                <w:sz w:val="22"/>
                <w:szCs w:val="22"/>
                <w:vertAlign w:val="subscript"/>
              </w:rPr>
              <w:t>Ra</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≤0.6</w:t>
            </w:r>
          </w:p>
        </w:tc>
        <w:tc>
          <w:tcPr>
            <w:tcW w:w="1222"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876"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 6566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866" w:type="pct"/>
            <w:gridSpan w:val="2"/>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753"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I</w:t>
            </w:r>
            <w:r>
              <w:rPr>
                <w:rFonts w:hint="eastAsia" w:ascii="仿宋_GB2312" w:hAnsi="华文仿宋" w:eastAsia="仿宋_GB2312" w:cs="仿宋_GB2312"/>
                <w:sz w:val="22"/>
                <w:szCs w:val="22"/>
                <w:vertAlign w:val="subscript"/>
              </w:rPr>
              <w:t>r</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≤0.6</w:t>
            </w:r>
          </w:p>
        </w:tc>
        <w:tc>
          <w:tcPr>
            <w:tcW w:w="1222" w:type="pct"/>
            <w:vMerge w:val="continue"/>
            <w:vAlign w:val="center"/>
          </w:tcPr>
          <w:p>
            <w:pPr>
              <w:pStyle w:val="23"/>
              <w:spacing w:line="400" w:lineRule="exact"/>
              <w:rPr>
                <w:rFonts w:ascii="仿宋_GB2312" w:hAnsi="华文仿宋" w:eastAsia="仿宋_GB2312" w:cs="仿宋_GB2312"/>
                <w:color w:val="auto"/>
                <w:kern w:val="2"/>
                <w:sz w:val="22"/>
                <w:szCs w:val="22"/>
              </w:rPr>
            </w:pPr>
          </w:p>
        </w:tc>
        <w:tc>
          <w:tcPr>
            <w:tcW w:w="876" w:type="pct"/>
            <w:vMerge w:val="continue"/>
            <w:vAlign w:val="center"/>
          </w:tcPr>
          <w:p>
            <w:pPr>
              <w:pStyle w:val="23"/>
              <w:spacing w:line="400" w:lineRule="exact"/>
              <w:rPr>
                <w:rFonts w:ascii="仿宋_GB2312" w:hAnsi="华文仿宋" w:eastAsia="仿宋_GB2312" w:cs="仿宋_GB2312"/>
                <w:color w:val="auto"/>
                <w:kern w:val="2"/>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0" w:type="pct"/>
            <w:gridSpan w:val="3"/>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氨释放量</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mg/t</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≤2</w:t>
            </w:r>
          </w:p>
        </w:tc>
        <w:tc>
          <w:tcPr>
            <w:tcW w:w="1222"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sz w:val="22"/>
                <w:szCs w:val="22"/>
              </w:rPr>
              <w:t>仅适用于生产过程中添加粉煤灰、防冻剂的干混砂浆产品</w:t>
            </w:r>
          </w:p>
        </w:tc>
        <w:tc>
          <w:tcPr>
            <w:tcW w:w="876"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 18588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0" w:type="pct"/>
            <w:gridSpan w:val="3"/>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sz w:val="22"/>
                <w:szCs w:val="22"/>
              </w:rPr>
              <w:t>TVOC</w:t>
            </w:r>
          </w:p>
        </w:tc>
        <w:tc>
          <w:tcPr>
            <w:tcW w:w="411"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sz w:val="22"/>
                <w:szCs w:val="22"/>
              </w:rPr>
              <w:t>g/kg</w:t>
            </w:r>
          </w:p>
        </w:tc>
        <w:tc>
          <w:tcPr>
            <w:tcW w:w="504"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sz w:val="22"/>
                <w:szCs w:val="22"/>
              </w:rPr>
              <w:t>≤5</w:t>
            </w:r>
          </w:p>
        </w:tc>
        <w:tc>
          <w:tcPr>
            <w:tcW w:w="1222"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仅适用于生产过程中添加胶粉的干混砂浆产品</w:t>
            </w:r>
          </w:p>
        </w:tc>
        <w:tc>
          <w:tcPr>
            <w:tcW w:w="876" w:type="pct"/>
            <w:vMerge w:val="restar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GB 18582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7" w:type="pct"/>
            <w:vMerge w:val="continue"/>
            <w:vAlign w:val="center"/>
          </w:tcPr>
          <w:p>
            <w:pPr>
              <w:pStyle w:val="23"/>
              <w:spacing w:line="400" w:lineRule="exact"/>
              <w:ind w:firstLine="420"/>
              <w:rPr>
                <w:rFonts w:ascii="仿宋_GB2312" w:hAnsi="华文仿宋" w:eastAsia="仿宋_GB2312" w:cs="仿宋_GB2312"/>
                <w:color w:val="auto"/>
                <w:kern w:val="2"/>
                <w:sz w:val="22"/>
                <w:szCs w:val="22"/>
              </w:rPr>
            </w:pPr>
          </w:p>
        </w:tc>
        <w:tc>
          <w:tcPr>
            <w:tcW w:w="1620" w:type="pct"/>
            <w:gridSpan w:val="3"/>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游离甲醛</w:t>
            </w:r>
          </w:p>
        </w:tc>
        <w:tc>
          <w:tcPr>
            <w:tcW w:w="411" w:type="pct"/>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mg/kg</w:t>
            </w:r>
          </w:p>
        </w:tc>
        <w:tc>
          <w:tcPr>
            <w:tcW w:w="504" w:type="pct"/>
            <w:vAlign w:val="center"/>
          </w:tcPr>
          <w:p>
            <w:pPr>
              <w:pStyle w:val="23"/>
              <w:spacing w:line="400" w:lineRule="exact"/>
              <w:rPr>
                <w:rFonts w:ascii="仿宋_GB2312" w:hAnsi="华文仿宋" w:eastAsia="仿宋_GB2312" w:cs="仿宋_GB2312"/>
                <w:color w:val="auto"/>
                <w:sz w:val="22"/>
                <w:szCs w:val="22"/>
              </w:rPr>
            </w:pPr>
            <w:r>
              <w:rPr>
                <w:rFonts w:hint="eastAsia" w:ascii="仿宋_GB2312" w:hAnsi="华文仿宋" w:eastAsia="仿宋_GB2312" w:cs="仿宋_GB2312"/>
                <w:color w:val="auto"/>
                <w:sz w:val="22"/>
                <w:szCs w:val="22"/>
              </w:rPr>
              <w:t>≤20</w:t>
            </w:r>
          </w:p>
        </w:tc>
        <w:tc>
          <w:tcPr>
            <w:tcW w:w="1222" w:type="pct"/>
            <w:vAlign w:val="center"/>
          </w:tcPr>
          <w:p>
            <w:pPr>
              <w:pStyle w:val="23"/>
              <w:spacing w:line="400" w:lineRule="exact"/>
              <w:rPr>
                <w:rFonts w:ascii="仿宋_GB2312" w:hAnsi="华文仿宋" w:eastAsia="仿宋_GB2312" w:cs="仿宋_GB2312"/>
                <w:color w:val="auto"/>
                <w:kern w:val="2"/>
                <w:sz w:val="22"/>
                <w:szCs w:val="22"/>
              </w:rPr>
            </w:pPr>
            <w:r>
              <w:rPr>
                <w:rFonts w:hint="eastAsia" w:ascii="仿宋_GB2312" w:hAnsi="华文仿宋" w:eastAsia="仿宋_GB2312" w:cs="仿宋_GB2312"/>
                <w:color w:val="auto"/>
                <w:kern w:val="2"/>
                <w:sz w:val="22"/>
                <w:szCs w:val="22"/>
              </w:rPr>
              <w:t>所有工程</w:t>
            </w:r>
          </w:p>
        </w:tc>
        <w:tc>
          <w:tcPr>
            <w:tcW w:w="876" w:type="pct"/>
            <w:vMerge w:val="continue"/>
            <w:vAlign w:val="center"/>
          </w:tcPr>
          <w:p>
            <w:pPr>
              <w:pStyle w:val="23"/>
              <w:spacing w:line="400" w:lineRule="exact"/>
              <w:rPr>
                <w:rFonts w:ascii="仿宋_GB2312" w:hAnsi="华文仿宋" w:eastAsia="仿宋_GB2312" w:cs="仿宋_GB2312"/>
                <w:color w:val="auto"/>
                <w:kern w:val="2"/>
                <w:sz w:val="22"/>
                <w:szCs w:val="22"/>
              </w:rPr>
            </w:pPr>
          </w:p>
        </w:tc>
      </w:tr>
    </w:tbl>
    <w:p>
      <w:bookmarkStart w:id="9" w:name="_Toc40187002"/>
    </w:p>
    <w:p>
      <w:pPr>
        <w:pStyle w:val="44"/>
        <w:spacing w:after="156" w:afterLines="50" w:line="720" w:lineRule="exact"/>
        <w:jc w:val="left"/>
      </w:pPr>
      <w:bookmarkStart w:id="10" w:name="_Toc41558800"/>
      <w:r>
        <w:rPr>
          <w:rFonts w:hint="eastAsia"/>
        </w:rPr>
        <w:t>3. 供应商准入要求</w:t>
      </w:r>
      <w:bookmarkEnd w:id="9"/>
      <w:bookmarkEnd w:id="10"/>
    </w:p>
    <w:p>
      <w:pPr>
        <w:pStyle w:val="45"/>
        <w:jc w:val="left"/>
        <w:rPr>
          <w:b/>
        </w:rPr>
      </w:pPr>
      <w:bookmarkStart w:id="11" w:name="_Toc40187009"/>
      <w:r>
        <w:rPr>
          <w:rFonts w:hint="eastAsia"/>
          <w:b/>
        </w:rPr>
        <w:t xml:space="preserve">3.1 </w:t>
      </w:r>
      <w:bookmarkStart w:id="12" w:name="_Toc41558801"/>
      <w:r>
        <w:rPr>
          <w:rFonts w:hint="eastAsia"/>
          <w:b/>
        </w:rPr>
        <w:t>材料生产厂商类</w:t>
      </w:r>
      <w:bookmarkEnd w:id="11"/>
      <w:bookmarkEnd w:id="12"/>
    </w:p>
    <w:p>
      <w:pPr>
        <w:spacing w:line="560" w:lineRule="exact"/>
        <w:ind w:firstLine="640" w:firstLineChars="200"/>
        <w:rPr>
          <w:rFonts w:ascii="仿宋_GB2312" w:hAnsi="黑体" w:eastAsia="仿宋_GB2312"/>
          <w:sz w:val="32"/>
          <w:szCs w:val="34"/>
        </w:rPr>
      </w:pPr>
      <w:bookmarkStart w:id="13" w:name="_Toc40187010"/>
      <w:bookmarkStart w:id="14" w:name="_Toc39072550"/>
      <w:r>
        <w:rPr>
          <w:rFonts w:hint="eastAsia" w:ascii="仿宋_GB2312" w:hAnsi="黑体" w:eastAsia="仿宋_GB2312"/>
          <w:sz w:val="32"/>
          <w:szCs w:val="34"/>
        </w:rPr>
        <w:t>3.1.1</w:t>
      </w:r>
      <w:r>
        <w:rPr>
          <w:rFonts w:ascii="仿宋_GB2312" w:hAnsi="黑体" w:eastAsia="仿宋_GB2312"/>
          <w:sz w:val="32"/>
          <w:szCs w:val="34"/>
        </w:rPr>
        <w:t xml:space="preserve"> </w:t>
      </w:r>
      <w:r>
        <w:rPr>
          <w:rFonts w:hint="eastAsia" w:ascii="仿宋_GB2312" w:hAnsi="黑体" w:eastAsia="仿宋_GB2312"/>
          <w:sz w:val="32"/>
          <w:szCs w:val="34"/>
        </w:rPr>
        <w:t>专项条件要求</w:t>
      </w:r>
      <w:bookmarkEnd w:id="13"/>
      <w:bookmarkEnd w:id="14"/>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1</w:t>
      </w:r>
      <w:r>
        <w:rPr>
          <w:rFonts w:hint="eastAsia" w:ascii="仿宋_GB2312" w:hAnsi="黑体" w:eastAsia="仿宋_GB2312"/>
          <w:sz w:val="32"/>
          <w:szCs w:val="34"/>
          <w:lang w:eastAsia="zh-CN"/>
        </w:rPr>
        <w:t>）</w:t>
      </w:r>
      <w:r>
        <w:rPr>
          <w:rFonts w:hint="eastAsia" w:ascii="仿宋_GB2312" w:hAnsi="黑体" w:eastAsia="仿宋_GB2312"/>
          <w:sz w:val="32"/>
          <w:szCs w:val="34"/>
        </w:rPr>
        <w:t>注册资金在10</w:t>
      </w:r>
      <w:r>
        <w:rPr>
          <w:rFonts w:ascii="仿宋_GB2312" w:hAnsi="黑体" w:eastAsia="仿宋_GB2312"/>
          <w:sz w:val="32"/>
          <w:szCs w:val="34"/>
        </w:rPr>
        <w:t>00万以上</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2</w:t>
      </w:r>
      <w:r>
        <w:rPr>
          <w:rFonts w:hint="eastAsia" w:ascii="仿宋_GB2312" w:hAnsi="黑体" w:eastAsia="仿宋_GB2312"/>
          <w:sz w:val="32"/>
          <w:szCs w:val="34"/>
          <w:lang w:eastAsia="zh-CN"/>
        </w:rPr>
        <w:t>）</w:t>
      </w:r>
      <w:r>
        <w:rPr>
          <w:rFonts w:hint="eastAsia" w:ascii="仿宋_GB2312" w:hAnsi="黑体" w:eastAsia="仿宋_GB2312"/>
          <w:sz w:val="32"/>
          <w:szCs w:val="34"/>
        </w:rPr>
        <w:t>优先选用持有安全生产许可证的供应商；</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3</w:t>
      </w:r>
      <w:r>
        <w:rPr>
          <w:rFonts w:hint="eastAsia" w:ascii="仿宋_GB2312" w:hAnsi="黑体" w:eastAsia="仿宋_GB2312"/>
          <w:sz w:val="32"/>
          <w:szCs w:val="34"/>
          <w:lang w:eastAsia="zh-CN"/>
        </w:rPr>
        <w:t>）</w:t>
      </w:r>
      <w:r>
        <w:rPr>
          <w:rFonts w:hint="eastAsia" w:ascii="仿宋_GB2312" w:hAnsi="黑体" w:eastAsia="仿宋_GB2312"/>
          <w:sz w:val="32"/>
          <w:szCs w:val="34"/>
        </w:rPr>
        <w:t>取得河北省颁发的《预拌砂浆生产企业备案证书》；</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4</w:t>
      </w:r>
      <w:r>
        <w:rPr>
          <w:rFonts w:hint="eastAsia" w:ascii="仿宋_GB2312" w:hAnsi="黑体" w:eastAsia="仿宋_GB2312"/>
          <w:sz w:val="32"/>
          <w:szCs w:val="34"/>
          <w:lang w:eastAsia="zh-CN"/>
        </w:rPr>
        <w:t>）</w:t>
      </w:r>
      <w:r>
        <w:rPr>
          <w:rFonts w:hint="eastAsia" w:ascii="仿宋_GB2312" w:hAnsi="黑体" w:eastAsia="仿宋_GB2312"/>
          <w:sz w:val="32"/>
          <w:szCs w:val="34"/>
        </w:rPr>
        <w:t>产品质量符合国家标准，并由具备法定资质的检验机构检验合格；</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5</w:t>
      </w:r>
      <w:r>
        <w:rPr>
          <w:rFonts w:hint="eastAsia" w:ascii="仿宋_GB2312" w:hAnsi="黑体" w:eastAsia="仿宋_GB2312"/>
          <w:sz w:val="32"/>
          <w:szCs w:val="34"/>
          <w:lang w:eastAsia="zh-CN"/>
        </w:rPr>
        <w:t>）</w:t>
      </w:r>
      <w:r>
        <w:rPr>
          <w:rFonts w:hint="eastAsia" w:ascii="仿宋_GB2312" w:hAnsi="黑体" w:eastAsia="仿宋_GB2312"/>
          <w:sz w:val="32"/>
          <w:szCs w:val="34"/>
        </w:rPr>
        <w:t>优先选用持有绿色建材标识二星及以上的供应商。</w:t>
      </w:r>
    </w:p>
    <w:p>
      <w:pPr>
        <w:spacing w:line="560" w:lineRule="exact"/>
        <w:ind w:firstLine="640" w:firstLineChars="200"/>
        <w:rPr>
          <w:rFonts w:ascii="仿宋_GB2312" w:hAnsi="黑体" w:eastAsia="仿宋_GB2312"/>
          <w:sz w:val="32"/>
          <w:szCs w:val="34"/>
        </w:rPr>
      </w:pPr>
      <w:bookmarkStart w:id="15" w:name="_Toc40187011"/>
      <w:r>
        <w:rPr>
          <w:rFonts w:hint="eastAsia" w:ascii="仿宋_GB2312" w:hAnsi="黑体" w:eastAsia="仿宋_GB2312"/>
          <w:sz w:val="32"/>
          <w:szCs w:val="34"/>
        </w:rPr>
        <w:t>3.1.2</w:t>
      </w:r>
      <w:r>
        <w:rPr>
          <w:rFonts w:ascii="仿宋_GB2312" w:hAnsi="黑体" w:eastAsia="仿宋_GB2312"/>
          <w:sz w:val="32"/>
          <w:szCs w:val="34"/>
        </w:rPr>
        <w:t xml:space="preserve"> </w:t>
      </w:r>
      <w:r>
        <w:rPr>
          <w:rFonts w:hint="eastAsia" w:ascii="仿宋_GB2312" w:hAnsi="黑体" w:eastAsia="仿宋_GB2312"/>
          <w:sz w:val="32"/>
          <w:szCs w:val="34"/>
        </w:rPr>
        <w:t>产能及规模要求</w:t>
      </w:r>
      <w:bookmarkEnd w:id="15"/>
    </w:p>
    <w:p>
      <w:pPr>
        <w:spacing w:line="560" w:lineRule="exact"/>
        <w:ind w:firstLine="640" w:firstLineChars="200"/>
        <w:rPr>
          <w:rFonts w:ascii="仿宋_GB2312" w:hAnsi="黑体" w:eastAsia="仿宋_GB2312"/>
          <w:sz w:val="32"/>
          <w:szCs w:val="34"/>
        </w:rPr>
      </w:pPr>
      <w:bookmarkStart w:id="16" w:name="_Toc39072551"/>
      <w:bookmarkStart w:id="17" w:name="_Toc40187012"/>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1</w:t>
      </w:r>
      <w:r>
        <w:rPr>
          <w:rFonts w:hint="eastAsia" w:ascii="仿宋_GB2312" w:hAnsi="黑体" w:eastAsia="仿宋_GB2312"/>
          <w:sz w:val="32"/>
          <w:szCs w:val="34"/>
          <w:lang w:eastAsia="zh-CN"/>
        </w:rPr>
        <w:t>）</w:t>
      </w:r>
      <w:r>
        <w:rPr>
          <w:rFonts w:hint="eastAsia" w:ascii="仿宋_GB2312" w:hAnsi="黑体" w:eastAsia="仿宋_GB2312"/>
          <w:sz w:val="32"/>
          <w:szCs w:val="34"/>
        </w:rPr>
        <w:t>预拌砂浆生产企业年设计生产能力大于</w:t>
      </w:r>
      <w:r>
        <w:rPr>
          <w:rFonts w:ascii="仿宋_GB2312" w:hAnsi="黑体" w:eastAsia="仿宋_GB2312"/>
          <w:sz w:val="32"/>
          <w:szCs w:val="34"/>
        </w:rPr>
        <w:t>20万吨（含）</w:t>
      </w:r>
      <w:r>
        <w:rPr>
          <w:rFonts w:hint="eastAsia" w:ascii="仿宋_GB2312" w:hAnsi="黑体" w:eastAsia="仿宋_GB2312"/>
          <w:sz w:val="32"/>
          <w:szCs w:val="34"/>
        </w:rPr>
        <w:t>(≥</w:t>
      </w:r>
      <w:r>
        <w:rPr>
          <w:rFonts w:ascii="仿宋_GB2312" w:hAnsi="黑体" w:eastAsia="仿宋_GB2312"/>
          <w:sz w:val="32"/>
          <w:szCs w:val="34"/>
        </w:rPr>
        <w:t>40t/h)；</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2</w:t>
      </w:r>
      <w:r>
        <w:rPr>
          <w:rFonts w:hint="eastAsia" w:ascii="仿宋_GB2312" w:hAnsi="黑体" w:eastAsia="仿宋_GB2312"/>
          <w:sz w:val="32"/>
          <w:szCs w:val="34"/>
          <w:lang w:eastAsia="zh-CN"/>
        </w:rPr>
        <w:t>）</w:t>
      </w:r>
      <w:r>
        <w:rPr>
          <w:rFonts w:hint="eastAsia" w:ascii="仿宋_GB2312" w:hAnsi="黑体" w:eastAsia="仿宋_GB2312"/>
          <w:sz w:val="32"/>
          <w:szCs w:val="34"/>
        </w:rPr>
        <w:t>其它干混砂浆生产企业年设计生产能力大于5</w:t>
      </w:r>
      <w:r>
        <w:rPr>
          <w:rFonts w:ascii="仿宋_GB2312" w:hAnsi="黑体" w:eastAsia="仿宋_GB2312"/>
          <w:sz w:val="32"/>
          <w:szCs w:val="34"/>
        </w:rPr>
        <w:t>万吨（含）</w:t>
      </w:r>
      <w:r>
        <w:rPr>
          <w:rFonts w:hint="eastAsia" w:ascii="仿宋_GB2312" w:hAnsi="黑体" w:eastAsia="仿宋_GB2312"/>
          <w:sz w:val="32"/>
          <w:szCs w:val="34"/>
        </w:rPr>
        <w:t>（≥</w:t>
      </w:r>
      <w:r>
        <w:rPr>
          <w:rFonts w:ascii="仿宋_GB2312" w:hAnsi="黑体" w:eastAsia="仿宋_GB2312"/>
          <w:sz w:val="32"/>
          <w:szCs w:val="34"/>
        </w:rPr>
        <w:t>10t/h</w:t>
      </w:r>
      <w:r>
        <w:rPr>
          <w:rFonts w:hint="eastAsia"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3.1.3</w:t>
      </w:r>
      <w:r>
        <w:rPr>
          <w:rFonts w:ascii="仿宋_GB2312" w:hAnsi="黑体" w:eastAsia="仿宋_GB2312"/>
          <w:sz w:val="32"/>
          <w:szCs w:val="34"/>
        </w:rPr>
        <w:t xml:space="preserve"> </w:t>
      </w:r>
      <w:bookmarkEnd w:id="16"/>
      <w:bookmarkEnd w:id="17"/>
      <w:bookmarkStart w:id="18" w:name="_Toc39072552"/>
      <w:bookmarkStart w:id="19" w:name="_Toc40187013"/>
      <w:r>
        <w:rPr>
          <w:rFonts w:hint="eastAsia" w:ascii="仿宋_GB2312" w:hAnsi="黑体" w:eastAsia="仿宋_GB2312"/>
          <w:sz w:val="32"/>
          <w:szCs w:val="34"/>
        </w:rPr>
        <w:t>质量及质量管理条件要求</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1</w:t>
      </w:r>
      <w:r>
        <w:rPr>
          <w:rFonts w:hint="eastAsia" w:ascii="仿宋_GB2312" w:hAnsi="黑体" w:eastAsia="仿宋_GB2312"/>
          <w:sz w:val="32"/>
          <w:szCs w:val="34"/>
          <w:lang w:eastAsia="zh-CN"/>
        </w:rPr>
        <w:t>）</w:t>
      </w:r>
      <w:r>
        <w:rPr>
          <w:rFonts w:hint="eastAsia" w:ascii="仿宋_GB2312" w:hAnsi="黑体" w:eastAsia="仿宋_GB2312"/>
          <w:sz w:val="32"/>
          <w:szCs w:val="34"/>
        </w:rPr>
        <w:t>在申报年度内受新区政府以上主管部门通报的质量事故或合格率均不得低于</w:t>
      </w:r>
      <w:r>
        <w:rPr>
          <w:rFonts w:ascii="仿宋_GB2312" w:hAnsi="黑体" w:eastAsia="仿宋_GB2312"/>
          <w:sz w:val="32"/>
          <w:szCs w:val="34"/>
        </w:rPr>
        <w:t>100％</w:t>
      </w:r>
      <w:r>
        <w:rPr>
          <w:rFonts w:hint="eastAsia" w:ascii="仿宋_GB2312" w:hAnsi="黑体" w:eastAsia="仿宋_GB2312"/>
          <w:sz w:val="32"/>
          <w:szCs w:val="34"/>
        </w:rPr>
        <w:t>（提供不低于100%承诺说明，如经查验不实情况将移除集采目录）</w:t>
      </w:r>
      <w:r>
        <w:rPr>
          <w:rFonts w:ascii="仿宋_GB2312" w:hAnsi="黑体" w:eastAsia="仿宋_GB2312"/>
          <w:sz w:val="32"/>
          <w:szCs w:val="34"/>
        </w:rPr>
        <w:t>；</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2</w:t>
      </w:r>
      <w:r>
        <w:rPr>
          <w:rFonts w:hint="eastAsia" w:ascii="仿宋_GB2312" w:hAnsi="黑体" w:eastAsia="仿宋_GB2312"/>
          <w:sz w:val="32"/>
          <w:szCs w:val="34"/>
          <w:lang w:eastAsia="zh-CN"/>
        </w:rPr>
        <w:t>）</w:t>
      </w:r>
      <w:r>
        <w:rPr>
          <w:rFonts w:hint="eastAsia" w:ascii="仿宋_GB2312" w:hAnsi="黑体" w:eastAsia="仿宋_GB2312"/>
          <w:sz w:val="32"/>
          <w:szCs w:val="34"/>
        </w:rPr>
        <w:t>持有标准化试验室合格或B级及以上证书，实验室检验人员持证上岗且人证相符；</w:t>
      </w:r>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lang w:eastAsia="zh-CN"/>
        </w:rPr>
        <w:t>（</w:t>
      </w:r>
      <w:r>
        <w:rPr>
          <w:rFonts w:hint="eastAsia" w:ascii="仿宋_GB2312" w:hAnsi="黑体" w:eastAsia="仿宋_GB2312"/>
          <w:sz w:val="32"/>
          <w:szCs w:val="34"/>
          <w:lang w:val="en-US" w:eastAsia="zh-CN"/>
        </w:rPr>
        <w:t>3</w:t>
      </w:r>
      <w:r>
        <w:rPr>
          <w:rFonts w:hint="eastAsia" w:ascii="仿宋_GB2312" w:hAnsi="黑体" w:eastAsia="仿宋_GB2312"/>
          <w:sz w:val="32"/>
          <w:szCs w:val="34"/>
          <w:lang w:eastAsia="zh-CN"/>
        </w:rPr>
        <w:t>）</w:t>
      </w:r>
      <w:r>
        <w:rPr>
          <w:rFonts w:hint="eastAsia" w:ascii="仿宋_GB2312" w:hAnsi="黑体" w:eastAsia="仿宋_GB2312"/>
          <w:sz w:val="32"/>
          <w:szCs w:val="34"/>
        </w:rPr>
        <w:t>生产的产品能够满足上述所有指标要求并提供相应的材料检测报告。</w:t>
      </w:r>
    </w:p>
    <w:p>
      <w:pPr>
        <w:rPr>
          <w:rFonts w:ascii="华文仿宋" w:hAnsi="华文仿宋" w:eastAsia="华文仿宋"/>
          <w:sz w:val="24"/>
          <w:szCs w:val="24"/>
        </w:rPr>
      </w:pPr>
    </w:p>
    <w:bookmarkEnd w:id="18"/>
    <w:bookmarkEnd w:id="19"/>
    <w:p>
      <w:pPr>
        <w:pStyle w:val="45"/>
        <w:jc w:val="left"/>
        <w:rPr>
          <w:b/>
        </w:rPr>
      </w:pPr>
      <w:bookmarkStart w:id="20" w:name="_Toc40187017"/>
      <w:bookmarkStart w:id="21" w:name="_Toc41558802"/>
      <w:r>
        <w:rPr>
          <w:rFonts w:hint="eastAsia"/>
          <w:b/>
        </w:rPr>
        <w:t>3.2 经销代理商类</w:t>
      </w:r>
      <w:bookmarkEnd w:id="20"/>
      <w:bookmarkEnd w:id="21"/>
    </w:p>
    <w:p>
      <w:pPr>
        <w:spacing w:line="560" w:lineRule="exact"/>
        <w:ind w:firstLine="640" w:firstLineChars="200"/>
        <w:rPr>
          <w:rFonts w:ascii="仿宋_GB2312" w:hAnsi="黑体" w:eastAsia="仿宋_GB2312"/>
          <w:sz w:val="32"/>
          <w:szCs w:val="34"/>
        </w:rPr>
      </w:pPr>
      <w:r>
        <w:rPr>
          <w:rFonts w:hint="eastAsia" w:ascii="仿宋_GB2312" w:hAnsi="黑体" w:eastAsia="仿宋_GB2312"/>
          <w:sz w:val="32"/>
          <w:szCs w:val="34"/>
        </w:rPr>
        <w:t xml:space="preserve">3.2.1 </w:t>
      </w:r>
      <w:r>
        <w:rPr>
          <w:rFonts w:ascii="仿宋_GB2312" w:hAnsi="黑体" w:eastAsia="仿宋_GB2312"/>
          <w:sz w:val="32"/>
          <w:szCs w:val="34"/>
        </w:rPr>
        <w:t>注册资金在</w:t>
      </w:r>
      <w:r>
        <w:rPr>
          <w:rFonts w:hint="eastAsia" w:ascii="仿宋_GB2312" w:hAnsi="黑体" w:eastAsia="仿宋_GB2312"/>
          <w:sz w:val="32"/>
          <w:szCs w:val="34"/>
        </w:rPr>
        <w:t>300</w:t>
      </w:r>
      <w:r>
        <w:rPr>
          <w:rFonts w:ascii="仿宋_GB2312" w:hAnsi="黑体" w:eastAsia="仿宋_GB2312"/>
          <w:sz w:val="32"/>
          <w:szCs w:val="34"/>
        </w:rPr>
        <w:t>万以上</w:t>
      </w:r>
      <w:r>
        <w:rPr>
          <w:rFonts w:hint="eastAsia" w:ascii="仿宋_GB2312" w:hAnsi="黑体" w:eastAsia="仿宋_GB2312"/>
          <w:sz w:val="32"/>
          <w:szCs w:val="34"/>
        </w:rPr>
        <w:t>。</w:t>
      </w:r>
    </w:p>
    <w:sectPr>
      <w:footerReference r:id="rId4" w:type="default"/>
      <w:pgSz w:w="11906" w:h="16838"/>
      <w:pgMar w:top="2041" w:right="1531" w:bottom="2041" w:left="1531" w:header="397" w:footer="39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139401"/>
      <w:docPartObj>
        <w:docPartGallery w:val="autotext"/>
      </w:docPartObj>
    </w:sdtPr>
    <w:sdtContent>
      <w:p>
        <w:pPr>
          <w:pStyle w:val="11"/>
          <w:jc w:val="center"/>
        </w:pPr>
        <w:r>
          <w:fldChar w:fldCharType="begin"/>
        </w:r>
        <w:r>
          <w:instrText xml:space="preserve">PAGE   \* MERGEFORMAT</w:instrText>
        </w:r>
        <w:r>
          <w:fldChar w:fldCharType="separate"/>
        </w:r>
        <w:r>
          <w:rPr>
            <w:lang w:val="zh-CN"/>
          </w:rPr>
          <w:t>5</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27F2F"/>
    <w:multiLevelType w:val="multilevel"/>
    <w:tmpl w:val="6D727F2F"/>
    <w:lvl w:ilvl="0" w:tentative="0">
      <w:start w:val="1"/>
      <w:numFmt w:val="decimal"/>
      <w:lvlText w:val="%1"/>
      <w:lvlJc w:val="left"/>
      <w:pPr>
        <w:ind w:left="57" w:hanging="5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582C55"/>
    <w:multiLevelType w:val="multilevel"/>
    <w:tmpl w:val="77582C55"/>
    <w:lvl w:ilvl="0" w:tentative="0">
      <w:start w:val="1"/>
      <w:numFmt w:val="decimal"/>
      <w:pStyle w:val="4"/>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2">
    <w:nsid w:val="7FE82D87"/>
    <w:multiLevelType w:val="multilevel"/>
    <w:tmpl w:val="7FE82D87"/>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70"/>
    <w:rsid w:val="0000258A"/>
    <w:rsid w:val="00004562"/>
    <w:rsid w:val="00013A81"/>
    <w:rsid w:val="00014111"/>
    <w:rsid w:val="00017898"/>
    <w:rsid w:val="0002328D"/>
    <w:rsid w:val="000238E6"/>
    <w:rsid w:val="00027633"/>
    <w:rsid w:val="00032327"/>
    <w:rsid w:val="00044A9C"/>
    <w:rsid w:val="0005582A"/>
    <w:rsid w:val="00055B50"/>
    <w:rsid w:val="00056319"/>
    <w:rsid w:val="00062032"/>
    <w:rsid w:val="0006478E"/>
    <w:rsid w:val="00067A82"/>
    <w:rsid w:val="00076ABD"/>
    <w:rsid w:val="0008721A"/>
    <w:rsid w:val="0009164F"/>
    <w:rsid w:val="00094E2D"/>
    <w:rsid w:val="000A1A01"/>
    <w:rsid w:val="000A282C"/>
    <w:rsid w:val="000A792E"/>
    <w:rsid w:val="000B1122"/>
    <w:rsid w:val="000C6EFC"/>
    <w:rsid w:val="000C7881"/>
    <w:rsid w:val="000C7E61"/>
    <w:rsid w:val="000D0B23"/>
    <w:rsid w:val="000D1EFF"/>
    <w:rsid w:val="000D37B1"/>
    <w:rsid w:val="000D3A55"/>
    <w:rsid w:val="000D5980"/>
    <w:rsid w:val="000D6DF1"/>
    <w:rsid w:val="000E3A68"/>
    <w:rsid w:val="000E4803"/>
    <w:rsid w:val="000E4DE8"/>
    <w:rsid w:val="000F0214"/>
    <w:rsid w:val="000F2906"/>
    <w:rsid w:val="000F6C8A"/>
    <w:rsid w:val="00101E0D"/>
    <w:rsid w:val="001056C4"/>
    <w:rsid w:val="0012006F"/>
    <w:rsid w:val="00123BCD"/>
    <w:rsid w:val="00126941"/>
    <w:rsid w:val="00130D14"/>
    <w:rsid w:val="00132BE2"/>
    <w:rsid w:val="00145422"/>
    <w:rsid w:val="00151629"/>
    <w:rsid w:val="00155349"/>
    <w:rsid w:val="001640F1"/>
    <w:rsid w:val="00172B37"/>
    <w:rsid w:val="00175037"/>
    <w:rsid w:val="00175978"/>
    <w:rsid w:val="00181B59"/>
    <w:rsid w:val="00183032"/>
    <w:rsid w:val="00187CA2"/>
    <w:rsid w:val="001921B0"/>
    <w:rsid w:val="00194C36"/>
    <w:rsid w:val="00195706"/>
    <w:rsid w:val="00196974"/>
    <w:rsid w:val="00196FE0"/>
    <w:rsid w:val="001A49FD"/>
    <w:rsid w:val="001A4E47"/>
    <w:rsid w:val="001A7350"/>
    <w:rsid w:val="001B2D31"/>
    <w:rsid w:val="001B47CB"/>
    <w:rsid w:val="001B4ED2"/>
    <w:rsid w:val="001C4053"/>
    <w:rsid w:val="001D3911"/>
    <w:rsid w:val="001D4145"/>
    <w:rsid w:val="001E05C5"/>
    <w:rsid w:val="001E101A"/>
    <w:rsid w:val="001E5996"/>
    <w:rsid w:val="001F4F47"/>
    <w:rsid w:val="001F5455"/>
    <w:rsid w:val="002023BD"/>
    <w:rsid w:val="00204D9D"/>
    <w:rsid w:val="00206CFB"/>
    <w:rsid w:val="00206FE7"/>
    <w:rsid w:val="00211E4C"/>
    <w:rsid w:val="00213727"/>
    <w:rsid w:val="00215DE3"/>
    <w:rsid w:val="00217643"/>
    <w:rsid w:val="002263E6"/>
    <w:rsid w:val="002317DC"/>
    <w:rsid w:val="002322D3"/>
    <w:rsid w:val="00232CDD"/>
    <w:rsid w:val="0023660E"/>
    <w:rsid w:val="00246825"/>
    <w:rsid w:val="00247C6A"/>
    <w:rsid w:val="00253706"/>
    <w:rsid w:val="00256AF0"/>
    <w:rsid w:val="00264D3E"/>
    <w:rsid w:val="00264EB9"/>
    <w:rsid w:val="00270850"/>
    <w:rsid w:val="00284D2C"/>
    <w:rsid w:val="00285CE1"/>
    <w:rsid w:val="002870AB"/>
    <w:rsid w:val="002873B9"/>
    <w:rsid w:val="002874A8"/>
    <w:rsid w:val="00290316"/>
    <w:rsid w:val="00290EF7"/>
    <w:rsid w:val="00293C54"/>
    <w:rsid w:val="00295705"/>
    <w:rsid w:val="00295996"/>
    <w:rsid w:val="002A0326"/>
    <w:rsid w:val="002A0FD8"/>
    <w:rsid w:val="002B15FD"/>
    <w:rsid w:val="002B33D8"/>
    <w:rsid w:val="002C2BCB"/>
    <w:rsid w:val="002C32CD"/>
    <w:rsid w:val="002D1B90"/>
    <w:rsid w:val="002D5BE5"/>
    <w:rsid w:val="002F441A"/>
    <w:rsid w:val="003057B7"/>
    <w:rsid w:val="00305DFD"/>
    <w:rsid w:val="00310061"/>
    <w:rsid w:val="00311276"/>
    <w:rsid w:val="00311A65"/>
    <w:rsid w:val="00313C44"/>
    <w:rsid w:val="0032442F"/>
    <w:rsid w:val="0033210B"/>
    <w:rsid w:val="00335608"/>
    <w:rsid w:val="00336FDF"/>
    <w:rsid w:val="00355F0D"/>
    <w:rsid w:val="00364576"/>
    <w:rsid w:val="0037352A"/>
    <w:rsid w:val="00374449"/>
    <w:rsid w:val="00374519"/>
    <w:rsid w:val="00377C96"/>
    <w:rsid w:val="00384A50"/>
    <w:rsid w:val="003907B4"/>
    <w:rsid w:val="0039521B"/>
    <w:rsid w:val="003B0315"/>
    <w:rsid w:val="003B0AF4"/>
    <w:rsid w:val="003B4687"/>
    <w:rsid w:val="003D0501"/>
    <w:rsid w:val="003D17D7"/>
    <w:rsid w:val="003D44AF"/>
    <w:rsid w:val="003F1C07"/>
    <w:rsid w:val="003F297D"/>
    <w:rsid w:val="003F6DF6"/>
    <w:rsid w:val="003F6FA7"/>
    <w:rsid w:val="00400C59"/>
    <w:rsid w:val="00401311"/>
    <w:rsid w:val="00401F6C"/>
    <w:rsid w:val="004034BD"/>
    <w:rsid w:val="00404356"/>
    <w:rsid w:val="004051C8"/>
    <w:rsid w:val="0041203B"/>
    <w:rsid w:val="0041422B"/>
    <w:rsid w:val="0043131F"/>
    <w:rsid w:val="00435A4E"/>
    <w:rsid w:val="00446D72"/>
    <w:rsid w:val="0046107D"/>
    <w:rsid w:val="00461B31"/>
    <w:rsid w:val="0046782A"/>
    <w:rsid w:val="004750B3"/>
    <w:rsid w:val="00476B5A"/>
    <w:rsid w:val="00477377"/>
    <w:rsid w:val="0048065F"/>
    <w:rsid w:val="00481A4C"/>
    <w:rsid w:val="0048264B"/>
    <w:rsid w:val="004919E6"/>
    <w:rsid w:val="00496B0D"/>
    <w:rsid w:val="004A62A3"/>
    <w:rsid w:val="004A7A21"/>
    <w:rsid w:val="004B101F"/>
    <w:rsid w:val="004B3F8D"/>
    <w:rsid w:val="004C0949"/>
    <w:rsid w:val="004C5F44"/>
    <w:rsid w:val="004E3109"/>
    <w:rsid w:val="004E3298"/>
    <w:rsid w:val="004E5CCB"/>
    <w:rsid w:val="004E6F7C"/>
    <w:rsid w:val="004F1450"/>
    <w:rsid w:val="004F23E3"/>
    <w:rsid w:val="004F6E53"/>
    <w:rsid w:val="004F7512"/>
    <w:rsid w:val="00500264"/>
    <w:rsid w:val="00513EBB"/>
    <w:rsid w:val="00515935"/>
    <w:rsid w:val="00516025"/>
    <w:rsid w:val="005200CD"/>
    <w:rsid w:val="00520D6D"/>
    <w:rsid w:val="00524538"/>
    <w:rsid w:val="00524DFC"/>
    <w:rsid w:val="00536113"/>
    <w:rsid w:val="00541014"/>
    <w:rsid w:val="005418B4"/>
    <w:rsid w:val="005421AB"/>
    <w:rsid w:val="00545504"/>
    <w:rsid w:val="00547170"/>
    <w:rsid w:val="00551C26"/>
    <w:rsid w:val="005549ED"/>
    <w:rsid w:val="00555948"/>
    <w:rsid w:val="00556013"/>
    <w:rsid w:val="005638B9"/>
    <w:rsid w:val="00567FBA"/>
    <w:rsid w:val="00570906"/>
    <w:rsid w:val="00570B9D"/>
    <w:rsid w:val="0057548E"/>
    <w:rsid w:val="005767A0"/>
    <w:rsid w:val="00577DA4"/>
    <w:rsid w:val="0058124E"/>
    <w:rsid w:val="00584ADA"/>
    <w:rsid w:val="005929C4"/>
    <w:rsid w:val="005A1E80"/>
    <w:rsid w:val="005A3A6D"/>
    <w:rsid w:val="005B40E6"/>
    <w:rsid w:val="005B555B"/>
    <w:rsid w:val="005C4514"/>
    <w:rsid w:val="005C6AE9"/>
    <w:rsid w:val="005D371A"/>
    <w:rsid w:val="005E4EE6"/>
    <w:rsid w:val="005F2AAA"/>
    <w:rsid w:val="00603208"/>
    <w:rsid w:val="00607B6C"/>
    <w:rsid w:val="006166EF"/>
    <w:rsid w:val="00622740"/>
    <w:rsid w:val="006278A8"/>
    <w:rsid w:val="00630EBA"/>
    <w:rsid w:val="00632DBA"/>
    <w:rsid w:val="00633EC8"/>
    <w:rsid w:val="00633FE6"/>
    <w:rsid w:val="00641DAE"/>
    <w:rsid w:val="00642669"/>
    <w:rsid w:val="006455D1"/>
    <w:rsid w:val="00647A06"/>
    <w:rsid w:val="00647FD6"/>
    <w:rsid w:val="00650658"/>
    <w:rsid w:val="00655BA9"/>
    <w:rsid w:val="00656488"/>
    <w:rsid w:val="00663867"/>
    <w:rsid w:val="00663BC4"/>
    <w:rsid w:val="00665C3E"/>
    <w:rsid w:val="00671713"/>
    <w:rsid w:val="00673B8E"/>
    <w:rsid w:val="00675684"/>
    <w:rsid w:val="006770FB"/>
    <w:rsid w:val="00682DD3"/>
    <w:rsid w:val="006830B0"/>
    <w:rsid w:val="00687432"/>
    <w:rsid w:val="006879CE"/>
    <w:rsid w:val="00687B23"/>
    <w:rsid w:val="0069372A"/>
    <w:rsid w:val="006A1697"/>
    <w:rsid w:val="006A5B02"/>
    <w:rsid w:val="006A5F6C"/>
    <w:rsid w:val="006B2592"/>
    <w:rsid w:val="006B262D"/>
    <w:rsid w:val="006C640C"/>
    <w:rsid w:val="006C6C81"/>
    <w:rsid w:val="006D5477"/>
    <w:rsid w:val="006E70DA"/>
    <w:rsid w:val="00702671"/>
    <w:rsid w:val="0070561F"/>
    <w:rsid w:val="0071633B"/>
    <w:rsid w:val="007179C4"/>
    <w:rsid w:val="0073120F"/>
    <w:rsid w:val="00731EE5"/>
    <w:rsid w:val="007372D7"/>
    <w:rsid w:val="0073778E"/>
    <w:rsid w:val="00746CCE"/>
    <w:rsid w:val="00750B47"/>
    <w:rsid w:val="00751F83"/>
    <w:rsid w:val="00756542"/>
    <w:rsid w:val="00771772"/>
    <w:rsid w:val="00776BF0"/>
    <w:rsid w:val="00780D1E"/>
    <w:rsid w:val="00783971"/>
    <w:rsid w:val="00787159"/>
    <w:rsid w:val="00792AD0"/>
    <w:rsid w:val="007A1C79"/>
    <w:rsid w:val="007A3D21"/>
    <w:rsid w:val="007A7C5C"/>
    <w:rsid w:val="007B04E0"/>
    <w:rsid w:val="007B5C09"/>
    <w:rsid w:val="007C0621"/>
    <w:rsid w:val="007C131E"/>
    <w:rsid w:val="007C52A1"/>
    <w:rsid w:val="007C7CFB"/>
    <w:rsid w:val="007D26DD"/>
    <w:rsid w:val="007E51E9"/>
    <w:rsid w:val="008125AD"/>
    <w:rsid w:val="00821848"/>
    <w:rsid w:val="0082588A"/>
    <w:rsid w:val="00827282"/>
    <w:rsid w:val="00854D8C"/>
    <w:rsid w:val="00881A2E"/>
    <w:rsid w:val="0088535A"/>
    <w:rsid w:val="00885CE6"/>
    <w:rsid w:val="0088673E"/>
    <w:rsid w:val="00894D37"/>
    <w:rsid w:val="008971A1"/>
    <w:rsid w:val="00897D38"/>
    <w:rsid w:val="008A5A7A"/>
    <w:rsid w:val="008B50E7"/>
    <w:rsid w:val="008C106C"/>
    <w:rsid w:val="008C1D09"/>
    <w:rsid w:val="008C3A8E"/>
    <w:rsid w:val="008C4BBE"/>
    <w:rsid w:val="008D1539"/>
    <w:rsid w:val="008D1F8B"/>
    <w:rsid w:val="008D2CAF"/>
    <w:rsid w:val="008D48FE"/>
    <w:rsid w:val="008E0058"/>
    <w:rsid w:val="008E3A0A"/>
    <w:rsid w:val="008F43E2"/>
    <w:rsid w:val="00905AEC"/>
    <w:rsid w:val="00913815"/>
    <w:rsid w:val="00914ED2"/>
    <w:rsid w:val="00917F27"/>
    <w:rsid w:val="009223C3"/>
    <w:rsid w:val="00924A2D"/>
    <w:rsid w:val="00925825"/>
    <w:rsid w:val="0094043D"/>
    <w:rsid w:val="009472E7"/>
    <w:rsid w:val="00957E17"/>
    <w:rsid w:val="00965120"/>
    <w:rsid w:val="00973388"/>
    <w:rsid w:val="00973DF2"/>
    <w:rsid w:val="0097542C"/>
    <w:rsid w:val="00976E3C"/>
    <w:rsid w:val="009822B4"/>
    <w:rsid w:val="009836FF"/>
    <w:rsid w:val="00990BA1"/>
    <w:rsid w:val="00993699"/>
    <w:rsid w:val="00994934"/>
    <w:rsid w:val="00994942"/>
    <w:rsid w:val="00995BB2"/>
    <w:rsid w:val="009A17C2"/>
    <w:rsid w:val="009A3D39"/>
    <w:rsid w:val="009B1ED5"/>
    <w:rsid w:val="009B36DB"/>
    <w:rsid w:val="009B3C68"/>
    <w:rsid w:val="009B5520"/>
    <w:rsid w:val="009B5E48"/>
    <w:rsid w:val="009C0091"/>
    <w:rsid w:val="009C5082"/>
    <w:rsid w:val="009D41F2"/>
    <w:rsid w:val="009D5B84"/>
    <w:rsid w:val="009E4622"/>
    <w:rsid w:val="009F1A2B"/>
    <w:rsid w:val="00A010EF"/>
    <w:rsid w:val="00A05F21"/>
    <w:rsid w:val="00A0625F"/>
    <w:rsid w:val="00A07E6F"/>
    <w:rsid w:val="00A10783"/>
    <w:rsid w:val="00A119D4"/>
    <w:rsid w:val="00A26B8C"/>
    <w:rsid w:val="00A30ADA"/>
    <w:rsid w:val="00A377B0"/>
    <w:rsid w:val="00A41B1D"/>
    <w:rsid w:val="00A43167"/>
    <w:rsid w:val="00A4498F"/>
    <w:rsid w:val="00A47FA4"/>
    <w:rsid w:val="00A52D2C"/>
    <w:rsid w:val="00A55B4C"/>
    <w:rsid w:val="00A60B63"/>
    <w:rsid w:val="00A631E8"/>
    <w:rsid w:val="00A7116D"/>
    <w:rsid w:val="00A77F47"/>
    <w:rsid w:val="00A8234B"/>
    <w:rsid w:val="00AA15B4"/>
    <w:rsid w:val="00AA3418"/>
    <w:rsid w:val="00AA4B47"/>
    <w:rsid w:val="00AB163E"/>
    <w:rsid w:val="00AB2F9F"/>
    <w:rsid w:val="00AB4875"/>
    <w:rsid w:val="00AB58F1"/>
    <w:rsid w:val="00AB7F7B"/>
    <w:rsid w:val="00AD1FAF"/>
    <w:rsid w:val="00AD312A"/>
    <w:rsid w:val="00AD748E"/>
    <w:rsid w:val="00AE0736"/>
    <w:rsid w:val="00AE2659"/>
    <w:rsid w:val="00AF39C0"/>
    <w:rsid w:val="00AF7C69"/>
    <w:rsid w:val="00B01AF5"/>
    <w:rsid w:val="00B051A8"/>
    <w:rsid w:val="00B13DA8"/>
    <w:rsid w:val="00B20394"/>
    <w:rsid w:val="00B2246D"/>
    <w:rsid w:val="00B24C14"/>
    <w:rsid w:val="00B30462"/>
    <w:rsid w:val="00B31D3A"/>
    <w:rsid w:val="00B33E0E"/>
    <w:rsid w:val="00B347ED"/>
    <w:rsid w:val="00B505D6"/>
    <w:rsid w:val="00B518A9"/>
    <w:rsid w:val="00B52867"/>
    <w:rsid w:val="00B56F60"/>
    <w:rsid w:val="00B61417"/>
    <w:rsid w:val="00B62658"/>
    <w:rsid w:val="00B6585E"/>
    <w:rsid w:val="00B7633D"/>
    <w:rsid w:val="00B8035B"/>
    <w:rsid w:val="00B85A51"/>
    <w:rsid w:val="00B876BB"/>
    <w:rsid w:val="00B90F4A"/>
    <w:rsid w:val="00B917D8"/>
    <w:rsid w:val="00B91994"/>
    <w:rsid w:val="00B95779"/>
    <w:rsid w:val="00BA1106"/>
    <w:rsid w:val="00BD015C"/>
    <w:rsid w:val="00BD593C"/>
    <w:rsid w:val="00BE2D0F"/>
    <w:rsid w:val="00BE7EC7"/>
    <w:rsid w:val="00C16976"/>
    <w:rsid w:val="00C219DB"/>
    <w:rsid w:val="00C27DA2"/>
    <w:rsid w:val="00C33C8B"/>
    <w:rsid w:val="00C3796D"/>
    <w:rsid w:val="00C457AB"/>
    <w:rsid w:val="00C45D87"/>
    <w:rsid w:val="00C45E83"/>
    <w:rsid w:val="00C6748D"/>
    <w:rsid w:val="00C7167A"/>
    <w:rsid w:val="00C758FE"/>
    <w:rsid w:val="00C759F8"/>
    <w:rsid w:val="00C76B97"/>
    <w:rsid w:val="00C76BB6"/>
    <w:rsid w:val="00C8066E"/>
    <w:rsid w:val="00C81990"/>
    <w:rsid w:val="00C90A68"/>
    <w:rsid w:val="00CA09D6"/>
    <w:rsid w:val="00CA607C"/>
    <w:rsid w:val="00CB5494"/>
    <w:rsid w:val="00CB7243"/>
    <w:rsid w:val="00CC3E38"/>
    <w:rsid w:val="00CC4138"/>
    <w:rsid w:val="00CD49E0"/>
    <w:rsid w:val="00CE1B0B"/>
    <w:rsid w:val="00CE52B2"/>
    <w:rsid w:val="00CF4538"/>
    <w:rsid w:val="00CF5E3C"/>
    <w:rsid w:val="00CF673C"/>
    <w:rsid w:val="00D0161D"/>
    <w:rsid w:val="00D022BC"/>
    <w:rsid w:val="00D0654D"/>
    <w:rsid w:val="00D14967"/>
    <w:rsid w:val="00D16551"/>
    <w:rsid w:val="00D25D44"/>
    <w:rsid w:val="00D34763"/>
    <w:rsid w:val="00D34FC9"/>
    <w:rsid w:val="00D36D71"/>
    <w:rsid w:val="00D37217"/>
    <w:rsid w:val="00D4373B"/>
    <w:rsid w:val="00D447A2"/>
    <w:rsid w:val="00D470AD"/>
    <w:rsid w:val="00D50655"/>
    <w:rsid w:val="00D50F98"/>
    <w:rsid w:val="00D51328"/>
    <w:rsid w:val="00D52891"/>
    <w:rsid w:val="00D62B29"/>
    <w:rsid w:val="00D7100C"/>
    <w:rsid w:val="00D761F3"/>
    <w:rsid w:val="00D80C4F"/>
    <w:rsid w:val="00D8765E"/>
    <w:rsid w:val="00D943D3"/>
    <w:rsid w:val="00DA322F"/>
    <w:rsid w:val="00DA483A"/>
    <w:rsid w:val="00DB0A35"/>
    <w:rsid w:val="00DB5A15"/>
    <w:rsid w:val="00DC1C52"/>
    <w:rsid w:val="00DC33A2"/>
    <w:rsid w:val="00DC4027"/>
    <w:rsid w:val="00DC77EA"/>
    <w:rsid w:val="00DD399C"/>
    <w:rsid w:val="00DE1A5F"/>
    <w:rsid w:val="00DE20F5"/>
    <w:rsid w:val="00DE436A"/>
    <w:rsid w:val="00DE58BD"/>
    <w:rsid w:val="00DE6B9E"/>
    <w:rsid w:val="00DE71ED"/>
    <w:rsid w:val="00DF3E07"/>
    <w:rsid w:val="00DF5829"/>
    <w:rsid w:val="00E07855"/>
    <w:rsid w:val="00E10D14"/>
    <w:rsid w:val="00E1281D"/>
    <w:rsid w:val="00E16C36"/>
    <w:rsid w:val="00E30613"/>
    <w:rsid w:val="00E3077F"/>
    <w:rsid w:val="00E33370"/>
    <w:rsid w:val="00E6290D"/>
    <w:rsid w:val="00E672B3"/>
    <w:rsid w:val="00E71E2A"/>
    <w:rsid w:val="00E7574E"/>
    <w:rsid w:val="00E80741"/>
    <w:rsid w:val="00E82131"/>
    <w:rsid w:val="00E82825"/>
    <w:rsid w:val="00E94F97"/>
    <w:rsid w:val="00EA209B"/>
    <w:rsid w:val="00EA3D86"/>
    <w:rsid w:val="00EB61C8"/>
    <w:rsid w:val="00EC0EF0"/>
    <w:rsid w:val="00ED5C36"/>
    <w:rsid w:val="00ED5F64"/>
    <w:rsid w:val="00ED6BD2"/>
    <w:rsid w:val="00EE733D"/>
    <w:rsid w:val="00EF4383"/>
    <w:rsid w:val="00EF5C96"/>
    <w:rsid w:val="00EF7321"/>
    <w:rsid w:val="00F0388F"/>
    <w:rsid w:val="00F07E26"/>
    <w:rsid w:val="00F15B20"/>
    <w:rsid w:val="00F16B87"/>
    <w:rsid w:val="00F203CD"/>
    <w:rsid w:val="00F37863"/>
    <w:rsid w:val="00F43727"/>
    <w:rsid w:val="00F55592"/>
    <w:rsid w:val="00F57870"/>
    <w:rsid w:val="00F65BD3"/>
    <w:rsid w:val="00F668BD"/>
    <w:rsid w:val="00F75245"/>
    <w:rsid w:val="00F80FFF"/>
    <w:rsid w:val="00F82C2A"/>
    <w:rsid w:val="00F82DD6"/>
    <w:rsid w:val="00F87431"/>
    <w:rsid w:val="00F91436"/>
    <w:rsid w:val="00F92080"/>
    <w:rsid w:val="00F95233"/>
    <w:rsid w:val="00F9554E"/>
    <w:rsid w:val="00F973F0"/>
    <w:rsid w:val="00F97B10"/>
    <w:rsid w:val="00FA00DE"/>
    <w:rsid w:val="00FA3338"/>
    <w:rsid w:val="00FA5134"/>
    <w:rsid w:val="00FA53DB"/>
    <w:rsid w:val="00FB1AE1"/>
    <w:rsid w:val="00FB41BC"/>
    <w:rsid w:val="00FB5DE4"/>
    <w:rsid w:val="00FC0377"/>
    <w:rsid w:val="00FC4435"/>
    <w:rsid w:val="00FC518E"/>
    <w:rsid w:val="00FC5796"/>
    <w:rsid w:val="00FD04DA"/>
    <w:rsid w:val="00FD29FA"/>
    <w:rsid w:val="00FD38A6"/>
    <w:rsid w:val="00FD4BAF"/>
    <w:rsid w:val="00FD69CD"/>
    <w:rsid w:val="00FF13B5"/>
    <w:rsid w:val="00FF3E1F"/>
    <w:rsid w:val="00FF454E"/>
    <w:rsid w:val="00FF6B43"/>
    <w:rsid w:val="085F42F7"/>
    <w:rsid w:val="60D52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36"/>
    <w:qFormat/>
    <w:uiPriority w:val="0"/>
    <w:pPr>
      <w:keepNext/>
      <w:keepLines/>
      <w:numPr>
        <w:ilvl w:val="0"/>
        <w:numId w:val="1"/>
      </w:numPr>
      <w:spacing w:afterLines="50" w:line="720" w:lineRule="exact"/>
      <w:jc w:val="left"/>
    </w:pPr>
    <w:rPr>
      <w:rFonts w:ascii="Times New Roman" w:hAnsi="Times New Roman" w:eastAsia="黑体" w:cs="Times New Roman"/>
      <w:kern w:val="44"/>
      <w:sz w:val="28"/>
      <w:szCs w:val="44"/>
    </w:rPr>
  </w:style>
  <w:style w:type="paragraph" w:styleId="4">
    <w:name w:val="heading 2"/>
    <w:basedOn w:val="1"/>
    <w:next w:val="1"/>
    <w:link w:val="38"/>
    <w:unhideWhenUsed/>
    <w:qFormat/>
    <w:uiPriority w:val="9"/>
    <w:pPr>
      <w:keepNext/>
      <w:keepLines/>
      <w:numPr>
        <w:ilvl w:val="0"/>
        <w:numId w:val="2"/>
      </w:numPr>
      <w:spacing w:before="260" w:after="260" w:line="416" w:lineRule="auto"/>
      <w:outlineLvl w:val="1"/>
    </w:pPr>
    <w:rPr>
      <w:rFonts w:eastAsia="黑体" w:asciiTheme="majorHAnsi" w:hAnsiTheme="majorHAnsi" w:cstheme="majorBidi"/>
      <w:b/>
      <w:bCs/>
      <w:sz w:val="24"/>
      <w:szCs w:val="32"/>
    </w:rPr>
  </w:style>
  <w:style w:type="paragraph" w:styleId="5">
    <w:name w:val="heading 3"/>
    <w:basedOn w:val="1"/>
    <w:next w:val="1"/>
    <w:link w:val="39"/>
    <w:unhideWhenUsed/>
    <w:qFormat/>
    <w:uiPriority w:val="9"/>
    <w:pPr>
      <w:keepNext/>
      <w:keepLines/>
      <w:spacing w:before="260" w:after="260" w:line="416" w:lineRule="auto"/>
      <w:outlineLvl w:val="2"/>
    </w:pPr>
    <w:rPr>
      <w:rFonts w:eastAsia="华文仿宋"/>
      <w:bCs/>
      <w:sz w:val="24"/>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37"/>
    <w:qFormat/>
    <w:uiPriority w:val="10"/>
    <w:pPr>
      <w:spacing w:before="240" w:after="60"/>
      <w:jc w:val="center"/>
      <w:outlineLvl w:val="0"/>
    </w:pPr>
    <w:rPr>
      <w:rFonts w:asciiTheme="majorHAnsi" w:hAnsiTheme="majorHAnsi" w:eastAsiaTheme="majorEastAsia" w:cstheme="majorBidi"/>
      <w:b/>
      <w:bCs/>
      <w:sz w:val="32"/>
      <w:szCs w:val="32"/>
    </w:rPr>
  </w:style>
  <w:style w:type="paragraph" w:styleId="6">
    <w:name w:val="Document Map"/>
    <w:basedOn w:val="1"/>
    <w:link w:val="42"/>
    <w:semiHidden/>
    <w:unhideWhenUsed/>
    <w:qFormat/>
    <w:uiPriority w:val="99"/>
    <w:rPr>
      <w:rFonts w:ascii="宋体" w:eastAsia="宋体"/>
      <w:sz w:val="24"/>
      <w:szCs w:val="24"/>
    </w:rPr>
  </w:style>
  <w:style w:type="paragraph" w:styleId="7">
    <w:name w:val="annotation text"/>
    <w:basedOn w:val="1"/>
    <w:link w:val="34"/>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Date"/>
    <w:basedOn w:val="1"/>
    <w:next w:val="1"/>
    <w:link w:val="28"/>
    <w:semiHidden/>
    <w:unhideWhenUsed/>
    <w:uiPriority w:val="99"/>
    <w:pPr>
      <w:ind w:left="100" w:leftChars="2500"/>
    </w:pPr>
  </w:style>
  <w:style w:type="paragraph" w:styleId="10">
    <w:name w:val="Balloon Text"/>
    <w:basedOn w:val="1"/>
    <w:link w:val="33"/>
    <w:semiHidden/>
    <w:unhideWhenUsed/>
    <w:qFormat/>
    <w:uiPriority w:val="99"/>
    <w:rPr>
      <w:sz w:val="18"/>
      <w:szCs w:val="18"/>
    </w:rPr>
  </w:style>
  <w:style w:type="paragraph" w:styleId="11">
    <w:name w:val="footer"/>
    <w:basedOn w:val="1"/>
    <w:link w:val="32"/>
    <w:unhideWhenUsed/>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left" w:pos="840"/>
        <w:tab w:val="right" w:leader="dot" w:pos="10456"/>
      </w:tabs>
      <w:spacing w:line="480" w:lineRule="auto"/>
      <w:ind w:left="420" w:leftChars="200"/>
    </w:pPr>
  </w:style>
  <w:style w:type="paragraph" w:styleId="15">
    <w:name w:val="annotation subject"/>
    <w:basedOn w:val="7"/>
    <w:next w:val="7"/>
    <w:link w:val="41"/>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20"/>
    <w:rPr>
      <w:i/>
      <w:i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paragraph" w:styleId="22">
    <w:name w:val="List Paragraph"/>
    <w:basedOn w:val="1"/>
    <w:qFormat/>
    <w:uiPriority w:val="34"/>
    <w:pPr>
      <w:ind w:firstLine="420" w:firstLineChars="200"/>
    </w:pPr>
  </w:style>
  <w:style w:type="paragraph" w:customStyle="1" w:styleId="23">
    <w:name w:val="表格"/>
    <w:qFormat/>
    <w:uiPriority w:val="0"/>
    <w:pPr>
      <w:widowControl w:val="0"/>
      <w:autoSpaceDE w:val="0"/>
      <w:autoSpaceDN w:val="0"/>
      <w:adjustRightInd w:val="0"/>
      <w:jc w:val="center"/>
    </w:pPr>
    <w:rPr>
      <w:rFonts w:cs="宋体" w:asciiTheme="minorHAnsi" w:hAnsiTheme="minorHAnsi" w:eastAsiaTheme="minorEastAsia"/>
      <w:color w:val="000000"/>
      <w:kern w:val="0"/>
      <w:sz w:val="18"/>
      <w:szCs w:val="24"/>
      <w:lang w:val="en-US" w:eastAsia="zh-CN" w:bidi="ar-SA"/>
    </w:rPr>
  </w:style>
  <w:style w:type="table" w:customStyle="1" w:styleId="24">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5">
    <w:name w:val="Table Paragraph"/>
    <w:basedOn w:val="1"/>
    <w:qFormat/>
    <w:uiPriority w:val="1"/>
    <w:pPr>
      <w:autoSpaceDE w:val="0"/>
      <w:autoSpaceDN w:val="0"/>
      <w:jc w:val="left"/>
    </w:pPr>
    <w:rPr>
      <w:rFonts w:ascii="宋体" w:hAnsi="宋体" w:eastAsia="宋体" w:cs="宋体"/>
      <w:kern w:val="0"/>
      <w:sz w:val="22"/>
      <w:lang w:eastAsia="en-US"/>
    </w:rPr>
  </w:style>
  <w:style w:type="paragraph" w:customStyle="1" w:styleId="26">
    <w:name w:val="usernam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passwor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日期 字符"/>
    <w:basedOn w:val="18"/>
    <w:link w:val="9"/>
    <w:semiHidden/>
    <w:qFormat/>
    <w:uiPriority w:val="99"/>
  </w:style>
  <w:style w:type="paragraph" w:styleId="29">
    <w:name w:val="No Spacing"/>
    <w:link w:val="30"/>
    <w:qFormat/>
    <w:uiPriority w:val="1"/>
    <w:rPr>
      <w:rFonts w:asciiTheme="minorHAnsi" w:hAnsiTheme="minorHAnsi" w:eastAsiaTheme="minorEastAsia" w:cstheme="minorBidi"/>
      <w:kern w:val="0"/>
      <w:sz w:val="22"/>
      <w:szCs w:val="22"/>
      <w:lang w:val="en-US" w:eastAsia="zh-CN" w:bidi="ar-SA"/>
    </w:rPr>
  </w:style>
  <w:style w:type="character" w:customStyle="1" w:styleId="30">
    <w:name w:val="无间隔 字符"/>
    <w:basedOn w:val="18"/>
    <w:link w:val="29"/>
    <w:qFormat/>
    <w:uiPriority w:val="1"/>
    <w:rPr>
      <w:kern w:val="0"/>
      <w:sz w:val="22"/>
    </w:rPr>
  </w:style>
  <w:style w:type="character" w:customStyle="1" w:styleId="31">
    <w:name w:val="页眉 字符"/>
    <w:basedOn w:val="18"/>
    <w:link w:val="12"/>
    <w:qFormat/>
    <w:uiPriority w:val="99"/>
    <w:rPr>
      <w:sz w:val="18"/>
      <w:szCs w:val="18"/>
    </w:rPr>
  </w:style>
  <w:style w:type="character" w:customStyle="1" w:styleId="32">
    <w:name w:val="页脚 字符"/>
    <w:basedOn w:val="18"/>
    <w:link w:val="11"/>
    <w:qFormat/>
    <w:uiPriority w:val="99"/>
    <w:rPr>
      <w:sz w:val="18"/>
      <w:szCs w:val="18"/>
    </w:rPr>
  </w:style>
  <w:style w:type="character" w:customStyle="1" w:styleId="33">
    <w:name w:val="批注框文本 字符"/>
    <w:basedOn w:val="18"/>
    <w:link w:val="10"/>
    <w:semiHidden/>
    <w:qFormat/>
    <w:uiPriority w:val="99"/>
    <w:rPr>
      <w:sz w:val="18"/>
      <w:szCs w:val="18"/>
    </w:rPr>
  </w:style>
  <w:style w:type="character" w:customStyle="1" w:styleId="34">
    <w:name w:val="批注文字 字符"/>
    <w:basedOn w:val="18"/>
    <w:link w:val="7"/>
    <w:semiHidden/>
    <w:qFormat/>
    <w:uiPriority w:val="99"/>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6">
    <w:name w:val="标题 1 字符"/>
    <w:basedOn w:val="18"/>
    <w:link w:val="2"/>
    <w:qFormat/>
    <w:uiPriority w:val="0"/>
    <w:rPr>
      <w:rFonts w:ascii="Times New Roman" w:hAnsi="Times New Roman" w:eastAsia="黑体" w:cs="Times New Roman"/>
      <w:b/>
      <w:bCs/>
      <w:kern w:val="44"/>
      <w:sz w:val="28"/>
      <w:szCs w:val="44"/>
    </w:rPr>
  </w:style>
  <w:style w:type="character" w:customStyle="1" w:styleId="37">
    <w:name w:val="标题 字符"/>
    <w:basedOn w:val="18"/>
    <w:link w:val="3"/>
    <w:qFormat/>
    <w:uiPriority w:val="10"/>
    <w:rPr>
      <w:rFonts w:asciiTheme="majorHAnsi" w:hAnsiTheme="majorHAnsi" w:eastAsiaTheme="majorEastAsia" w:cstheme="majorBidi"/>
      <w:b/>
      <w:bCs/>
      <w:sz w:val="32"/>
      <w:szCs w:val="32"/>
    </w:rPr>
  </w:style>
  <w:style w:type="character" w:customStyle="1" w:styleId="38">
    <w:name w:val="标题 2 字符"/>
    <w:basedOn w:val="18"/>
    <w:link w:val="4"/>
    <w:qFormat/>
    <w:uiPriority w:val="9"/>
    <w:rPr>
      <w:rFonts w:eastAsia="黑体" w:asciiTheme="majorHAnsi" w:hAnsiTheme="majorHAnsi" w:cstheme="majorBidi"/>
      <w:b/>
      <w:bCs/>
      <w:sz w:val="24"/>
      <w:szCs w:val="32"/>
    </w:rPr>
  </w:style>
  <w:style w:type="character" w:customStyle="1" w:styleId="39">
    <w:name w:val="标题 3 字符"/>
    <w:basedOn w:val="18"/>
    <w:link w:val="5"/>
    <w:qFormat/>
    <w:uiPriority w:val="9"/>
    <w:rPr>
      <w:rFonts w:eastAsia="华文仿宋"/>
      <w:bCs/>
      <w:sz w:val="24"/>
      <w:szCs w:val="32"/>
    </w:rPr>
  </w:style>
  <w:style w:type="paragraph" w:customStyle="1" w:styleId="40">
    <w:name w:val="TOC Heading"/>
    <w:basedOn w:val="2"/>
    <w:next w:val="1"/>
    <w:unhideWhenUsed/>
    <w:qFormat/>
    <w:uiPriority w:val="39"/>
    <w:pPr>
      <w:widowControl/>
      <w:spacing w:afterLines="0" w:line="259" w:lineRule="auto"/>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41">
    <w:name w:val="批注主题 字符"/>
    <w:basedOn w:val="34"/>
    <w:link w:val="15"/>
    <w:semiHidden/>
    <w:qFormat/>
    <w:uiPriority w:val="99"/>
    <w:rPr>
      <w:b/>
      <w:bCs/>
    </w:rPr>
  </w:style>
  <w:style w:type="character" w:customStyle="1" w:styleId="42">
    <w:name w:val="文档结构图 字符"/>
    <w:basedOn w:val="18"/>
    <w:link w:val="6"/>
    <w:semiHidden/>
    <w:qFormat/>
    <w:uiPriority w:val="99"/>
    <w:rPr>
      <w:rFonts w:ascii="宋体" w:eastAsia="宋体"/>
      <w:sz w:val="24"/>
      <w:szCs w:val="24"/>
    </w:rPr>
  </w:style>
  <w:style w:type="paragraph" w:customStyle="1" w:styleId="43">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4">
    <w:name w:val="标题1"/>
    <w:basedOn w:val="2"/>
    <w:next w:val="2"/>
    <w:qFormat/>
    <w:uiPriority w:val="0"/>
    <w:pPr>
      <w:numPr>
        <w:numId w:val="0"/>
      </w:numPr>
      <w:spacing w:before="0" w:afterLines="0" w:line="560" w:lineRule="exact"/>
      <w:jc w:val="center"/>
    </w:pPr>
    <w:rPr>
      <w:rFonts w:ascii="黑体" w:hAnsi="黑体"/>
      <w:b w:val="0"/>
      <w:sz w:val="36"/>
      <w:szCs w:val="36"/>
    </w:rPr>
  </w:style>
  <w:style w:type="paragraph" w:customStyle="1" w:styleId="45">
    <w:name w:val="标题2"/>
    <w:basedOn w:val="4"/>
    <w:qFormat/>
    <w:uiPriority w:val="0"/>
    <w:pPr>
      <w:numPr>
        <w:numId w:val="0"/>
      </w:numPr>
      <w:spacing w:before="0" w:after="0" w:line="600" w:lineRule="exact"/>
      <w:jc w:val="center"/>
    </w:pPr>
    <w:rPr>
      <w:rFonts w:ascii="楷体" w:hAnsi="楷体" w:eastAsia="楷体" w:cs="Times New Roman"/>
      <w:b w:val="0"/>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overPageProperties xmlns="http://schemas.microsoft.com/office/2006/coverPageProps">
  <PublishDate>2020-04-22T00:00:00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DC1C55C9-A10F-4225-B51D-2FF79A5E649D}">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434</Words>
  <Characters>2475</Characters>
  <Lines>20</Lines>
  <Paragraphs>5</Paragraphs>
  <TotalTime>3</TotalTime>
  <ScaleCrop>false</ScaleCrop>
  <LinksUpToDate>false</LinksUpToDate>
  <CharactersWithSpaces>2904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2020-08-20T10:15:00Z</dcterms:created>
  <dc:creator>ZHIGUANG YANG</dc:creator>
  <cp:lastModifiedBy>TheKING</cp:lastModifiedBy>
  <dcterms:modified xsi:type="dcterms:W3CDTF">2020-10-02T01:24:13Z</dcterms:modified>
  <dc:subject>【建筑防水材料】</dc:subject>
  <dc:title>集采建材质量标准要求(试行)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