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bookmarkStart w:id="22" w:name="_GoBack"/>
      <w:bookmarkEnd w:id="22"/>
      <w:bookmarkStart w:id="0" w:name="_Hlk38468149"/>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雄安新区大宗建材集采目录入围</w:t>
      </w:r>
      <w:bookmarkStart w:id="1" w:name="_Hlk40354335"/>
      <w:r>
        <w:rPr>
          <w:rFonts w:hint="eastAsia" w:ascii="方正小标宋简体" w:hAnsi="等线" w:eastAsia="方正小标宋简体" w:cs="Times New Roman"/>
          <w:sz w:val="44"/>
          <w:szCs w:val="44"/>
        </w:rPr>
        <w:t>指标体系</w:t>
      </w:r>
    </w:p>
    <w:bookmarkEnd w:id="1"/>
    <w:p>
      <w:pPr>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（砌体</w:t>
      </w:r>
      <w:r>
        <w:rPr>
          <w:rFonts w:ascii="方正小标宋简体" w:hAnsi="等线" w:eastAsia="方正小标宋简体" w:cs="Times New Roman"/>
          <w:sz w:val="44"/>
          <w:szCs w:val="44"/>
        </w:rPr>
        <w:t>材料</w:t>
      </w:r>
      <w:r>
        <w:rPr>
          <w:rFonts w:hint="eastAsia" w:ascii="方正小标宋简体" w:hAnsi="等线" w:eastAsia="方正小标宋简体" w:cs="Times New Roman"/>
          <w:sz w:val="44"/>
          <w:szCs w:val="44"/>
        </w:rPr>
        <w:t xml:space="preserve"> 篇）</w:t>
      </w:r>
    </w:p>
    <w:p>
      <w:pPr>
        <w:jc w:val="center"/>
        <w:rPr>
          <w:rFonts w:ascii="仿宋" w:hAnsi="仿宋" w:eastAsia="仿宋"/>
          <w:b/>
          <w:sz w:val="52"/>
          <w:szCs w:val="52"/>
        </w:rPr>
      </w:pPr>
    </w:p>
    <w:p>
      <w:pPr>
        <w:spacing w:after="156" w:afterLines="50"/>
        <w:jc w:val="center"/>
        <w:rPr>
          <w:rFonts w:ascii="仿宋" w:hAnsi="仿宋" w:eastAsia="仿宋"/>
          <w:b/>
          <w:sz w:val="34"/>
          <w:szCs w:val="34"/>
        </w:rPr>
      </w:pPr>
    </w:p>
    <w:p>
      <w:pPr>
        <w:spacing w:after="156" w:afterLines="50" w:line="480" w:lineRule="exact"/>
        <w:jc w:val="center"/>
        <w:rPr>
          <w:rFonts w:ascii="楷体_GB2312" w:hAnsi="黑体" w:eastAsia="楷体_GB2312"/>
          <w:sz w:val="32"/>
          <w:szCs w:val="32"/>
        </w:rPr>
      </w:pPr>
    </w:p>
    <w:p>
      <w:pPr>
        <w:spacing w:after="156" w:afterLines="50" w:line="480" w:lineRule="exact"/>
        <w:jc w:val="center"/>
        <w:rPr>
          <w:rFonts w:ascii="楷体_GB2312" w:hAnsi="黑体" w:eastAsia="楷体_GB2312"/>
          <w:sz w:val="32"/>
          <w:szCs w:val="32"/>
        </w:rPr>
      </w:pPr>
    </w:p>
    <w:p>
      <w:pPr>
        <w:spacing w:after="156" w:afterLines="50" w:line="480" w:lineRule="exact"/>
        <w:jc w:val="center"/>
        <w:rPr>
          <w:rFonts w:ascii="楷体_GB2312" w:hAnsi="黑体" w:eastAsia="楷体_GB2312"/>
          <w:sz w:val="32"/>
          <w:szCs w:val="32"/>
        </w:rPr>
      </w:pPr>
    </w:p>
    <w:p>
      <w:pPr>
        <w:spacing w:after="156" w:afterLines="50" w:line="480" w:lineRule="exact"/>
        <w:jc w:val="center"/>
        <w:rPr>
          <w:rFonts w:ascii="楷体_GB2312" w:hAnsi="黑体" w:eastAsia="楷体_GB2312"/>
          <w:sz w:val="32"/>
          <w:szCs w:val="32"/>
        </w:rPr>
      </w:pPr>
    </w:p>
    <w:p>
      <w:pPr>
        <w:spacing w:after="156" w:afterLines="50" w:line="480" w:lineRule="exact"/>
        <w:jc w:val="center"/>
        <w:rPr>
          <w:rFonts w:ascii="楷体_GB2312" w:hAnsi="黑体" w:eastAsia="楷体_GB2312"/>
          <w:sz w:val="32"/>
          <w:szCs w:val="32"/>
        </w:rPr>
      </w:pPr>
    </w:p>
    <w:p>
      <w:pPr>
        <w:spacing w:after="156" w:afterLines="50" w:line="480" w:lineRule="exact"/>
        <w:jc w:val="center"/>
        <w:rPr>
          <w:rFonts w:ascii="楷体_GB2312" w:hAnsi="黑体" w:eastAsia="楷体_GB2312"/>
          <w:sz w:val="32"/>
          <w:szCs w:val="32"/>
        </w:rPr>
      </w:pPr>
      <w:bookmarkStart w:id="2" w:name="_Hlk40187309"/>
      <w:r>
        <w:rPr>
          <w:rFonts w:hint="eastAsia" w:ascii="楷体_GB2312" w:hAnsi="黑体" w:eastAsia="楷体_GB2312"/>
          <w:sz w:val="32"/>
          <w:szCs w:val="32"/>
        </w:rPr>
        <w:t>河北雄安新区建设指挥部</w:t>
      </w:r>
    </w:p>
    <w:bookmarkEnd w:id="2"/>
    <w:p>
      <w:pPr>
        <w:spacing w:after="156" w:afterLines="50" w:line="480" w:lineRule="exact"/>
        <w:jc w:val="center"/>
        <w:rPr>
          <w:rFonts w:ascii="楷体_GB2312" w:hAnsi="黑体" w:eastAsia="楷体_GB2312"/>
          <w:sz w:val="32"/>
          <w:szCs w:val="32"/>
        </w:rPr>
      </w:pPr>
      <w:r>
        <w:rPr>
          <w:rFonts w:hint="eastAsia" w:ascii="楷体_GB2312" w:hAnsi="黑体" w:eastAsia="楷体_GB2312"/>
          <w:sz w:val="32"/>
          <w:szCs w:val="32"/>
        </w:rPr>
        <w:t>2020年5月</w:t>
      </w:r>
    </w:p>
    <w:bookmarkEnd w:id="0"/>
    <w:p>
      <w:pPr>
        <w:widowControl/>
        <w:jc w:val="left"/>
        <w:rPr>
          <w:b/>
          <w:bCs/>
          <w:sz w:val="32"/>
          <w:szCs w:val="36"/>
        </w:rPr>
      </w:pPr>
      <w:r>
        <w:rPr>
          <w:b/>
          <w:bCs/>
          <w:sz w:val="32"/>
          <w:szCs w:val="36"/>
        </w:rPr>
        <w:br w:type="page"/>
      </w:r>
    </w:p>
    <w:sdt>
      <w:sdtPr>
        <w:rPr>
          <w:rFonts w:asciiTheme="minorHAnsi" w:hAnsiTheme="minorHAnsi" w:eastAsiaTheme="minorEastAsia" w:cstheme="minorBidi"/>
          <w:b w:val="0"/>
          <w:color w:val="auto"/>
          <w:kern w:val="2"/>
          <w:sz w:val="21"/>
          <w:szCs w:val="22"/>
          <w:lang w:val="zh-CN"/>
        </w:rPr>
        <w:id w:val="-772780130"/>
        <w:docPartObj>
          <w:docPartGallery w:val="Table of Contents"/>
          <w:docPartUnique/>
        </w:docPartObj>
      </w:sdtPr>
      <w:sdtEndPr>
        <w:rPr>
          <w:rFonts w:hint="eastAsia" w:ascii="楷体_GB2312" w:eastAsia="楷体_GB2312" w:hAnsiTheme="minorHAnsi" w:cstheme="minorBidi"/>
          <w:b w:val="0"/>
          <w:color w:val="auto"/>
          <w:kern w:val="2"/>
          <w:sz w:val="32"/>
          <w:szCs w:val="32"/>
          <w:lang w:val="zh-CN"/>
        </w:rPr>
      </w:sdtEndPr>
      <w:sdtContent>
        <w:p>
          <w:pPr>
            <w:pStyle w:val="42"/>
            <w:numPr>
              <w:ilvl w:val="0"/>
              <w:numId w:val="0"/>
            </w:numPr>
            <w:spacing w:before="0" w:line="720" w:lineRule="exact"/>
            <w:jc w:val="center"/>
            <w:rPr>
              <w:rFonts w:ascii="华文仿宋" w:hAnsi="华文仿宋" w:eastAsia="华文仿宋"/>
              <w:lang w:val="zh-CN"/>
            </w:rPr>
          </w:pPr>
          <w:r>
            <w:rPr>
              <w:rFonts w:ascii="黑体" w:hAnsi="黑体" w:eastAsia="黑体" w:cstheme="minorBidi"/>
              <w:b w:val="0"/>
              <w:color w:val="auto"/>
              <w:kern w:val="2"/>
              <w:sz w:val="36"/>
              <w:szCs w:val="36"/>
            </w:rPr>
            <w:t>目</w:t>
          </w:r>
          <w:r>
            <w:rPr>
              <w:rFonts w:hint="eastAsia" w:ascii="黑体" w:hAnsi="黑体" w:eastAsia="黑体" w:cstheme="minorBidi"/>
              <w:b w:val="0"/>
              <w:color w:val="auto"/>
              <w:kern w:val="2"/>
              <w:sz w:val="36"/>
              <w:szCs w:val="36"/>
            </w:rPr>
            <w:t xml:space="preserve">  </w:t>
          </w:r>
          <w:r>
            <w:rPr>
              <w:rFonts w:ascii="黑体" w:hAnsi="黑体" w:eastAsia="黑体" w:cstheme="minorBidi"/>
              <w:b w:val="0"/>
              <w:color w:val="auto"/>
              <w:kern w:val="2"/>
              <w:sz w:val="36"/>
              <w:szCs w:val="36"/>
            </w:rPr>
            <w:t>录</w:t>
          </w:r>
        </w:p>
        <w:p>
          <w:pPr>
            <w:spacing w:line="720" w:lineRule="exact"/>
            <w:jc w:val="center"/>
            <w:rPr>
              <w:lang w:val="zh-CN"/>
            </w:rPr>
          </w:pPr>
        </w:p>
        <w:p>
          <w:pPr>
            <w:pStyle w:val="13"/>
          </w:pPr>
          <w:r>
            <w:rPr>
              <w:rFonts w:hint="eastAsia" w:hAnsi="华文仿宋"/>
            </w:rPr>
            <w:fldChar w:fldCharType="begin"/>
          </w:r>
          <w:r>
            <w:rPr>
              <w:rFonts w:hint="eastAsia" w:hAnsi="华文仿宋"/>
            </w:rPr>
            <w:instrText xml:space="preserve"> TOC \o "1-3" \h \z \u </w:instrText>
          </w:r>
          <w:r>
            <w:rPr>
              <w:rFonts w:hint="eastAsia" w:hAnsi="华文仿宋"/>
            </w:rPr>
            <w:fldChar w:fldCharType="separate"/>
          </w:r>
          <w:r>
            <w:fldChar w:fldCharType="begin"/>
          </w:r>
          <w:r>
            <w:instrText xml:space="preserve"> HYPERLINK \l "_Toc45113677" </w:instrText>
          </w:r>
          <w:r>
            <w:fldChar w:fldCharType="separate"/>
          </w:r>
          <w:r>
            <w:rPr>
              <w:rStyle w:val="22"/>
              <w:rFonts w:hint="eastAsia"/>
            </w:rPr>
            <w:t>1. 范围</w:t>
          </w:r>
          <w:r>
            <w:rPr>
              <w:rFonts w:hint="eastAsia"/>
            </w:rPr>
            <w:tab/>
          </w:r>
          <w:r>
            <w:rPr>
              <w:rFonts w:hint="eastAsia"/>
            </w:rPr>
            <w:fldChar w:fldCharType="begin"/>
          </w:r>
          <w:r>
            <w:rPr>
              <w:rFonts w:hint="eastAsia"/>
            </w:rPr>
            <w:instrText xml:space="preserve"> PAGEREF _Toc45113677 \h </w:instrText>
          </w:r>
          <w:r>
            <w:rPr>
              <w:rFonts w:hint="eastAsia"/>
            </w:rPr>
            <w:fldChar w:fldCharType="separate"/>
          </w:r>
          <w:r>
            <w:rPr>
              <w:rFonts w:hint="eastAsia"/>
            </w:rPr>
            <w:t>1</w:t>
          </w:r>
          <w:r>
            <w:rPr>
              <w:rFonts w:hint="eastAsia"/>
            </w:rPr>
            <w:fldChar w:fldCharType="end"/>
          </w:r>
          <w:r>
            <w:rPr>
              <w:rFonts w:hint="eastAsia"/>
            </w:rPr>
            <w:fldChar w:fldCharType="end"/>
          </w:r>
        </w:p>
        <w:p>
          <w:pPr>
            <w:pStyle w:val="13"/>
          </w:pPr>
          <w:r>
            <w:fldChar w:fldCharType="begin"/>
          </w:r>
          <w:r>
            <w:instrText xml:space="preserve"> HYPERLINK \l "_Toc45113678" </w:instrText>
          </w:r>
          <w:r>
            <w:fldChar w:fldCharType="separate"/>
          </w:r>
          <w:r>
            <w:rPr>
              <w:rStyle w:val="22"/>
              <w:rFonts w:hint="eastAsia"/>
            </w:rPr>
            <w:t>2. 指标体系</w:t>
          </w:r>
          <w:r>
            <w:rPr>
              <w:rFonts w:hint="eastAsia"/>
            </w:rPr>
            <w:tab/>
          </w:r>
          <w:r>
            <w:rPr>
              <w:rFonts w:hint="eastAsia"/>
            </w:rPr>
            <w:fldChar w:fldCharType="begin"/>
          </w:r>
          <w:r>
            <w:rPr>
              <w:rFonts w:hint="eastAsia"/>
            </w:rPr>
            <w:instrText xml:space="preserve"> PAGEREF _Toc45113678 \h </w:instrText>
          </w:r>
          <w:r>
            <w:rPr>
              <w:rFonts w:hint="eastAsia"/>
            </w:rPr>
            <w:fldChar w:fldCharType="separate"/>
          </w:r>
          <w:r>
            <w:rPr>
              <w:rFonts w:hint="eastAsia"/>
            </w:rPr>
            <w:t>2</w:t>
          </w:r>
          <w:r>
            <w:rPr>
              <w:rFonts w:hint="eastAsia"/>
            </w:rPr>
            <w:fldChar w:fldCharType="end"/>
          </w:r>
          <w:r>
            <w:rPr>
              <w:rFonts w:hint="eastAsia"/>
            </w:rPr>
            <w:fldChar w:fldCharType="end"/>
          </w:r>
        </w:p>
        <w:p>
          <w:pPr>
            <w:pStyle w:val="14"/>
            <w:tabs>
              <w:tab w:val="right" w:leader="dot" w:pos="8789"/>
            </w:tabs>
            <w:spacing w:after="156" w:afterLines="50" w:line="560" w:lineRule="exact"/>
            <w:rPr>
              <w:rFonts w:ascii="楷体_GB2312" w:eastAsia="楷体_GB2312"/>
              <w:sz w:val="32"/>
              <w:szCs w:val="32"/>
            </w:rPr>
          </w:pPr>
          <w:r>
            <w:fldChar w:fldCharType="begin"/>
          </w:r>
          <w:r>
            <w:instrText xml:space="preserve"> HYPERLINK \l "_Toc45113679" </w:instrText>
          </w:r>
          <w:r>
            <w:fldChar w:fldCharType="separate"/>
          </w:r>
          <w:r>
            <w:rPr>
              <w:rStyle w:val="22"/>
              <w:rFonts w:hint="eastAsia" w:ascii="楷体_GB2312" w:eastAsia="楷体_GB2312"/>
              <w:sz w:val="32"/>
              <w:szCs w:val="32"/>
            </w:rPr>
            <w:t>2.1 基本要求</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_Toc45113679 \h </w:instrText>
          </w:r>
          <w:r>
            <w:rPr>
              <w:rFonts w:hint="eastAsia" w:ascii="楷体_GB2312" w:eastAsia="楷体_GB2312"/>
              <w:sz w:val="32"/>
              <w:szCs w:val="32"/>
            </w:rPr>
            <w:fldChar w:fldCharType="separate"/>
          </w:r>
          <w:r>
            <w:rPr>
              <w:rFonts w:hint="eastAsia" w:ascii="楷体_GB2312" w:eastAsia="楷体_GB2312"/>
              <w:sz w:val="32"/>
              <w:szCs w:val="32"/>
            </w:rPr>
            <w:t>2</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14"/>
            <w:tabs>
              <w:tab w:val="right" w:leader="dot" w:pos="8789"/>
            </w:tabs>
            <w:spacing w:after="156" w:afterLines="50" w:line="560" w:lineRule="exact"/>
            <w:rPr>
              <w:rFonts w:ascii="楷体_GB2312" w:eastAsia="楷体_GB2312"/>
              <w:sz w:val="32"/>
              <w:szCs w:val="32"/>
            </w:rPr>
          </w:pPr>
          <w:r>
            <w:fldChar w:fldCharType="begin"/>
          </w:r>
          <w:r>
            <w:instrText xml:space="preserve"> HYPERLINK \l "_Toc45113680" </w:instrText>
          </w:r>
          <w:r>
            <w:fldChar w:fldCharType="separate"/>
          </w:r>
          <w:r>
            <w:rPr>
              <w:rStyle w:val="22"/>
              <w:rFonts w:hint="eastAsia" w:ascii="楷体_GB2312" w:eastAsia="楷体_GB2312"/>
              <w:sz w:val="32"/>
              <w:szCs w:val="32"/>
            </w:rPr>
            <w:t>2.2 提升性指标要求</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_Toc45113680 \h </w:instrText>
          </w:r>
          <w:r>
            <w:rPr>
              <w:rFonts w:hint="eastAsia" w:ascii="楷体_GB2312" w:eastAsia="楷体_GB2312"/>
              <w:sz w:val="32"/>
              <w:szCs w:val="32"/>
            </w:rPr>
            <w:fldChar w:fldCharType="separate"/>
          </w:r>
          <w:r>
            <w:rPr>
              <w:rFonts w:hint="eastAsia" w:ascii="楷体_GB2312" w:eastAsia="楷体_GB2312"/>
              <w:sz w:val="32"/>
              <w:szCs w:val="32"/>
            </w:rPr>
            <w:t>2</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13"/>
          </w:pPr>
          <w:r>
            <w:fldChar w:fldCharType="begin"/>
          </w:r>
          <w:r>
            <w:instrText xml:space="preserve"> HYPERLINK \l "_Toc45113681" </w:instrText>
          </w:r>
          <w:r>
            <w:fldChar w:fldCharType="separate"/>
          </w:r>
          <w:r>
            <w:rPr>
              <w:rStyle w:val="22"/>
              <w:rFonts w:hint="eastAsia"/>
            </w:rPr>
            <w:t>3. 供应商准入要求</w:t>
          </w:r>
          <w:r>
            <w:rPr>
              <w:rFonts w:hint="eastAsia"/>
            </w:rPr>
            <w:tab/>
          </w:r>
          <w:r>
            <w:rPr>
              <w:rFonts w:hint="eastAsia"/>
            </w:rPr>
            <w:fldChar w:fldCharType="begin"/>
          </w:r>
          <w:r>
            <w:rPr>
              <w:rFonts w:hint="eastAsia"/>
            </w:rPr>
            <w:instrText xml:space="preserve"> PAGEREF _Toc45113681 \h </w:instrText>
          </w:r>
          <w:r>
            <w:rPr>
              <w:rFonts w:hint="eastAsia"/>
            </w:rPr>
            <w:fldChar w:fldCharType="separate"/>
          </w:r>
          <w:r>
            <w:rPr>
              <w:rFonts w:hint="eastAsia"/>
            </w:rPr>
            <w:t>4</w:t>
          </w:r>
          <w:r>
            <w:rPr>
              <w:rFonts w:hint="eastAsia"/>
            </w:rPr>
            <w:fldChar w:fldCharType="end"/>
          </w:r>
          <w:r>
            <w:rPr>
              <w:rFonts w:hint="eastAsia"/>
            </w:rPr>
            <w:fldChar w:fldCharType="end"/>
          </w:r>
        </w:p>
        <w:p>
          <w:pPr>
            <w:pStyle w:val="14"/>
            <w:tabs>
              <w:tab w:val="right" w:leader="dot" w:pos="8789"/>
            </w:tabs>
            <w:spacing w:after="156" w:afterLines="50" w:line="560" w:lineRule="exact"/>
            <w:rPr>
              <w:rFonts w:ascii="楷体_GB2312" w:eastAsia="楷体_GB2312"/>
              <w:sz w:val="32"/>
              <w:szCs w:val="32"/>
            </w:rPr>
          </w:pPr>
          <w:r>
            <w:fldChar w:fldCharType="begin"/>
          </w:r>
          <w:r>
            <w:instrText xml:space="preserve"> HYPERLINK \l "_Toc45113682" </w:instrText>
          </w:r>
          <w:r>
            <w:fldChar w:fldCharType="separate"/>
          </w:r>
          <w:r>
            <w:rPr>
              <w:rStyle w:val="22"/>
              <w:rFonts w:hint="eastAsia" w:ascii="楷体_GB2312" w:eastAsia="楷体_GB2312"/>
              <w:sz w:val="32"/>
              <w:szCs w:val="32"/>
            </w:rPr>
            <w:t>3.1 专项资质要求</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_Toc45113682 \h </w:instrText>
          </w:r>
          <w:r>
            <w:rPr>
              <w:rFonts w:hint="eastAsia" w:ascii="楷体_GB2312" w:eastAsia="楷体_GB2312"/>
              <w:sz w:val="32"/>
              <w:szCs w:val="32"/>
            </w:rPr>
            <w:fldChar w:fldCharType="separate"/>
          </w:r>
          <w:r>
            <w:rPr>
              <w:rFonts w:hint="eastAsia" w:ascii="楷体_GB2312" w:eastAsia="楷体_GB2312"/>
              <w:sz w:val="32"/>
              <w:szCs w:val="32"/>
            </w:rPr>
            <w:t>4</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14"/>
            <w:tabs>
              <w:tab w:val="right" w:leader="dot" w:pos="8789"/>
            </w:tabs>
            <w:spacing w:after="156" w:afterLines="50" w:line="560" w:lineRule="exact"/>
            <w:rPr>
              <w:rFonts w:ascii="楷体_GB2312" w:eastAsia="楷体_GB2312"/>
              <w:sz w:val="32"/>
              <w:szCs w:val="32"/>
            </w:rPr>
          </w:pPr>
          <w:r>
            <w:fldChar w:fldCharType="begin"/>
          </w:r>
          <w:r>
            <w:instrText xml:space="preserve"> HYPERLINK \l "_Toc45113683" </w:instrText>
          </w:r>
          <w:r>
            <w:fldChar w:fldCharType="separate"/>
          </w:r>
          <w:r>
            <w:rPr>
              <w:rStyle w:val="22"/>
              <w:rFonts w:hint="eastAsia" w:ascii="楷体_GB2312" w:eastAsia="楷体_GB2312"/>
              <w:sz w:val="32"/>
              <w:szCs w:val="32"/>
            </w:rPr>
            <w:t>3.2 产能及规模要求</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_Toc45113683 \h </w:instrText>
          </w:r>
          <w:r>
            <w:rPr>
              <w:rFonts w:hint="eastAsia" w:ascii="楷体_GB2312" w:eastAsia="楷体_GB2312"/>
              <w:sz w:val="32"/>
              <w:szCs w:val="32"/>
            </w:rPr>
            <w:fldChar w:fldCharType="separate"/>
          </w:r>
          <w:r>
            <w:rPr>
              <w:rFonts w:hint="eastAsia" w:ascii="楷体_GB2312" w:eastAsia="楷体_GB2312"/>
              <w:sz w:val="32"/>
              <w:szCs w:val="32"/>
            </w:rPr>
            <w:t>4</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14"/>
            <w:tabs>
              <w:tab w:val="right" w:leader="dot" w:pos="8789"/>
            </w:tabs>
            <w:spacing w:after="156" w:afterLines="50" w:line="560" w:lineRule="exact"/>
            <w:rPr>
              <w:rFonts w:ascii="楷体_GB2312" w:eastAsia="楷体_GB2312"/>
              <w:sz w:val="32"/>
              <w:szCs w:val="32"/>
            </w:rPr>
          </w:pPr>
          <w:r>
            <w:fldChar w:fldCharType="begin"/>
          </w:r>
          <w:r>
            <w:instrText xml:space="preserve"> HYPERLINK \l "_Toc45113684" </w:instrText>
          </w:r>
          <w:r>
            <w:fldChar w:fldCharType="separate"/>
          </w:r>
          <w:r>
            <w:rPr>
              <w:rStyle w:val="22"/>
              <w:rFonts w:hint="eastAsia" w:ascii="楷体_GB2312" w:eastAsia="楷体_GB2312"/>
              <w:sz w:val="32"/>
              <w:szCs w:val="32"/>
            </w:rPr>
            <w:t>3.3 质量及质量管理条件要求</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_Toc45113684 \h </w:instrText>
          </w:r>
          <w:r>
            <w:rPr>
              <w:rFonts w:hint="eastAsia" w:ascii="楷体_GB2312" w:eastAsia="楷体_GB2312"/>
              <w:sz w:val="32"/>
              <w:szCs w:val="32"/>
            </w:rPr>
            <w:fldChar w:fldCharType="separate"/>
          </w:r>
          <w:r>
            <w:rPr>
              <w:rFonts w:hint="eastAsia" w:ascii="楷体_GB2312" w:eastAsia="楷体_GB2312"/>
              <w:sz w:val="32"/>
              <w:szCs w:val="32"/>
            </w:rPr>
            <w:t>5</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14"/>
            <w:tabs>
              <w:tab w:val="right" w:leader="dot" w:pos="8789"/>
            </w:tabs>
            <w:spacing w:after="156" w:afterLines="50" w:line="560" w:lineRule="exact"/>
            <w:rPr>
              <w:rFonts w:ascii="楷体_GB2312" w:eastAsia="楷体_GB2312"/>
              <w:sz w:val="32"/>
              <w:szCs w:val="32"/>
            </w:rPr>
          </w:pPr>
          <w:r>
            <w:fldChar w:fldCharType="begin"/>
          </w:r>
          <w:r>
            <w:instrText xml:space="preserve"> HYPERLINK \l "_Toc45113685" </w:instrText>
          </w:r>
          <w:r>
            <w:fldChar w:fldCharType="separate"/>
          </w:r>
          <w:r>
            <w:rPr>
              <w:rStyle w:val="22"/>
              <w:rFonts w:hint="eastAsia" w:ascii="楷体_GB2312" w:eastAsia="楷体_GB2312"/>
              <w:sz w:val="32"/>
              <w:szCs w:val="32"/>
            </w:rPr>
            <w:t>3.4 其他条件要求</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_Toc45113685 \h </w:instrText>
          </w:r>
          <w:r>
            <w:rPr>
              <w:rFonts w:hint="eastAsia" w:ascii="楷体_GB2312" w:eastAsia="楷体_GB2312"/>
              <w:sz w:val="32"/>
              <w:szCs w:val="32"/>
            </w:rPr>
            <w:fldChar w:fldCharType="separate"/>
          </w:r>
          <w:r>
            <w:rPr>
              <w:rFonts w:hint="eastAsia" w:ascii="楷体_GB2312" w:eastAsia="楷体_GB2312"/>
              <w:sz w:val="32"/>
              <w:szCs w:val="32"/>
            </w:rPr>
            <w:t>5</w:t>
          </w:r>
          <w:r>
            <w:rPr>
              <w:rFonts w:hint="eastAsia" w:ascii="楷体_GB2312" w:eastAsia="楷体_GB2312"/>
              <w:sz w:val="32"/>
              <w:szCs w:val="32"/>
            </w:rPr>
            <w:fldChar w:fldCharType="end"/>
          </w:r>
          <w:r>
            <w:rPr>
              <w:rFonts w:hint="eastAsia" w:ascii="楷体_GB2312" w:eastAsia="楷体_GB2312"/>
              <w:sz w:val="32"/>
              <w:szCs w:val="32"/>
            </w:rPr>
            <w:fldChar w:fldCharType="end"/>
          </w:r>
        </w:p>
        <w:p>
          <w:pPr>
            <w:tabs>
              <w:tab w:val="right" w:leader="dot" w:pos="8789"/>
            </w:tabs>
            <w:spacing w:after="156" w:afterLines="50" w:line="560" w:lineRule="exact"/>
            <w:rPr>
              <w:rFonts w:ascii="楷体_GB2312" w:eastAsia="楷体_GB2312"/>
              <w:sz w:val="32"/>
              <w:szCs w:val="32"/>
            </w:rPr>
            <w:sectPr>
              <w:footerReference r:id="rId3" w:type="default"/>
              <w:pgSz w:w="11906" w:h="16838"/>
              <w:pgMar w:top="2041" w:right="1531" w:bottom="2041" w:left="1531" w:header="397" w:footer="397" w:gutter="0"/>
              <w:pgNumType w:start="1"/>
              <w:cols w:space="425" w:num="1"/>
              <w:docGrid w:type="lines" w:linePitch="312" w:charSpace="0"/>
            </w:sectPr>
          </w:pPr>
          <w:r>
            <w:rPr>
              <w:rFonts w:hint="eastAsia" w:ascii="楷体_GB2312" w:hAnsi="华文仿宋" w:eastAsia="楷体_GB2312"/>
              <w:sz w:val="32"/>
              <w:szCs w:val="32"/>
              <w:lang w:val="zh-CN"/>
            </w:rPr>
            <w:fldChar w:fldCharType="end"/>
          </w:r>
        </w:p>
      </w:sdtContent>
    </w:sdt>
    <w:p>
      <w:pPr>
        <w:pStyle w:val="46"/>
        <w:spacing w:after="156" w:afterLines="50" w:line="720" w:lineRule="exact"/>
        <w:jc w:val="left"/>
      </w:pPr>
      <w:bookmarkStart w:id="3" w:name="_Toc45113677"/>
      <w:r>
        <w:rPr>
          <w:rFonts w:hint="eastAsia"/>
        </w:rPr>
        <w:t xml:space="preserve">1. </w:t>
      </w:r>
      <w:bookmarkStart w:id="4" w:name="_Toc40186988"/>
      <w:r>
        <w:rPr>
          <w:rFonts w:hint="eastAsia"/>
        </w:rPr>
        <w:t>范围</w:t>
      </w:r>
      <w:bookmarkEnd w:id="3"/>
      <w:bookmarkEnd w:id="4"/>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1.1 本指标体系适用于建筑工程用砌体材料，主要包括：烧结类砌体材料、非烧结类砌体材料和保温砌体材料</w:t>
      </w:r>
      <w:r>
        <w:rPr>
          <w:rFonts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val="en-US" w:eastAsia="zh-CN"/>
        </w:rPr>
        <w:t>1.1.1</w:t>
      </w:r>
      <w:r>
        <w:rPr>
          <w:rFonts w:hint="eastAsia" w:ascii="仿宋_GB2312" w:hAnsi="黑体" w:eastAsia="仿宋_GB2312"/>
          <w:sz w:val="32"/>
          <w:szCs w:val="34"/>
        </w:rPr>
        <w:t>其中烧结类砌体材料包括：</w:t>
      </w:r>
      <w:r>
        <w:rPr>
          <w:rFonts w:ascii="仿宋_GB2312" w:hAnsi="黑体" w:eastAsia="仿宋_GB2312"/>
          <w:sz w:val="32"/>
          <w:szCs w:val="34"/>
        </w:rPr>
        <w:t>GB/T 5101烧结普通砖</w:t>
      </w:r>
      <w:r>
        <w:rPr>
          <w:rFonts w:hint="eastAsia" w:ascii="仿宋_GB2312" w:hAnsi="黑体" w:eastAsia="仿宋_GB2312"/>
          <w:sz w:val="32"/>
          <w:szCs w:val="34"/>
        </w:rPr>
        <w:t>、</w:t>
      </w:r>
      <w:r>
        <w:rPr>
          <w:rFonts w:ascii="仿宋_GB2312" w:hAnsi="黑体" w:eastAsia="仿宋_GB2312"/>
          <w:sz w:val="32"/>
          <w:szCs w:val="34"/>
        </w:rPr>
        <w:t>GB13544烧结多孔砖和多孔砌块</w:t>
      </w:r>
      <w:r>
        <w:rPr>
          <w:rFonts w:hint="eastAsia" w:ascii="仿宋_GB2312" w:hAnsi="黑体" w:eastAsia="仿宋_GB2312"/>
          <w:sz w:val="32"/>
          <w:szCs w:val="34"/>
        </w:rPr>
        <w:t>、</w:t>
      </w:r>
      <w:r>
        <w:rPr>
          <w:rFonts w:ascii="仿宋_GB2312" w:hAnsi="黑体" w:eastAsia="仿宋_GB2312"/>
          <w:sz w:val="32"/>
          <w:szCs w:val="34"/>
        </w:rPr>
        <w:t xml:space="preserve"> GB/T 13545烧结空心砖和空心砌块</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val="en-US" w:eastAsia="zh-CN"/>
        </w:rPr>
        <w:t>1.1.2</w:t>
      </w:r>
      <w:r>
        <w:rPr>
          <w:rFonts w:hint="eastAsia" w:ascii="仿宋_GB2312" w:hAnsi="黑体" w:eastAsia="仿宋_GB2312"/>
          <w:sz w:val="32"/>
          <w:szCs w:val="34"/>
        </w:rPr>
        <w:t>其中非烧结类砌体材料（常压养护型）包括：</w:t>
      </w:r>
      <w:r>
        <w:rPr>
          <w:rFonts w:ascii="仿宋_GB2312" w:hAnsi="黑体" w:eastAsia="仿宋_GB2312"/>
          <w:sz w:val="32"/>
          <w:szCs w:val="34"/>
        </w:rPr>
        <w:t xml:space="preserve"> GB/T 8239 普通混凝土小型砌块、GB/T 21144 混凝土实心砖、GB/T 24492 非承重混凝土空心砖、GB 25779 承重混凝土多孔砖、GB/T 15229 轻集料混凝土小型空心砌块</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val="en-US" w:eastAsia="zh-CN"/>
        </w:rPr>
        <w:t>1.1.3</w:t>
      </w:r>
      <w:r>
        <w:rPr>
          <w:rFonts w:hint="eastAsia" w:ascii="仿宋_GB2312" w:hAnsi="黑体" w:eastAsia="仿宋_GB2312"/>
          <w:sz w:val="32"/>
          <w:szCs w:val="34"/>
        </w:rPr>
        <w:t>其中非烧结类砌体材料（蒸压养护型）包括：</w:t>
      </w:r>
      <w:r>
        <w:rPr>
          <w:rFonts w:ascii="仿宋_GB2312" w:hAnsi="黑体" w:eastAsia="仿宋_GB2312"/>
          <w:sz w:val="32"/>
          <w:szCs w:val="34"/>
        </w:rPr>
        <w:t xml:space="preserve"> GB 11968蒸压加气混凝土砌块、 GB/T 11945蒸压灰砂实心砖和实心砌块、GB 26541蒸压粉煤灰多孔砖、GB/T 36535蒸压粉煤灰空心砖和空心砌块</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val="en-US" w:eastAsia="zh-CN"/>
        </w:rPr>
        <w:t>1.1.4</w:t>
      </w:r>
      <w:r>
        <w:rPr>
          <w:rFonts w:hint="eastAsia" w:ascii="仿宋_GB2312" w:hAnsi="黑体" w:eastAsia="仿宋_GB2312"/>
          <w:sz w:val="32"/>
          <w:szCs w:val="34"/>
        </w:rPr>
        <w:t>其中保温砌体材料包括：</w:t>
      </w:r>
      <w:r>
        <w:rPr>
          <w:rFonts w:ascii="仿宋_GB2312" w:hAnsi="黑体" w:eastAsia="仿宋_GB2312"/>
          <w:sz w:val="32"/>
          <w:szCs w:val="34"/>
        </w:rPr>
        <w:t>GB/T 29060复合保温砖和复合保温砌块、JG/T 407自保温混凝土复合砌块、GB 26538烧结保温砖和保温砌块</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1.2 在国家发改委发布的《产业结构调整指导目录》以及河北省发布的《</w:t>
      </w:r>
      <w:r>
        <w:rPr>
          <w:rFonts w:ascii="仿宋_GB2312" w:hAnsi="黑体" w:eastAsia="仿宋_GB2312"/>
          <w:sz w:val="32"/>
          <w:szCs w:val="34"/>
        </w:rPr>
        <w:t>河北省推广、限制和禁止使用建设工程材料设备产品目录</w:t>
      </w:r>
      <w:r>
        <w:rPr>
          <w:rFonts w:hint="eastAsia" w:ascii="仿宋_GB2312" w:hAnsi="黑体" w:eastAsia="仿宋_GB2312"/>
          <w:sz w:val="32"/>
          <w:szCs w:val="34"/>
        </w:rPr>
        <w:t>》中禁止类的产品不允许进入新区集采目录中。</w:t>
      </w:r>
    </w:p>
    <w:p>
      <w:pPr>
        <w:pStyle w:val="46"/>
        <w:spacing w:after="156" w:afterLines="50" w:line="720" w:lineRule="exact"/>
        <w:jc w:val="left"/>
      </w:pPr>
      <w:bookmarkStart w:id="5" w:name="_Toc45113678"/>
      <w:r>
        <w:rPr>
          <w:rFonts w:hint="eastAsia"/>
        </w:rPr>
        <w:t>2. 建材指标体系</w:t>
      </w:r>
      <w:bookmarkEnd w:id="5"/>
    </w:p>
    <w:p>
      <w:pPr>
        <w:pStyle w:val="47"/>
        <w:jc w:val="left"/>
        <w:rPr>
          <w:b/>
        </w:rPr>
      </w:pPr>
      <w:bookmarkStart w:id="6" w:name="_Toc45113679"/>
      <w:r>
        <w:rPr>
          <w:rFonts w:hint="eastAsia"/>
          <w:b/>
        </w:rPr>
        <w:t>2.1 基本要求</w:t>
      </w:r>
      <w:bookmarkEnd w:id="6"/>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2.1.1 入围集采目录的砌体材料质量水平应满足现行国家、行业和河北省标准的全部相关要求</w:t>
      </w:r>
      <w:r>
        <w:rPr>
          <w:rFonts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2.1.2 砌体材料具体强度等级、密度等级和外型尺寸等应满足具体工程、具体部位的设计要求，在河北省发布的《</w:t>
      </w:r>
      <w:r>
        <w:rPr>
          <w:rFonts w:ascii="仿宋_GB2312" w:hAnsi="黑体" w:eastAsia="仿宋_GB2312"/>
          <w:sz w:val="32"/>
          <w:szCs w:val="34"/>
        </w:rPr>
        <w:t>河北省推广、限制和禁止使用建设工程材料设备产品目录</w:t>
      </w:r>
      <w:r>
        <w:rPr>
          <w:rFonts w:hint="eastAsia" w:ascii="仿宋_GB2312" w:hAnsi="黑体" w:eastAsia="仿宋_GB2312"/>
          <w:sz w:val="32"/>
          <w:szCs w:val="34"/>
        </w:rPr>
        <w:t>》中规定了限制使用部位的，应按该规定严格执行。</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2.1.3</w:t>
      </w:r>
      <w:r>
        <w:rPr>
          <w:rFonts w:ascii="仿宋_GB2312" w:hAnsi="黑体" w:eastAsia="仿宋_GB2312"/>
          <w:sz w:val="32"/>
          <w:szCs w:val="34"/>
        </w:rPr>
        <w:t xml:space="preserve"> </w:t>
      </w:r>
      <w:r>
        <w:rPr>
          <w:rFonts w:hint="eastAsia" w:ascii="仿宋_GB2312" w:hAnsi="黑体" w:eastAsia="仿宋_GB2312"/>
          <w:sz w:val="32"/>
          <w:szCs w:val="34"/>
        </w:rPr>
        <w:t>本指标体系所引用的标准条款，</w:t>
      </w:r>
      <w:r>
        <w:rPr>
          <w:rFonts w:ascii="仿宋_GB2312" w:hAnsi="黑体" w:eastAsia="仿宋_GB2312"/>
          <w:sz w:val="32"/>
          <w:szCs w:val="34"/>
        </w:rPr>
        <w:t>凡是注日期的引用文件，其随后所有的修改单（不包括勘误的内容）或修订版均不适用</w:t>
      </w:r>
      <w:r>
        <w:rPr>
          <w:rFonts w:hint="eastAsia" w:ascii="仿宋_GB2312" w:hAnsi="黑体" w:eastAsia="仿宋_GB2312"/>
          <w:sz w:val="32"/>
          <w:szCs w:val="34"/>
        </w:rPr>
        <w:t>于</w:t>
      </w:r>
      <w:r>
        <w:rPr>
          <w:rFonts w:ascii="仿宋_GB2312" w:hAnsi="黑体" w:eastAsia="仿宋_GB2312"/>
          <w:sz w:val="32"/>
          <w:szCs w:val="34"/>
        </w:rPr>
        <w:t>本标准，</w:t>
      </w:r>
      <w:r>
        <w:rPr>
          <w:rFonts w:hint="eastAsia" w:ascii="仿宋_GB2312" w:hAnsi="黑体" w:eastAsia="仿宋_GB2312"/>
          <w:sz w:val="32"/>
          <w:szCs w:val="34"/>
        </w:rPr>
        <w:t>同时</w:t>
      </w:r>
      <w:r>
        <w:rPr>
          <w:rFonts w:ascii="仿宋_GB2312" w:hAnsi="黑体" w:eastAsia="仿宋_GB2312"/>
          <w:sz w:val="32"/>
          <w:szCs w:val="34"/>
        </w:rPr>
        <w:t>鼓励各方研究是否可使用这些文件的最新版本。 凡是不注日期的引用文件，</w:t>
      </w:r>
      <w:r>
        <w:rPr>
          <w:rFonts w:hint="eastAsia" w:ascii="仿宋_GB2312" w:hAnsi="黑体" w:eastAsia="仿宋_GB2312"/>
          <w:sz w:val="32"/>
          <w:szCs w:val="34"/>
        </w:rPr>
        <w:t>选取</w:t>
      </w:r>
      <w:r>
        <w:rPr>
          <w:rFonts w:ascii="仿宋_GB2312" w:hAnsi="黑体" w:eastAsia="仿宋_GB2312"/>
          <w:sz w:val="32"/>
          <w:szCs w:val="34"/>
        </w:rPr>
        <w:t>最新版本适用于本标准。</w:t>
      </w:r>
    </w:p>
    <w:p>
      <w:pPr>
        <w:pStyle w:val="47"/>
        <w:jc w:val="left"/>
        <w:rPr>
          <w:b/>
        </w:rPr>
      </w:pPr>
      <w:bookmarkStart w:id="7" w:name="_Toc45113680"/>
      <w:r>
        <w:rPr>
          <w:rFonts w:hint="eastAsia"/>
          <w:b/>
        </w:rPr>
        <w:t>2.2 提升性指标要求</w:t>
      </w:r>
      <w:bookmarkEnd w:id="7"/>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 xml:space="preserve">2.2.1 </w:t>
      </w:r>
      <w:r>
        <w:rPr>
          <w:rFonts w:ascii="仿宋_GB2312" w:hAnsi="黑体" w:eastAsia="仿宋_GB2312"/>
          <w:sz w:val="32"/>
          <w:szCs w:val="34"/>
        </w:rPr>
        <w:t>烧结类砌体材料</w:t>
      </w:r>
      <w:r>
        <w:rPr>
          <w:rFonts w:hint="eastAsia" w:ascii="仿宋_GB2312" w:hAnsi="黑体" w:eastAsia="仿宋_GB2312"/>
          <w:sz w:val="32"/>
          <w:szCs w:val="34"/>
        </w:rPr>
        <w:t>性能指标应符合表1的规定。</w:t>
      </w:r>
    </w:p>
    <w:p>
      <w:pPr>
        <w:spacing w:line="560" w:lineRule="exact"/>
        <w:jc w:val="center"/>
        <w:rPr>
          <w:rFonts w:ascii="黑体" w:hAnsi="黑体" w:eastAsia="黑体"/>
          <w:sz w:val="30"/>
          <w:szCs w:val="30"/>
        </w:rPr>
      </w:pPr>
      <w:r>
        <w:rPr>
          <w:rFonts w:hint="eastAsia" w:ascii="黑体" w:hAnsi="黑体" w:eastAsia="黑体"/>
          <w:sz w:val="30"/>
          <w:szCs w:val="30"/>
        </w:rPr>
        <w:t xml:space="preserve">表1 </w:t>
      </w:r>
      <w:r>
        <w:rPr>
          <w:rFonts w:ascii="黑体" w:hAnsi="黑体" w:eastAsia="黑体"/>
          <w:sz w:val="30"/>
          <w:szCs w:val="30"/>
        </w:rPr>
        <w:t>烧结类砌体材料</w:t>
      </w:r>
      <w:r>
        <w:rPr>
          <w:rFonts w:hint="eastAsia" w:ascii="黑体" w:hAnsi="黑体" w:eastAsia="黑体"/>
          <w:sz w:val="30"/>
          <w:szCs w:val="30"/>
        </w:rPr>
        <w:t>性能指标要求</w:t>
      </w:r>
    </w:p>
    <w:tbl>
      <w:tblPr>
        <w:tblStyle w:val="1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667"/>
        <w:gridCol w:w="857"/>
        <w:gridCol w:w="1593"/>
        <w:gridCol w:w="1471"/>
        <w:gridCol w:w="14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70" w:hRule="atLeast"/>
        </w:trPr>
        <w:tc>
          <w:tcPr>
            <w:tcW w:w="2024"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指标项目</w:t>
            </w:r>
          </w:p>
        </w:tc>
        <w:tc>
          <w:tcPr>
            <w:tcW w:w="473"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单 位</w:t>
            </w:r>
          </w:p>
        </w:tc>
        <w:tc>
          <w:tcPr>
            <w:tcW w:w="879"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基准值</w:t>
            </w:r>
          </w:p>
        </w:tc>
        <w:tc>
          <w:tcPr>
            <w:tcW w:w="812" w:type="pct"/>
            <w:tcBorders>
              <w:top w:val="single" w:color="auto" w:sz="8" w:space="0"/>
              <w:bottom w:val="single" w:color="auto" w:sz="8" w:space="0"/>
            </w:tcBorders>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适用条件</w:t>
            </w:r>
          </w:p>
        </w:tc>
        <w:tc>
          <w:tcPr>
            <w:tcW w:w="812"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24" w:type="pct"/>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5h沸煮吸水率</w:t>
            </w:r>
          </w:p>
        </w:tc>
        <w:tc>
          <w:tcPr>
            <w:tcW w:w="473" w:type="pct"/>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879" w:type="pct"/>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≤产品标准相应级别指标的98%</w:t>
            </w:r>
          </w:p>
        </w:tc>
        <w:tc>
          <w:tcPr>
            <w:tcW w:w="812" w:type="pct"/>
            <w:vMerge w:val="restart"/>
            <w:tcBorders>
              <w:top w:val="single" w:color="auto" w:sz="8" w:space="0"/>
            </w:tcBorders>
            <w:vAlign w:val="center"/>
          </w:tcPr>
          <w:p>
            <w:pPr>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所有工程</w:t>
            </w:r>
          </w:p>
        </w:tc>
        <w:tc>
          <w:tcPr>
            <w:tcW w:w="812" w:type="pct"/>
            <w:vMerge w:val="restart"/>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GB/T 2542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24" w:type="pct"/>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实测抗压强度与设计强度的比值（平均值）</w:t>
            </w:r>
          </w:p>
        </w:tc>
        <w:tc>
          <w:tcPr>
            <w:tcW w:w="47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879"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≥1.10</w:t>
            </w:r>
          </w:p>
        </w:tc>
        <w:tc>
          <w:tcPr>
            <w:tcW w:w="812" w:type="pct"/>
            <w:vMerge w:val="continue"/>
            <w:vAlign w:val="center"/>
          </w:tcPr>
          <w:p>
            <w:pPr>
              <w:widowControl/>
              <w:spacing w:line="400" w:lineRule="exact"/>
              <w:jc w:val="center"/>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center"/>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24" w:type="pct"/>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设计密度与实测密度的比值</w:t>
            </w:r>
          </w:p>
        </w:tc>
        <w:tc>
          <w:tcPr>
            <w:tcW w:w="47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879"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 05</w:t>
            </w:r>
          </w:p>
        </w:tc>
        <w:tc>
          <w:tcPr>
            <w:tcW w:w="812"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center"/>
              <w:rPr>
                <w:rFonts w:ascii="仿宋_GB2312" w:hAnsi="华文仿宋" w:eastAsia="仿宋_GB2312" w:cs="宋体"/>
                <w:color w:val="000000"/>
                <w:kern w:val="0"/>
                <w:sz w:val="22"/>
              </w:rPr>
            </w:pPr>
          </w:p>
        </w:tc>
      </w:tr>
    </w:tbl>
    <w:p>
      <w:pPr>
        <w:ind w:left="141" w:leftChars="67"/>
        <w:rPr>
          <w:rFonts w:ascii="仿宋_GB2312" w:hAnsi="宋体" w:eastAsia="仿宋_GB2312" w:cs="宋体"/>
          <w:color w:val="000000"/>
          <w:kern w:val="0"/>
          <w:szCs w:val="21"/>
        </w:rPr>
      </w:pP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 xml:space="preserve">2.2.2 </w:t>
      </w:r>
      <w:r>
        <w:rPr>
          <w:rFonts w:ascii="仿宋_GB2312" w:hAnsi="黑体" w:eastAsia="仿宋_GB2312"/>
          <w:sz w:val="32"/>
          <w:szCs w:val="34"/>
        </w:rPr>
        <w:t>非烧结类砌体材料（常压养护）</w:t>
      </w:r>
      <w:r>
        <w:rPr>
          <w:rFonts w:hint="eastAsia" w:ascii="仿宋_GB2312" w:hAnsi="黑体" w:eastAsia="仿宋_GB2312"/>
          <w:sz w:val="32"/>
          <w:szCs w:val="34"/>
        </w:rPr>
        <w:t>性能指标应符合表2的规定。</w:t>
      </w:r>
    </w:p>
    <w:p>
      <w:pPr>
        <w:spacing w:line="560" w:lineRule="exact"/>
        <w:jc w:val="center"/>
        <w:rPr>
          <w:rFonts w:ascii="黑体" w:hAnsi="黑体" w:eastAsia="黑体"/>
          <w:sz w:val="30"/>
          <w:szCs w:val="30"/>
        </w:rPr>
      </w:pPr>
      <w:r>
        <w:rPr>
          <w:rFonts w:hint="eastAsia" w:ascii="黑体" w:hAnsi="黑体" w:eastAsia="黑体"/>
          <w:sz w:val="30"/>
          <w:szCs w:val="30"/>
        </w:rPr>
        <w:t>表2</w:t>
      </w:r>
      <w:r>
        <w:rPr>
          <w:rFonts w:ascii="黑体" w:hAnsi="黑体" w:eastAsia="黑体"/>
          <w:sz w:val="30"/>
          <w:szCs w:val="30"/>
        </w:rPr>
        <w:t xml:space="preserve"> 非烧结类砌体材料（常压养护）</w:t>
      </w:r>
      <w:r>
        <w:rPr>
          <w:rFonts w:hint="eastAsia" w:ascii="黑体" w:hAnsi="黑体" w:eastAsia="黑体"/>
          <w:sz w:val="30"/>
          <w:szCs w:val="30"/>
        </w:rPr>
        <w:t>性能指标要求</w:t>
      </w:r>
      <w:bookmarkStart w:id="8" w:name="_Hlk40716406"/>
    </w:p>
    <w:bookmarkEnd w:id="8"/>
    <w:tbl>
      <w:tblPr>
        <w:tblStyle w:val="1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815"/>
        <w:gridCol w:w="2789"/>
        <w:gridCol w:w="723"/>
        <w:gridCol w:w="844"/>
        <w:gridCol w:w="2287"/>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2024" w:type="pct"/>
            <w:gridSpan w:val="2"/>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指标项目</w:t>
            </w:r>
          </w:p>
        </w:tc>
        <w:tc>
          <w:tcPr>
            <w:tcW w:w="406"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单 位</w:t>
            </w:r>
          </w:p>
        </w:tc>
        <w:tc>
          <w:tcPr>
            <w:tcW w:w="474"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基准值</w:t>
            </w:r>
          </w:p>
        </w:tc>
        <w:tc>
          <w:tcPr>
            <w:tcW w:w="1285" w:type="pct"/>
            <w:tcBorders>
              <w:top w:val="single" w:color="auto" w:sz="8" w:space="0"/>
              <w:bottom w:val="single" w:color="auto" w:sz="8" w:space="0"/>
            </w:tcBorders>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适用条件</w:t>
            </w:r>
          </w:p>
        </w:tc>
        <w:tc>
          <w:tcPr>
            <w:tcW w:w="812"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458" w:type="pct"/>
            <w:vMerge w:val="restart"/>
            <w:tcBorders>
              <w:top w:val="single" w:color="auto" w:sz="8" w:space="0"/>
            </w:tcBorders>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抗冻性</w:t>
            </w:r>
          </w:p>
        </w:tc>
        <w:tc>
          <w:tcPr>
            <w:tcW w:w="1567" w:type="pct"/>
            <w:tcBorders>
              <w:top w:val="single" w:color="auto" w:sz="8" w:space="0"/>
            </w:tcBorders>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质量损失率（平均值）</w:t>
            </w:r>
          </w:p>
        </w:tc>
        <w:tc>
          <w:tcPr>
            <w:tcW w:w="406" w:type="pct"/>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474" w:type="pct"/>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≤2.0</w:t>
            </w:r>
          </w:p>
        </w:tc>
        <w:tc>
          <w:tcPr>
            <w:tcW w:w="1285" w:type="pct"/>
            <w:vMerge w:val="restart"/>
            <w:tcBorders>
              <w:top w:val="single" w:color="auto" w:sz="8" w:space="0"/>
            </w:tcBorders>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所有工程</w:t>
            </w:r>
          </w:p>
        </w:tc>
        <w:tc>
          <w:tcPr>
            <w:tcW w:w="812" w:type="pct"/>
            <w:vMerge w:val="restart"/>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GB/T 4111</w:t>
            </w:r>
          </w:p>
          <w:p>
            <w:pPr>
              <w:widowControl/>
              <w:spacing w:line="400" w:lineRule="exac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458"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1567" w:type="pct"/>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强度损失率（平均值）</w:t>
            </w:r>
          </w:p>
        </w:tc>
        <w:tc>
          <w:tcPr>
            <w:tcW w:w="406"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474"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≤10</w:t>
            </w:r>
          </w:p>
        </w:tc>
        <w:tc>
          <w:tcPr>
            <w:tcW w:w="1285"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spacing w:line="400" w:lineRule="exact"/>
              <w:jc w:val="lef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2024" w:type="pct"/>
            <w:gridSpan w:val="2"/>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实测抗压强度与设计强度的比值（平均值）</w:t>
            </w:r>
          </w:p>
        </w:tc>
        <w:tc>
          <w:tcPr>
            <w:tcW w:w="406"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474"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≥1.20</w:t>
            </w:r>
          </w:p>
        </w:tc>
        <w:tc>
          <w:tcPr>
            <w:tcW w:w="1285"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lef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2024" w:type="pct"/>
            <w:gridSpan w:val="2"/>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设计密度与实测密度的比值</w:t>
            </w:r>
          </w:p>
        </w:tc>
        <w:tc>
          <w:tcPr>
            <w:tcW w:w="406"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474"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≥1.10</w:t>
            </w:r>
          </w:p>
        </w:tc>
        <w:tc>
          <w:tcPr>
            <w:tcW w:w="1285" w:type="pct"/>
            <w:vAlign w:val="center"/>
          </w:tcPr>
          <w:p>
            <w:pPr>
              <w:widowControl/>
              <w:spacing w:line="400" w:lineRule="exact"/>
              <w:jc w:val="lef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除“普通混凝土小型砌块”和“承重混凝土多孔砖”以外的产品。</w:t>
            </w:r>
          </w:p>
        </w:tc>
        <w:tc>
          <w:tcPr>
            <w:tcW w:w="812" w:type="pct"/>
            <w:vMerge w:val="continue"/>
            <w:shd w:val="clear" w:color="auto" w:fill="auto"/>
            <w:vAlign w:val="center"/>
          </w:tcPr>
          <w:p>
            <w:pPr>
              <w:widowControl/>
              <w:spacing w:line="400" w:lineRule="exact"/>
              <w:jc w:val="left"/>
              <w:rPr>
                <w:rFonts w:ascii="仿宋_GB2312" w:hAnsi="华文仿宋" w:eastAsia="仿宋_GB2312" w:cs="宋体"/>
                <w:color w:val="000000"/>
                <w:kern w:val="0"/>
                <w:sz w:val="22"/>
              </w:rPr>
            </w:pPr>
          </w:p>
        </w:tc>
      </w:tr>
    </w:tbl>
    <w:p>
      <w:pPr>
        <w:ind w:left="141" w:leftChars="67"/>
        <w:rPr>
          <w:rFonts w:ascii="华文仿宋" w:hAnsi="华文仿宋" w:eastAsia="华文仿宋"/>
          <w:sz w:val="22"/>
        </w:rPr>
      </w:pPr>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2.2.</w:t>
      </w:r>
      <w:r>
        <w:rPr>
          <w:rFonts w:hint="eastAsia" w:ascii="仿宋_GB2312" w:hAnsi="黑体" w:eastAsia="仿宋_GB2312"/>
          <w:sz w:val="32"/>
          <w:szCs w:val="34"/>
        </w:rPr>
        <w:t>3</w:t>
      </w:r>
      <w:r>
        <w:rPr>
          <w:rFonts w:ascii="仿宋_GB2312" w:hAnsi="黑体" w:eastAsia="仿宋_GB2312"/>
          <w:sz w:val="32"/>
          <w:szCs w:val="34"/>
        </w:rPr>
        <w:t xml:space="preserve"> </w:t>
      </w:r>
      <w:r>
        <w:rPr>
          <w:rFonts w:hint="eastAsia" w:ascii="仿宋_GB2312" w:hAnsi="黑体" w:eastAsia="仿宋_GB2312"/>
          <w:sz w:val="32"/>
          <w:szCs w:val="34"/>
        </w:rPr>
        <w:t>蒸压加气混凝土砌块性能指标应符合表3的规定。</w:t>
      </w:r>
    </w:p>
    <w:p>
      <w:pPr>
        <w:spacing w:line="560" w:lineRule="exact"/>
        <w:jc w:val="center"/>
        <w:rPr>
          <w:rFonts w:ascii="黑体" w:hAnsi="黑体" w:eastAsia="黑体"/>
          <w:sz w:val="30"/>
          <w:szCs w:val="30"/>
        </w:rPr>
      </w:pPr>
      <w:r>
        <w:rPr>
          <w:rFonts w:hint="eastAsia" w:ascii="黑体" w:hAnsi="黑体" w:eastAsia="黑体"/>
          <w:sz w:val="30"/>
          <w:szCs w:val="30"/>
        </w:rPr>
        <w:t>表3</w:t>
      </w:r>
      <w:r>
        <w:rPr>
          <w:rFonts w:ascii="黑体" w:hAnsi="黑体" w:eastAsia="黑体"/>
          <w:sz w:val="30"/>
          <w:szCs w:val="30"/>
        </w:rPr>
        <w:t xml:space="preserve"> </w:t>
      </w:r>
      <w:r>
        <w:rPr>
          <w:rFonts w:hint="eastAsia" w:ascii="黑体" w:hAnsi="黑体" w:eastAsia="黑体"/>
          <w:sz w:val="30"/>
          <w:szCs w:val="30"/>
        </w:rPr>
        <w:t>蒸压加气混凝土砌块性能指标要求</w:t>
      </w:r>
    </w:p>
    <w:tbl>
      <w:tblPr>
        <w:tblStyle w:val="1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769"/>
        <w:gridCol w:w="1282"/>
        <w:gridCol w:w="1524"/>
        <w:gridCol w:w="1020"/>
        <w:gridCol w:w="897"/>
        <w:gridCol w:w="1963"/>
        <w:gridCol w:w="14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008" w:type="pct"/>
            <w:gridSpan w:val="3"/>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指标项目</w:t>
            </w:r>
          </w:p>
        </w:tc>
        <w:tc>
          <w:tcPr>
            <w:tcW w:w="573"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单 位</w:t>
            </w:r>
          </w:p>
        </w:tc>
        <w:tc>
          <w:tcPr>
            <w:tcW w:w="504"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基准值</w:t>
            </w:r>
          </w:p>
        </w:tc>
        <w:tc>
          <w:tcPr>
            <w:tcW w:w="1103" w:type="pct"/>
            <w:tcBorders>
              <w:top w:val="single" w:color="auto" w:sz="8" w:space="0"/>
              <w:bottom w:val="single" w:color="auto" w:sz="8" w:space="0"/>
            </w:tcBorders>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适用条件</w:t>
            </w:r>
          </w:p>
        </w:tc>
        <w:tc>
          <w:tcPr>
            <w:tcW w:w="812"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2" w:type="pct"/>
            <w:vMerge w:val="restart"/>
            <w:tcBorders>
              <w:top w:val="single" w:color="auto" w:sz="8" w:space="0"/>
            </w:tcBorders>
            <w:shd w:val="clear" w:color="auto" w:fill="auto"/>
            <w:vAlign w:val="center"/>
          </w:tcPr>
          <w:p>
            <w:pPr>
              <w:widowControl/>
              <w:spacing w:line="34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抗冻性</w:t>
            </w:r>
          </w:p>
        </w:tc>
        <w:tc>
          <w:tcPr>
            <w:tcW w:w="1576" w:type="pct"/>
            <w:gridSpan w:val="2"/>
            <w:tcBorders>
              <w:top w:val="single" w:color="auto" w:sz="8" w:space="0"/>
            </w:tcBorders>
            <w:shd w:val="clear" w:color="auto" w:fill="auto"/>
            <w:vAlign w:val="center"/>
          </w:tcPr>
          <w:p>
            <w:pPr>
              <w:widowControl/>
              <w:spacing w:line="34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质量损失率（平均值）</w:t>
            </w:r>
          </w:p>
        </w:tc>
        <w:tc>
          <w:tcPr>
            <w:tcW w:w="573" w:type="pct"/>
            <w:tcBorders>
              <w:top w:val="single" w:color="auto" w:sz="8" w:space="0"/>
            </w:tcBorders>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504" w:type="pct"/>
            <w:tcBorders>
              <w:top w:val="single" w:color="auto" w:sz="8" w:space="0"/>
            </w:tcBorders>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≤3</w:t>
            </w:r>
          </w:p>
        </w:tc>
        <w:tc>
          <w:tcPr>
            <w:tcW w:w="1103" w:type="pct"/>
            <w:vMerge w:val="restart"/>
            <w:tcBorders>
              <w:top w:val="single" w:color="auto" w:sz="8" w:space="0"/>
            </w:tcBorders>
            <w:vAlign w:val="center"/>
          </w:tcPr>
          <w:p>
            <w:pPr>
              <w:widowControl/>
              <w:spacing w:line="400" w:lineRule="exact"/>
              <w:jc w:val="lef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所有工程（特别说明：用于承重墙时强度等级应≥A5.0；用于自承重外墙时强度等级应≥A3.5；用于自承重墙时强度等级应≥A2.5）</w:t>
            </w:r>
          </w:p>
        </w:tc>
        <w:tc>
          <w:tcPr>
            <w:tcW w:w="812" w:type="pct"/>
            <w:vMerge w:val="restart"/>
            <w:tcBorders>
              <w:top w:val="single" w:color="auto" w:sz="8" w:space="0"/>
            </w:tcBorders>
            <w:shd w:val="clear" w:color="auto" w:fill="auto"/>
            <w:vAlign w:val="center"/>
          </w:tcPr>
          <w:p>
            <w:pPr>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GB/T 11969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2" w:type="pct"/>
            <w:vMerge w:val="continue"/>
            <w:vAlign w:val="center"/>
          </w:tcPr>
          <w:p>
            <w:pPr>
              <w:widowControl/>
              <w:spacing w:line="340" w:lineRule="exact"/>
              <w:jc w:val="left"/>
              <w:rPr>
                <w:rFonts w:ascii="仿宋_GB2312" w:hAnsi="华文仿宋" w:eastAsia="仿宋_GB2312" w:cs="宋体"/>
                <w:color w:val="000000"/>
                <w:kern w:val="0"/>
                <w:sz w:val="22"/>
              </w:rPr>
            </w:pPr>
          </w:p>
        </w:tc>
        <w:tc>
          <w:tcPr>
            <w:tcW w:w="1576" w:type="pct"/>
            <w:gridSpan w:val="2"/>
            <w:shd w:val="clear" w:color="auto" w:fill="auto"/>
            <w:vAlign w:val="center"/>
          </w:tcPr>
          <w:p>
            <w:pPr>
              <w:widowControl/>
              <w:spacing w:line="34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强度损失率（平均值）</w:t>
            </w:r>
          </w:p>
        </w:tc>
        <w:tc>
          <w:tcPr>
            <w:tcW w:w="573"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504"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≤15</w:t>
            </w:r>
          </w:p>
        </w:tc>
        <w:tc>
          <w:tcPr>
            <w:tcW w:w="1103"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spacing w:line="400" w:lineRule="exact"/>
              <w:jc w:val="lef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008" w:type="pct"/>
            <w:gridSpan w:val="3"/>
            <w:shd w:val="clear" w:color="auto" w:fill="auto"/>
            <w:vAlign w:val="center"/>
          </w:tcPr>
          <w:p>
            <w:pPr>
              <w:widowControl/>
              <w:spacing w:line="34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实测抗压强度与设计强度的比值（平均值）</w:t>
            </w:r>
          </w:p>
        </w:tc>
        <w:tc>
          <w:tcPr>
            <w:tcW w:w="573"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504"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≥1.10</w:t>
            </w:r>
          </w:p>
        </w:tc>
        <w:tc>
          <w:tcPr>
            <w:tcW w:w="1103"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spacing w:line="400" w:lineRule="exact"/>
              <w:jc w:val="lef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008" w:type="pct"/>
            <w:gridSpan w:val="3"/>
            <w:shd w:val="clear" w:color="auto" w:fill="auto"/>
            <w:vAlign w:val="center"/>
          </w:tcPr>
          <w:p>
            <w:pPr>
              <w:widowControl/>
              <w:spacing w:line="34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设计密度与实测密度的比值</w:t>
            </w:r>
          </w:p>
        </w:tc>
        <w:tc>
          <w:tcPr>
            <w:tcW w:w="573"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504"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≥1.05</w:t>
            </w:r>
          </w:p>
        </w:tc>
        <w:tc>
          <w:tcPr>
            <w:tcW w:w="1103"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spacing w:line="400" w:lineRule="exact"/>
              <w:jc w:val="lef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1152" w:type="pct"/>
            <w:gridSpan w:val="2"/>
            <w:vMerge w:val="restart"/>
            <w:shd w:val="clear" w:color="auto" w:fill="auto"/>
            <w:vAlign w:val="center"/>
          </w:tcPr>
          <w:p>
            <w:pPr>
              <w:widowControl/>
              <w:spacing w:line="34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导热系数（干态）(平均温度25℃)</w:t>
            </w:r>
          </w:p>
        </w:tc>
        <w:tc>
          <w:tcPr>
            <w:tcW w:w="856" w:type="pct"/>
            <w:shd w:val="clear" w:color="auto" w:fill="auto"/>
            <w:vAlign w:val="center"/>
          </w:tcPr>
          <w:p>
            <w:pPr>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B04</w:t>
            </w:r>
          </w:p>
        </w:tc>
        <w:tc>
          <w:tcPr>
            <w:tcW w:w="573" w:type="pct"/>
            <w:vMerge w:val="restar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W/(m·K)</w:t>
            </w:r>
          </w:p>
        </w:tc>
        <w:tc>
          <w:tcPr>
            <w:tcW w:w="504"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≤0. 11</w:t>
            </w:r>
          </w:p>
        </w:tc>
        <w:tc>
          <w:tcPr>
            <w:tcW w:w="1103"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lef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3" w:hRule="atLeast"/>
        </w:trPr>
        <w:tc>
          <w:tcPr>
            <w:tcW w:w="1152" w:type="pct"/>
            <w:gridSpan w:val="2"/>
            <w:vMerge w:val="continue"/>
            <w:shd w:val="clear" w:color="auto" w:fill="auto"/>
            <w:vAlign w:val="center"/>
          </w:tcPr>
          <w:p>
            <w:pPr>
              <w:widowControl/>
              <w:spacing w:line="340" w:lineRule="exact"/>
              <w:rPr>
                <w:rFonts w:ascii="仿宋_GB2312" w:hAnsi="华文仿宋" w:eastAsia="仿宋_GB2312" w:cs="宋体"/>
                <w:color w:val="000000"/>
                <w:kern w:val="0"/>
                <w:sz w:val="22"/>
              </w:rPr>
            </w:pPr>
          </w:p>
        </w:tc>
        <w:tc>
          <w:tcPr>
            <w:tcW w:w="856" w:type="pct"/>
            <w:shd w:val="clear" w:color="auto" w:fill="auto"/>
            <w:vAlign w:val="center"/>
          </w:tcPr>
          <w:p>
            <w:pPr>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B05</w:t>
            </w:r>
          </w:p>
        </w:tc>
        <w:tc>
          <w:tcPr>
            <w:tcW w:w="573" w:type="pct"/>
            <w:vMerge w:val="continue"/>
            <w:shd w:val="clear" w:color="auto" w:fill="auto"/>
            <w:vAlign w:val="center"/>
          </w:tcPr>
          <w:p>
            <w:pPr>
              <w:widowControl/>
              <w:spacing w:line="340" w:lineRule="exact"/>
              <w:jc w:val="center"/>
              <w:rPr>
                <w:rFonts w:ascii="仿宋_GB2312" w:hAnsi="华文仿宋" w:eastAsia="仿宋_GB2312" w:cs="宋体"/>
                <w:color w:val="000000"/>
                <w:kern w:val="0"/>
                <w:sz w:val="22"/>
              </w:rPr>
            </w:pPr>
          </w:p>
        </w:tc>
        <w:tc>
          <w:tcPr>
            <w:tcW w:w="504"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≤0. 13</w:t>
            </w:r>
          </w:p>
        </w:tc>
        <w:tc>
          <w:tcPr>
            <w:tcW w:w="1103"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lef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1152" w:type="pct"/>
            <w:gridSpan w:val="2"/>
            <w:vMerge w:val="continue"/>
            <w:shd w:val="clear" w:color="auto" w:fill="auto"/>
            <w:vAlign w:val="center"/>
          </w:tcPr>
          <w:p>
            <w:pPr>
              <w:widowControl/>
              <w:spacing w:line="340" w:lineRule="exact"/>
              <w:rPr>
                <w:rFonts w:ascii="仿宋_GB2312" w:hAnsi="华文仿宋" w:eastAsia="仿宋_GB2312" w:cs="宋体"/>
                <w:color w:val="000000"/>
                <w:kern w:val="0"/>
                <w:sz w:val="22"/>
              </w:rPr>
            </w:pPr>
          </w:p>
        </w:tc>
        <w:tc>
          <w:tcPr>
            <w:tcW w:w="856" w:type="pct"/>
            <w:shd w:val="clear" w:color="auto" w:fill="auto"/>
            <w:vAlign w:val="center"/>
          </w:tcPr>
          <w:p>
            <w:pPr>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B06</w:t>
            </w:r>
          </w:p>
        </w:tc>
        <w:tc>
          <w:tcPr>
            <w:tcW w:w="573" w:type="pct"/>
            <w:vMerge w:val="continue"/>
            <w:shd w:val="clear" w:color="auto" w:fill="auto"/>
            <w:vAlign w:val="center"/>
          </w:tcPr>
          <w:p>
            <w:pPr>
              <w:widowControl/>
              <w:spacing w:line="340" w:lineRule="exact"/>
              <w:jc w:val="center"/>
              <w:rPr>
                <w:rFonts w:ascii="仿宋_GB2312" w:hAnsi="华文仿宋" w:eastAsia="仿宋_GB2312" w:cs="宋体"/>
                <w:color w:val="000000"/>
                <w:kern w:val="0"/>
                <w:sz w:val="22"/>
              </w:rPr>
            </w:pPr>
          </w:p>
        </w:tc>
        <w:tc>
          <w:tcPr>
            <w:tcW w:w="504"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≤0. 15</w:t>
            </w:r>
          </w:p>
        </w:tc>
        <w:tc>
          <w:tcPr>
            <w:tcW w:w="1103"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lef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1152" w:type="pct"/>
            <w:gridSpan w:val="2"/>
            <w:vMerge w:val="continue"/>
            <w:shd w:val="clear" w:color="auto" w:fill="auto"/>
            <w:vAlign w:val="center"/>
          </w:tcPr>
          <w:p>
            <w:pPr>
              <w:widowControl/>
              <w:spacing w:line="340" w:lineRule="exact"/>
              <w:rPr>
                <w:rFonts w:ascii="仿宋_GB2312" w:hAnsi="华文仿宋" w:eastAsia="仿宋_GB2312" w:cs="宋体"/>
                <w:color w:val="000000"/>
                <w:kern w:val="0"/>
                <w:sz w:val="22"/>
              </w:rPr>
            </w:pPr>
          </w:p>
        </w:tc>
        <w:tc>
          <w:tcPr>
            <w:tcW w:w="856" w:type="pct"/>
            <w:shd w:val="clear" w:color="auto" w:fill="auto"/>
            <w:vAlign w:val="center"/>
          </w:tcPr>
          <w:p>
            <w:pPr>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B07</w:t>
            </w:r>
          </w:p>
        </w:tc>
        <w:tc>
          <w:tcPr>
            <w:tcW w:w="573" w:type="pct"/>
            <w:vMerge w:val="continue"/>
            <w:shd w:val="clear" w:color="auto" w:fill="auto"/>
            <w:vAlign w:val="center"/>
          </w:tcPr>
          <w:p>
            <w:pPr>
              <w:widowControl/>
              <w:spacing w:line="340" w:lineRule="exact"/>
              <w:jc w:val="center"/>
              <w:rPr>
                <w:rFonts w:ascii="仿宋_GB2312" w:hAnsi="华文仿宋" w:eastAsia="仿宋_GB2312" w:cs="宋体"/>
                <w:color w:val="000000"/>
                <w:kern w:val="0"/>
                <w:sz w:val="22"/>
              </w:rPr>
            </w:pPr>
          </w:p>
        </w:tc>
        <w:tc>
          <w:tcPr>
            <w:tcW w:w="504" w:type="pct"/>
            <w:shd w:val="clear" w:color="auto" w:fill="auto"/>
            <w:vAlign w:val="center"/>
          </w:tcPr>
          <w:p>
            <w:pPr>
              <w:widowControl/>
              <w:spacing w:line="34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≤0. 17</w:t>
            </w:r>
          </w:p>
        </w:tc>
        <w:tc>
          <w:tcPr>
            <w:tcW w:w="1103"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left"/>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5000" w:type="pct"/>
            <w:gridSpan w:val="7"/>
            <w:shd w:val="clear" w:color="auto" w:fill="auto"/>
            <w:vAlign w:val="center"/>
          </w:tcPr>
          <w:p>
            <w:pPr>
              <w:widowControl/>
              <w:spacing w:line="400" w:lineRule="exact"/>
              <w:jc w:val="lef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注：1.</w:t>
            </w:r>
            <w:r>
              <w:rPr>
                <w:rFonts w:hint="eastAsia" w:ascii="仿宋_GB2312" w:hAnsi="华文仿宋" w:eastAsia="仿宋_GB2312"/>
                <w:sz w:val="22"/>
              </w:rPr>
              <w:t>蒸压</w:t>
            </w:r>
            <w:r>
              <w:rPr>
                <w:rFonts w:hint="eastAsia" w:ascii="仿宋_GB2312" w:hAnsi="华文仿宋" w:eastAsia="仿宋_GB2312" w:cs="宋体"/>
                <w:color w:val="000000"/>
                <w:kern w:val="0"/>
                <w:sz w:val="22"/>
              </w:rPr>
              <w:t>砂加气混凝土砌块及</w:t>
            </w:r>
            <w:r>
              <w:rPr>
                <w:rFonts w:hint="eastAsia" w:ascii="仿宋_GB2312" w:hAnsi="华文仿宋" w:eastAsia="仿宋_GB2312"/>
                <w:sz w:val="22"/>
              </w:rPr>
              <w:t>蒸压</w:t>
            </w:r>
            <w:r>
              <w:rPr>
                <w:rFonts w:hint="eastAsia" w:ascii="仿宋_GB2312" w:hAnsi="华文仿宋" w:eastAsia="仿宋_GB2312" w:cs="宋体"/>
                <w:color w:val="000000"/>
                <w:kern w:val="0"/>
                <w:sz w:val="22"/>
              </w:rPr>
              <w:t>灰加气混凝土砌块应符合上述提升指标要求；</w:t>
            </w:r>
          </w:p>
          <w:p>
            <w:pPr>
              <w:widowControl/>
              <w:spacing w:line="400" w:lineRule="exact"/>
              <w:jc w:val="lef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2.砌块应存放15d以上方可出厂。</w:t>
            </w:r>
          </w:p>
        </w:tc>
      </w:tr>
    </w:tbl>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2.</w:t>
      </w:r>
      <w:bookmarkStart w:id="9" w:name="_Hlk40718666"/>
      <w:r>
        <w:rPr>
          <w:rFonts w:hint="eastAsia" w:ascii="仿宋_GB2312" w:hAnsi="黑体" w:eastAsia="仿宋_GB2312"/>
          <w:sz w:val="32"/>
          <w:szCs w:val="34"/>
        </w:rPr>
        <w:t>2.4</w:t>
      </w:r>
      <w:r>
        <w:rPr>
          <w:rFonts w:ascii="仿宋_GB2312" w:hAnsi="黑体" w:eastAsia="仿宋_GB2312"/>
          <w:sz w:val="32"/>
          <w:szCs w:val="34"/>
        </w:rPr>
        <w:t xml:space="preserve"> </w:t>
      </w:r>
      <w:r>
        <w:rPr>
          <w:rFonts w:hint="eastAsia" w:ascii="仿宋_GB2312" w:hAnsi="黑体" w:eastAsia="仿宋_GB2312"/>
          <w:sz w:val="32"/>
          <w:szCs w:val="34"/>
        </w:rPr>
        <w:t>复合保温砌体材料</w:t>
      </w:r>
      <w:bookmarkEnd w:id="9"/>
      <w:r>
        <w:rPr>
          <w:rFonts w:hint="eastAsia" w:ascii="仿宋_GB2312" w:hAnsi="黑体" w:eastAsia="仿宋_GB2312"/>
          <w:sz w:val="32"/>
          <w:szCs w:val="34"/>
        </w:rPr>
        <w:t>性能指标应符合表4的规定。</w:t>
      </w: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r>
        <w:rPr>
          <w:rFonts w:hint="eastAsia" w:ascii="黑体" w:hAnsi="黑体" w:eastAsia="黑体"/>
          <w:sz w:val="30"/>
          <w:szCs w:val="30"/>
        </w:rPr>
        <w:t>表4</w:t>
      </w:r>
      <w:r>
        <w:rPr>
          <w:rFonts w:ascii="黑体" w:hAnsi="黑体" w:eastAsia="黑体"/>
          <w:sz w:val="30"/>
          <w:szCs w:val="30"/>
        </w:rPr>
        <w:t xml:space="preserve"> </w:t>
      </w:r>
      <w:r>
        <w:rPr>
          <w:rFonts w:hint="eastAsia" w:ascii="黑体" w:hAnsi="黑体" w:eastAsia="黑体"/>
          <w:sz w:val="30"/>
          <w:szCs w:val="30"/>
        </w:rPr>
        <w:t>复合保温砌体材料性能指标要求</w:t>
      </w:r>
    </w:p>
    <w:tbl>
      <w:tblPr>
        <w:tblStyle w:val="1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639"/>
        <w:gridCol w:w="1001"/>
        <w:gridCol w:w="1249"/>
        <w:gridCol w:w="1414"/>
        <w:gridCol w:w="715"/>
        <w:gridCol w:w="28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7" w:type="pct"/>
            <w:gridSpan w:val="3"/>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指 标</w:t>
            </w:r>
          </w:p>
        </w:tc>
        <w:tc>
          <w:tcPr>
            <w:tcW w:w="812"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单 位</w:t>
            </w:r>
          </w:p>
        </w:tc>
        <w:tc>
          <w:tcPr>
            <w:tcW w:w="903"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基准值</w:t>
            </w:r>
          </w:p>
        </w:tc>
        <w:tc>
          <w:tcPr>
            <w:tcW w:w="517" w:type="pct"/>
            <w:tcBorders>
              <w:top w:val="single" w:color="auto" w:sz="8" w:space="0"/>
              <w:bottom w:val="single" w:color="auto" w:sz="8" w:space="0"/>
            </w:tcBorders>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适用条件</w:t>
            </w:r>
          </w:p>
        </w:tc>
        <w:tc>
          <w:tcPr>
            <w:tcW w:w="812" w:type="pct"/>
            <w:tcBorders>
              <w:top w:val="single" w:color="auto" w:sz="8" w:space="0"/>
              <w:bottom w:val="single" w:color="auto" w:sz="8" w:space="0"/>
            </w:tcBorders>
            <w:shd w:val="clear" w:color="auto" w:fill="auto"/>
            <w:vAlign w:val="center"/>
          </w:tcPr>
          <w:p>
            <w:pPr>
              <w:widowControl/>
              <w:spacing w:line="400" w:lineRule="exact"/>
              <w:jc w:val="center"/>
              <w:rPr>
                <w:rFonts w:ascii="仿宋_GB2312" w:hAnsi="华文仿宋" w:eastAsia="仿宋_GB2312" w:cs="宋体"/>
                <w:b/>
                <w:color w:val="000000"/>
                <w:kern w:val="0"/>
                <w:sz w:val="22"/>
              </w:rPr>
            </w:pPr>
            <w:r>
              <w:rPr>
                <w:rFonts w:hint="eastAsia" w:ascii="仿宋_GB2312" w:hAnsi="华文仿宋" w:eastAsia="仿宋_GB2312" w:cs="宋体"/>
                <w:b/>
                <w:color w:val="000000"/>
                <w:kern w:val="0"/>
                <w:sz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Merge w:val="restart"/>
            <w:tcBorders>
              <w:top w:val="single" w:color="auto" w:sz="8" w:space="0"/>
            </w:tcBorders>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实测强度与设计强度的比值</w:t>
            </w:r>
          </w:p>
        </w:tc>
        <w:tc>
          <w:tcPr>
            <w:tcW w:w="1150" w:type="pct"/>
            <w:gridSpan w:val="2"/>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烧结类</w:t>
            </w:r>
          </w:p>
        </w:tc>
        <w:tc>
          <w:tcPr>
            <w:tcW w:w="812" w:type="pct"/>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903" w:type="pct"/>
            <w:tcBorders>
              <w:top w:val="single" w:color="auto" w:sz="8" w:space="0"/>
            </w:tcBorders>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≥1.10</w:t>
            </w:r>
          </w:p>
        </w:tc>
        <w:tc>
          <w:tcPr>
            <w:tcW w:w="517" w:type="pct"/>
            <w:vMerge w:val="restart"/>
            <w:tcBorders>
              <w:top w:val="single" w:color="auto" w:sz="8" w:space="0"/>
            </w:tcBorders>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除石膏复合保温砌块以外的所有产品</w:t>
            </w:r>
          </w:p>
        </w:tc>
        <w:tc>
          <w:tcPr>
            <w:tcW w:w="812" w:type="pct"/>
            <w:vMerge w:val="restart"/>
            <w:tcBorders>
              <w:top w:val="single" w:color="auto" w:sz="8" w:space="0"/>
            </w:tcBorders>
            <w:shd w:val="clear" w:color="auto" w:fill="auto"/>
            <w:noWrap/>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GB/T 29060-2012 条款7.5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1150" w:type="pct"/>
            <w:gridSpan w:val="2"/>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非烧结类</w:t>
            </w:r>
          </w:p>
        </w:tc>
        <w:tc>
          <w:tcPr>
            <w:tcW w:w="812"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90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≥1.20</w:t>
            </w:r>
          </w:p>
        </w:tc>
        <w:tc>
          <w:tcPr>
            <w:tcW w:w="51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center"/>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Merge w:val="restart"/>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设计密度与实测密度的比值</w:t>
            </w:r>
          </w:p>
        </w:tc>
        <w:tc>
          <w:tcPr>
            <w:tcW w:w="1150" w:type="pct"/>
            <w:gridSpan w:val="2"/>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烧结类</w:t>
            </w:r>
          </w:p>
        </w:tc>
        <w:tc>
          <w:tcPr>
            <w:tcW w:w="812"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90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≥1.05</w:t>
            </w:r>
          </w:p>
        </w:tc>
        <w:tc>
          <w:tcPr>
            <w:tcW w:w="51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restar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GB/T 29060-2012 附录A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1150" w:type="pct"/>
            <w:gridSpan w:val="2"/>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非烧结类</w:t>
            </w:r>
          </w:p>
        </w:tc>
        <w:tc>
          <w:tcPr>
            <w:tcW w:w="812"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90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≥1.10</w:t>
            </w:r>
          </w:p>
        </w:tc>
        <w:tc>
          <w:tcPr>
            <w:tcW w:w="51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center"/>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Merge w:val="restart"/>
            <w:shd w:val="clear" w:color="auto" w:fill="auto"/>
            <w:vAlign w:val="center"/>
          </w:tcPr>
          <w:p>
            <w:pPr>
              <w:widowControl/>
              <w:spacing w:line="400" w:lineRule="exact"/>
              <w:jc w:val="lef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抗冻性</w:t>
            </w:r>
          </w:p>
        </w:tc>
        <w:tc>
          <w:tcPr>
            <w:tcW w:w="475" w:type="pct"/>
            <w:vMerge w:val="restart"/>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非烧结</w:t>
            </w:r>
          </w:p>
        </w:tc>
        <w:tc>
          <w:tcPr>
            <w:tcW w:w="675" w:type="pct"/>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质量损失率</w:t>
            </w:r>
          </w:p>
        </w:tc>
        <w:tc>
          <w:tcPr>
            <w:tcW w:w="812"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90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≤2</w:t>
            </w:r>
          </w:p>
        </w:tc>
        <w:tc>
          <w:tcPr>
            <w:tcW w:w="51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restar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GB/T 29060-2012 条款7.8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Merge w:val="continue"/>
            <w:shd w:val="clear" w:color="auto" w:fill="auto"/>
            <w:vAlign w:val="center"/>
          </w:tcPr>
          <w:p>
            <w:pPr>
              <w:widowControl/>
              <w:spacing w:line="400" w:lineRule="exact"/>
              <w:jc w:val="left"/>
              <w:rPr>
                <w:rFonts w:ascii="仿宋_GB2312" w:hAnsi="华文仿宋" w:eastAsia="仿宋_GB2312" w:cs="宋体"/>
                <w:color w:val="000000"/>
                <w:kern w:val="0"/>
                <w:sz w:val="22"/>
              </w:rPr>
            </w:pPr>
          </w:p>
        </w:tc>
        <w:tc>
          <w:tcPr>
            <w:tcW w:w="475"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675" w:type="pct"/>
            <w:shd w:val="clear" w:color="auto" w:fill="auto"/>
            <w:vAlign w:val="center"/>
          </w:tcPr>
          <w:p>
            <w:pPr>
              <w:widowControl/>
              <w:spacing w:line="400" w:lineRule="exact"/>
              <w:jc w:val="lef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强度损失率</w:t>
            </w:r>
          </w:p>
        </w:tc>
        <w:tc>
          <w:tcPr>
            <w:tcW w:w="812"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t>
            </w:r>
          </w:p>
        </w:tc>
        <w:tc>
          <w:tcPr>
            <w:tcW w:w="90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≤10</w:t>
            </w:r>
          </w:p>
        </w:tc>
        <w:tc>
          <w:tcPr>
            <w:tcW w:w="51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center"/>
              <w:rPr>
                <w:rFonts w:ascii="仿宋_GB2312" w:hAnsi="华文仿宋" w:eastAsia="仿宋_GB2312"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7" w:type="pct"/>
            <w:gridSpan w:val="3"/>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保温性能</w:t>
            </w:r>
          </w:p>
        </w:tc>
        <w:tc>
          <w:tcPr>
            <w:tcW w:w="812"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W/(m·K)</w:t>
            </w:r>
          </w:p>
        </w:tc>
        <w:tc>
          <w:tcPr>
            <w:tcW w:w="90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≤产品标准相应级别指标的95%</w:t>
            </w:r>
          </w:p>
        </w:tc>
        <w:tc>
          <w:tcPr>
            <w:tcW w:w="51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GB/T 29060-2012 条款7.6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Merge w:val="restart"/>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耐火极限</w:t>
            </w:r>
          </w:p>
        </w:tc>
        <w:tc>
          <w:tcPr>
            <w:tcW w:w="1150" w:type="pct"/>
            <w:gridSpan w:val="2"/>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非承重外墙</w:t>
            </w:r>
          </w:p>
        </w:tc>
        <w:tc>
          <w:tcPr>
            <w:tcW w:w="812"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h</w:t>
            </w:r>
          </w:p>
        </w:tc>
        <w:tc>
          <w:tcPr>
            <w:tcW w:w="90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≥1</w:t>
            </w:r>
          </w:p>
        </w:tc>
        <w:tc>
          <w:tcPr>
            <w:tcW w:w="51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restar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GB/T 9978.1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1150" w:type="pct"/>
            <w:gridSpan w:val="2"/>
            <w:shd w:val="clear" w:color="auto" w:fill="auto"/>
            <w:vAlign w:val="center"/>
          </w:tcPr>
          <w:p>
            <w:pPr>
              <w:widowControl/>
              <w:spacing w:line="400" w:lineRule="exact"/>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住宅建筑单元之间的墙和分户墙</w:t>
            </w:r>
          </w:p>
        </w:tc>
        <w:tc>
          <w:tcPr>
            <w:tcW w:w="812"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h</w:t>
            </w:r>
          </w:p>
        </w:tc>
        <w:tc>
          <w:tcPr>
            <w:tcW w:w="903" w:type="pct"/>
            <w:shd w:val="clear" w:color="auto" w:fill="auto"/>
            <w:vAlign w:val="center"/>
          </w:tcPr>
          <w:p>
            <w:pPr>
              <w:widowControl/>
              <w:spacing w:line="400" w:lineRule="exact"/>
              <w:jc w:val="center"/>
              <w:rPr>
                <w:rFonts w:ascii="仿宋_GB2312" w:hAnsi="华文仿宋" w:eastAsia="仿宋_GB2312" w:cs="宋体"/>
                <w:color w:val="000000"/>
                <w:kern w:val="0"/>
                <w:sz w:val="22"/>
              </w:rPr>
            </w:pPr>
            <w:r>
              <w:rPr>
                <w:rFonts w:hint="eastAsia" w:ascii="仿宋_GB2312" w:hAnsi="华文仿宋" w:eastAsia="仿宋_GB2312" w:cs="宋体"/>
                <w:color w:val="000000"/>
                <w:kern w:val="0"/>
                <w:sz w:val="22"/>
              </w:rPr>
              <w:t>≥2</w:t>
            </w:r>
          </w:p>
        </w:tc>
        <w:tc>
          <w:tcPr>
            <w:tcW w:w="517" w:type="pct"/>
            <w:vMerge w:val="continue"/>
            <w:vAlign w:val="center"/>
          </w:tcPr>
          <w:p>
            <w:pPr>
              <w:widowControl/>
              <w:spacing w:line="400" w:lineRule="exact"/>
              <w:jc w:val="left"/>
              <w:rPr>
                <w:rFonts w:ascii="仿宋_GB2312" w:hAnsi="华文仿宋" w:eastAsia="仿宋_GB2312" w:cs="宋体"/>
                <w:color w:val="000000"/>
                <w:kern w:val="0"/>
                <w:sz w:val="22"/>
              </w:rPr>
            </w:pPr>
          </w:p>
        </w:tc>
        <w:tc>
          <w:tcPr>
            <w:tcW w:w="812" w:type="pct"/>
            <w:vMerge w:val="continue"/>
            <w:shd w:val="clear" w:color="auto" w:fill="auto"/>
            <w:vAlign w:val="center"/>
          </w:tcPr>
          <w:p>
            <w:pPr>
              <w:widowControl/>
              <w:spacing w:line="400" w:lineRule="exact"/>
              <w:jc w:val="left"/>
              <w:rPr>
                <w:rFonts w:ascii="仿宋_GB2312" w:hAnsi="华文仿宋" w:eastAsia="仿宋_GB2312" w:cs="宋体"/>
                <w:color w:val="000000"/>
                <w:kern w:val="0"/>
                <w:sz w:val="22"/>
              </w:rPr>
            </w:pPr>
          </w:p>
        </w:tc>
      </w:tr>
    </w:tbl>
    <w:p>
      <w:pPr>
        <w:rPr>
          <w:sz w:val="24"/>
          <w:szCs w:val="24"/>
        </w:rPr>
      </w:pPr>
    </w:p>
    <w:p>
      <w:pPr>
        <w:pStyle w:val="46"/>
        <w:spacing w:after="156" w:afterLines="50" w:line="720" w:lineRule="exact"/>
        <w:jc w:val="left"/>
      </w:pPr>
      <w:bookmarkStart w:id="10" w:name="_Toc45113681"/>
      <w:bookmarkStart w:id="11" w:name="_Toc40187002"/>
      <w:r>
        <w:rPr>
          <w:rFonts w:hint="eastAsia"/>
        </w:rPr>
        <w:t>3. 供应商准入要求</w:t>
      </w:r>
      <w:bookmarkEnd w:id="10"/>
      <w:bookmarkEnd w:id="11"/>
    </w:p>
    <w:p>
      <w:pPr>
        <w:pStyle w:val="47"/>
        <w:jc w:val="left"/>
        <w:rPr>
          <w:b/>
        </w:rPr>
      </w:pPr>
      <w:bookmarkStart w:id="12" w:name="_Toc40187010"/>
      <w:bookmarkStart w:id="13" w:name="_Toc39072550"/>
      <w:bookmarkStart w:id="14" w:name="_Toc45113682"/>
      <w:r>
        <w:rPr>
          <w:rFonts w:hint="eastAsia"/>
          <w:b/>
        </w:rPr>
        <w:t>3.1</w:t>
      </w:r>
      <w:r>
        <w:rPr>
          <w:b/>
        </w:rPr>
        <w:t xml:space="preserve"> </w:t>
      </w:r>
      <w:r>
        <w:rPr>
          <w:rFonts w:hint="eastAsia"/>
          <w:b/>
        </w:rPr>
        <w:t>专项资质要求</w:t>
      </w:r>
      <w:bookmarkEnd w:id="12"/>
      <w:bookmarkEnd w:id="13"/>
      <w:bookmarkEnd w:id="14"/>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注册资金在5</w:t>
      </w:r>
      <w:r>
        <w:rPr>
          <w:rFonts w:ascii="仿宋_GB2312" w:hAnsi="黑体" w:eastAsia="仿宋_GB2312"/>
          <w:sz w:val="32"/>
          <w:szCs w:val="34"/>
        </w:rPr>
        <w:t>00万以上</w:t>
      </w:r>
      <w:r>
        <w:rPr>
          <w:rFonts w:hint="eastAsia" w:ascii="仿宋_GB2312" w:hAnsi="黑体" w:eastAsia="仿宋_GB2312"/>
          <w:sz w:val="32"/>
          <w:szCs w:val="34"/>
        </w:rPr>
        <w:t>（提倡保温砌块类生产企业注册资金在</w:t>
      </w:r>
      <w:r>
        <w:rPr>
          <w:rFonts w:ascii="仿宋_GB2312" w:hAnsi="黑体" w:eastAsia="仿宋_GB2312"/>
          <w:sz w:val="32"/>
          <w:szCs w:val="34"/>
        </w:rPr>
        <w:t>1000万以上</w:t>
      </w:r>
      <w:r>
        <w:rPr>
          <w:rFonts w:hint="eastAsia" w:ascii="仿宋_GB2312" w:hAnsi="黑体" w:eastAsia="仿宋_GB2312"/>
          <w:sz w:val="32"/>
          <w:szCs w:val="34"/>
        </w:rPr>
        <w:t>）。</w:t>
      </w:r>
    </w:p>
    <w:p>
      <w:pPr>
        <w:pStyle w:val="47"/>
        <w:jc w:val="left"/>
        <w:rPr>
          <w:b/>
        </w:rPr>
      </w:pPr>
      <w:bookmarkStart w:id="15" w:name="_Toc45113683"/>
      <w:bookmarkStart w:id="16" w:name="_Toc40187011"/>
      <w:r>
        <w:rPr>
          <w:rFonts w:hint="eastAsia"/>
          <w:b/>
        </w:rPr>
        <w:t>3.</w:t>
      </w:r>
      <w:r>
        <w:rPr>
          <w:b/>
        </w:rPr>
        <w:t xml:space="preserve">2 </w:t>
      </w:r>
      <w:r>
        <w:rPr>
          <w:rFonts w:hint="eastAsia"/>
          <w:b/>
        </w:rPr>
        <w:t>产能及规模要求</w:t>
      </w:r>
      <w:bookmarkEnd w:id="15"/>
      <w:bookmarkEnd w:id="16"/>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val="en-US" w:eastAsia="zh-CN"/>
        </w:rPr>
        <w:t>3.2.1</w:t>
      </w:r>
      <w:r>
        <w:rPr>
          <w:rFonts w:hint="eastAsia" w:ascii="仿宋_GB2312" w:hAnsi="黑体" w:eastAsia="仿宋_GB2312"/>
          <w:sz w:val="32"/>
          <w:szCs w:val="34"/>
        </w:rPr>
        <w:t>提倡优先选用年生产规模≥6000万块标砖的烧结砖类供应商，年生产规模≥20万m³的非烧结砖类供应商（出具产能规模声明）；</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val="en-US" w:eastAsia="zh-CN"/>
        </w:rPr>
        <w:t>3.2.2</w:t>
      </w:r>
      <w:r>
        <w:rPr>
          <w:rFonts w:hint="eastAsia" w:ascii="仿宋_GB2312" w:hAnsi="黑体" w:eastAsia="仿宋_GB2312"/>
          <w:sz w:val="32"/>
          <w:szCs w:val="34"/>
        </w:rPr>
        <w:t>生产企业承诺优先保障供应雄安新区的建设工程（出具承诺书）。</w:t>
      </w:r>
    </w:p>
    <w:p>
      <w:pPr>
        <w:pStyle w:val="47"/>
        <w:jc w:val="left"/>
        <w:rPr>
          <w:b/>
        </w:rPr>
      </w:pPr>
      <w:bookmarkStart w:id="17" w:name="_Toc39072552"/>
      <w:bookmarkStart w:id="18" w:name="_Toc45113684"/>
      <w:bookmarkStart w:id="19" w:name="_Toc40187013"/>
      <w:r>
        <w:rPr>
          <w:rFonts w:hint="eastAsia"/>
          <w:b/>
        </w:rPr>
        <w:t>3.3</w:t>
      </w:r>
      <w:r>
        <w:rPr>
          <w:b/>
        </w:rPr>
        <w:t xml:space="preserve"> </w:t>
      </w:r>
      <w:r>
        <w:rPr>
          <w:rFonts w:hint="eastAsia"/>
          <w:b/>
        </w:rPr>
        <w:t>质量及质量管理条件要求</w:t>
      </w:r>
      <w:bookmarkEnd w:id="17"/>
      <w:bookmarkEnd w:id="18"/>
      <w:bookmarkEnd w:id="19"/>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val="en-US" w:eastAsia="zh-CN"/>
        </w:rPr>
        <w:t>3.3.1</w:t>
      </w:r>
      <w:r>
        <w:rPr>
          <w:rFonts w:hint="eastAsia" w:ascii="仿宋_GB2312" w:hAnsi="黑体" w:eastAsia="仿宋_GB2312"/>
          <w:sz w:val="32"/>
          <w:szCs w:val="34"/>
        </w:rPr>
        <w:t>所供应产品种类能够满足上述所有指标要求并提供已入围雄安新区的第三方检测机构出具的产品检测报告；</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val="en-US" w:eastAsia="zh-CN"/>
        </w:rPr>
        <w:t>3.3.2</w:t>
      </w:r>
      <w:r>
        <w:rPr>
          <w:rFonts w:hint="eastAsia" w:ascii="仿宋_GB2312" w:hAnsi="黑体" w:eastAsia="仿宋_GB2312"/>
          <w:sz w:val="32"/>
          <w:szCs w:val="34"/>
        </w:rPr>
        <w:t>所申报砌体</w:t>
      </w:r>
      <w:r>
        <w:rPr>
          <w:rFonts w:ascii="仿宋_GB2312" w:hAnsi="黑体" w:eastAsia="仿宋_GB2312"/>
          <w:sz w:val="32"/>
          <w:szCs w:val="34"/>
        </w:rPr>
        <w:t>材料</w:t>
      </w:r>
      <w:r>
        <w:rPr>
          <w:rFonts w:hint="eastAsia" w:ascii="仿宋_GB2312" w:hAnsi="黑体" w:eastAsia="仿宋_GB2312"/>
          <w:sz w:val="32"/>
          <w:szCs w:val="34"/>
        </w:rPr>
        <w:t>近两年内未在国家市场监督管理总局及市级以上质量技术监督局不合格通报名单内。</w:t>
      </w:r>
    </w:p>
    <w:p>
      <w:pPr>
        <w:pStyle w:val="47"/>
        <w:jc w:val="left"/>
        <w:rPr>
          <w:b/>
        </w:rPr>
      </w:pPr>
      <w:bookmarkStart w:id="20" w:name="_Toc45113685"/>
      <w:r>
        <w:rPr>
          <w:rFonts w:hint="eastAsia"/>
          <w:b/>
        </w:rPr>
        <w:t>3.4</w:t>
      </w:r>
      <w:r>
        <w:rPr>
          <w:b/>
        </w:rPr>
        <w:t xml:space="preserve"> </w:t>
      </w:r>
      <w:r>
        <w:rPr>
          <w:rFonts w:hint="eastAsia"/>
          <w:b/>
        </w:rPr>
        <w:t>其他条件要求</w:t>
      </w:r>
      <w:bookmarkEnd w:id="20"/>
    </w:p>
    <w:p>
      <w:pPr>
        <w:spacing w:line="560" w:lineRule="exact"/>
        <w:ind w:firstLine="640" w:firstLineChars="200"/>
        <w:rPr>
          <w:rFonts w:ascii="仿宋_GB2312" w:hAnsi="黑体" w:eastAsia="仿宋_GB2312"/>
          <w:sz w:val="32"/>
          <w:szCs w:val="34"/>
        </w:rPr>
      </w:pPr>
      <w:bookmarkStart w:id="21" w:name="_Hlk41061167"/>
      <w:r>
        <w:rPr>
          <w:rFonts w:hint="eastAsia" w:ascii="仿宋_GB2312" w:hAnsi="黑体" w:eastAsia="仿宋_GB2312"/>
          <w:sz w:val="32"/>
          <w:szCs w:val="34"/>
          <w:lang w:val="en-US" w:eastAsia="zh-CN"/>
        </w:rPr>
        <w:t>3.4.1</w:t>
      </w:r>
      <w:r>
        <w:rPr>
          <w:rFonts w:hint="eastAsia" w:ascii="仿宋_GB2312" w:hAnsi="黑体" w:eastAsia="仿宋_GB2312"/>
          <w:sz w:val="32"/>
          <w:szCs w:val="34"/>
        </w:rPr>
        <w:t>应符合本指标体系“第一章：供应商入围基本要求”当中对应的要求；</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val="en-US" w:eastAsia="zh-CN"/>
        </w:rPr>
        <w:t>3.4.2</w:t>
      </w:r>
      <w:r>
        <w:rPr>
          <w:rFonts w:hint="eastAsia" w:ascii="仿宋_GB2312" w:hAnsi="黑体" w:eastAsia="仿宋_GB2312"/>
          <w:sz w:val="32"/>
          <w:szCs w:val="34"/>
        </w:rPr>
        <w:t>提倡优先选用持有</w:t>
      </w:r>
      <w:bookmarkEnd w:id="21"/>
      <w:r>
        <w:rPr>
          <w:rFonts w:hint="eastAsia" w:ascii="仿宋_GB2312" w:hAnsi="黑体" w:eastAsia="仿宋_GB2312"/>
          <w:sz w:val="32"/>
          <w:szCs w:val="34"/>
        </w:rPr>
        <w:t>砌体材料绿色建材评价/认证标识或新型墙体材料认定证书的供应商。</w:t>
      </w:r>
    </w:p>
    <w:sectPr>
      <w:footerReference r:id="rId4" w:type="default"/>
      <w:pgSz w:w="11906" w:h="16838"/>
      <w:pgMar w:top="2041" w:right="1531" w:bottom="2041" w:left="1531" w:header="397" w:footer="39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12146"/>
      <w:docPartObj>
        <w:docPartGallery w:val="autotext"/>
      </w:docPartObj>
    </w:sdtPr>
    <w:sdtContent>
      <w:p>
        <w:pPr>
          <w:pStyle w:val="11"/>
          <w:jc w:val="center"/>
        </w:pPr>
        <w:r>
          <w:fldChar w:fldCharType="begin"/>
        </w:r>
        <w:r>
          <w:instrText xml:space="preserve">PAGE   \* MERGEFORMAT</w:instrText>
        </w:r>
        <w:r>
          <w:fldChar w:fldCharType="separate"/>
        </w:r>
        <w:r>
          <w:rPr>
            <w:lang w:val="zh-CN"/>
          </w:rPr>
          <w:t>5</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82C55"/>
    <w:multiLevelType w:val="multilevel"/>
    <w:tmpl w:val="77582C55"/>
    <w:lvl w:ilvl="0" w:tentative="0">
      <w:start w:val="1"/>
      <w:numFmt w:val="decimal"/>
      <w:pStyle w:val="4"/>
      <w:lvlText w:val="%1."/>
      <w:lvlJc w:val="left"/>
      <w:pPr>
        <w:ind w:left="567" w:hanging="567"/>
      </w:pPr>
      <w:rPr>
        <w:rFonts w:hint="eastAsia"/>
      </w:rPr>
    </w:lvl>
    <w:lvl w:ilvl="1" w:tentative="0">
      <w:start w:val="1"/>
      <w:numFmt w:val="decimal"/>
      <w:isLgl/>
      <w:lvlText w:val="%1.%2"/>
      <w:lvlJc w:val="left"/>
      <w:pPr>
        <w:ind w:left="454" w:hanging="454"/>
      </w:pPr>
      <w:rPr>
        <w:rFonts w:hint="default"/>
      </w:rPr>
    </w:lvl>
    <w:lvl w:ilvl="2" w:tentative="0">
      <w:start w:val="1"/>
      <w:numFmt w:val="decimal"/>
      <w:isLgl/>
      <w:lvlText w:val="%1.%2.%3"/>
      <w:lvlJc w:val="left"/>
      <w:pPr>
        <w:ind w:left="567" w:hanging="567"/>
      </w:pPr>
      <w:rPr>
        <w:rFonts w:hint="default"/>
      </w:rPr>
    </w:lvl>
    <w:lvl w:ilvl="3" w:tentative="0">
      <w:start w:val="1"/>
      <w:numFmt w:val="decimal"/>
      <w:isLgl/>
      <w:lvlText w:val="%1.%2.%3.%4"/>
      <w:lvlJc w:val="left"/>
      <w:pPr>
        <w:ind w:left="567" w:hanging="567"/>
      </w:pPr>
      <w:rPr>
        <w:rFonts w:hint="default"/>
      </w:rPr>
    </w:lvl>
    <w:lvl w:ilvl="4" w:tentative="0">
      <w:start w:val="1"/>
      <w:numFmt w:val="decimal"/>
      <w:isLgl/>
      <w:lvlText w:val="%1.%2.%3.%4.%5"/>
      <w:lvlJc w:val="left"/>
      <w:pPr>
        <w:ind w:left="567" w:hanging="567"/>
      </w:pPr>
      <w:rPr>
        <w:rFonts w:hint="default"/>
      </w:rPr>
    </w:lvl>
    <w:lvl w:ilvl="5" w:tentative="0">
      <w:start w:val="1"/>
      <w:numFmt w:val="decimal"/>
      <w:isLgl/>
      <w:lvlText w:val="%1.%2.%3.%4.%5.%6"/>
      <w:lvlJc w:val="left"/>
      <w:pPr>
        <w:ind w:left="567" w:hanging="567"/>
      </w:pPr>
      <w:rPr>
        <w:rFonts w:hint="default"/>
      </w:rPr>
    </w:lvl>
    <w:lvl w:ilvl="6" w:tentative="0">
      <w:start w:val="1"/>
      <w:numFmt w:val="decimal"/>
      <w:isLgl/>
      <w:lvlText w:val="%1.%2.%3.%4.%5.%6.%7"/>
      <w:lvlJc w:val="left"/>
      <w:pPr>
        <w:ind w:left="567" w:hanging="567"/>
      </w:pPr>
      <w:rPr>
        <w:rFonts w:hint="default"/>
      </w:rPr>
    </w:lvl>
    <w:lvl w:ilvl="7" w:tentative="0">
      <w:start w:val="1"/>
      <w:numFmt w:val="decimal"/>
      <w:isLgl/>
      <w:lvlText w:val="%1.%2.%3.%4.%5.%6.%7.%8"/>
      <w:lvlJc w:val="left"/>
      <w:pPr>
        <w:ind w:left="567" w:hanging="567"/>
      </w:pPr>
      <w:rPr>
        <w:rFonts w:hint="default"/>
      </w:rPr>
    </w:lvl>
    <w:lvl w:ilvl="8" w:tentative="0">
      <w:start w:val="1"/>
      <w:numFmt w:val="decimal"/>
      <w:isLgl/>
      <w:lvlText w:val="%1.%2.%3.%4.%5.%6.%7.%8.%9"/>
      <w:lvlJc w:val="left"/>
      <w:pPr>
        <w:ind w:left="567" w:hanging="567"/>
      </w:pPr>
      <w:rPr>
        <w:rFonts w:hint="default"/>
      </w:rPr>
    </w:lvl>
  </w:abstractNum>
  <w:abstractNum w:abstractNumId="1">
    <w:nsid w:val="7FE82D87"/>
    <w:multiLevelType w:val="multilevel"/>
    <w:tmpl w:val="7FE82D87"/>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70"/>
    <w:rsid w:val="0000258A"/>
    <w:rsid w:val="00004562"/>
    <w:rsid w:val="00010402"/>
    <w:rsid w:val="00013A81"/>
    <w:rsid w:val="00014111"/>
    <w:rsid w:val="0002328D"/>
    <w:rsid w:val="000238E6"/>
    <w:rsid w:val="00027633"/>
    <w:rsid w:val="00032327"/>
    <w:rsid w:val="00044A9C"/>
    <w:rsid w:val="0005582A"/>
    <w:rsid w:val="00055B50"/>
    <w:rsid w:val="00056319"/>
    <w:rsid w:val="0006478E"/>
    <w:rsid w:val="00067A82"/>
    <w:rsid w:val="000763AC"/>
    <w:rsid w:val="00076ABD"/>
    <w:rsid w:val="00081DF9"/>
    <w:rsid w:val="0008416C"/>
    <w:rsid w:val="0008721A"/>
    <w:rsid w:val="0009164F"/>
    <w:rsid w:val="00094E2D"/>
    <w:rsid w:val="000A282C"/>
    <w:rsid w:val="000A792E"/>
    <w:rsid w:val="000B1122"/>
    <w:rsid w:val="000B73FF"/>
    <w:rsid w:val="000C5E73"/>
    <w:rsid w:val="000C6EFC"/>
    <w:rsid w:val="000C7881"/>
    <w:rsid w:val="000C7E61"/>
    <w:rsid w:val="000D0B23"/>
    <w:rsid w:val="000D1EFF"/>
    <w:rsid w:val="000D656A"/>
    <w:rsid w:val="000D6DF1"/>
    <w:rsid w:val="000E3A68"/>
    <w:rsid w:val="000E4803"/>
    <w:rsid w:val="000E4DE8"/>
    <w:rsid w:val="000F2906"/>
    <w:rsid w:val="00101E0D"/>
    <w:rsid w:val="0012006F"/>
    <w:rsid w:val="00123BCD"/>
    <w:rsid w:val="00125524"/>
    <w:rsid w:val="00126941"/>
    <w:rsid w:val="00130D14"/>
    <w:rsid w:val="00133C5C"/>
    <w:rsid w:val="00134B72"/>
    <w:rsid w:val="00145422"/>
    <w:rsid w:val="00155349"/>
    <w:rsid w:val="001640F1"/>
    <w:rsid w:val="00172B37"/>
    <w:rsid w:val="00175037"/>
    <w:rsid w:val="00175978"/>
    <w:rsid w:val="00183032"/>
    <w:rsid w:val="0018516B"/>
    <w:rsid w:val="001858E7"/>
    <w:rsid w:val="00187CA2"/>
    <w:rsid w:val="001921B0"/>
    <w:rsid w:val="00194C36"/>
    <w:rsid w:val="00195706"/>
    <w:rsid w:val="00196974"/>
    <w:rsid w:val="00196FE0"/>
    <w:rsid w:val="001A49FD"/>
    <w:rsid w:val="001A4E47"/>
    <w:rsid w:val="001A7350"/>
    <w:rsid w:val="001A7AE8"/>
    <w:rsid w:val="001B2D31"/>
    <w:rsid w:val="001B47CB"/>
    <w:rsid w:val="001B4ED2"/>
    <w:rsid w:val="001C4053"/>
    <w:rsid w:val="001D3911"/>
    <w:rsid w:val="001D4145"/>
    <w:rsid w:val="001D51AB"/>
    <w:rsid w:val="001E05C5"/>
    <w:rsid w:val="001E101A"/>
    <w:rsid w:val="001E5996"/>
    <w:rsid w:val="001E671B"/>
    <w:rsid w:val="001F3768"/>
    <w:rsid w:val="002023BD"/>
    <w:rsid w:val="00204D9D"/>
    <w:rsid w:val="00206CFB"/>
    <w:rsid w:val="00211E4C"/>
    <w:rsid w:val="00213727"/>
    <w:rsid w:val="00215DE3"/>
    <w:rsid w:val="00217643"/>
    <w:rsid w:val="002317DC"/>
    <w:rsid w:val="002322D3"/>
    <w:rsid w:val="00232CDD"/>
    <w:rsid w:val="0023660E"/>
    <w:rsid w:val="002411A0"/>
    <w:rsid w:val="00246825"/>
    <w:rsid w:val="00247C6A"/>
    <w:rsid w:val="00255BD4"/>
    <w:rsid w:val="00256AF0"/>
    <w:rsid w:val="00262AC1"/>
    <w:rsid w:val="00264D3E"/>
    <w:rsid w:val="00264EB9"/>
    <w:rsid w:val="00270850"/>
    <w:rsid w:val="00284D2C"/>
    <w:rsid w:val="00285CE1"/>
    <w:rsid w:val="002870AB"/>
    <w:rsid w:val="002873B9"/>
    <w:rsid w:val="002874A8"/>
    <w:rsid w:val="00290316"/>
    <w:rsid w:val="00290EF7"/>
    <w:rsid w:val="00293C54"/>
    <w:rsid w:val="00295705"/>
    <w:rsid w:val="00295996"/>
    <w:rsid w:val="002A0326"/>
    <w:rsid w:val="002A0FD8"/>
    <w:rsid w:val="002A30D2"/>
    <w:rsid w:val="002A747E"/>
    <w:rsid w:val="002B15FD"/>
    <w:rsid w:val="002B33D8"/>
    <w:rsid w:val="002C2BCB"/>
    <w:rsid w:val="002C3156"/>
    <w:rsid w:val="002C32CD"/>
    <w:rsid w:val="002D1B90"/>
    <w:rsid w:val="002D5BE5"/>
    <w:rsid w:val="002D6EF5"/>
    <w:rsid w:val="002F441A"/>
    <w:rsid w:val="002F5E94"/>
    <w:rsid w:val="003057B7"/>
    <w:rsid w:val="00310061"/>
    <w:rsid w:val="003101F8"/>
    <w:rsid w:val="00311276"/>
    <w:rsid w:val="00311A65"/>
    <w:rsid w:val="00313C44"/>
    <w:rsid w:val="0032442F"/>
    <w:rsid w:val="0033210B"/>
    <w:rsid w:val="00335608"/>
    <w:rsid w:val="00336FDF"/>
    <w:rsid w:val="003457FA"/>
    <w:rsid w:val="003502FE"/>
    <w:rsid w:val="00355F0D"/>
    <w:rsid w:val="00362BAA"/>
    <w:rsid w:val="00364576"/>
    <w:rsid w:val="00365DCA"/>
    <w:rsid w:val="0037352A"/>
    <w:rsid w:val="00374449"/>
    <w:rsid w:val="00374519"/>
    <w:rsid w:val="00382AEC"/>
    <w:rsid w:val="00384A50"/>
    <w:rsid w:val="003907B4"/>
    <w:rsid w:val="0039265A"/>
    <w:rsid w:val="00392AE3"/>
    <w:rsid w:val="0039521B"/>
    <w:rsid w:val="003B0AF4"/>
    <w:rsid w:val="003B4687"/>
    <w:rsid w:val="003C24C2"/>
    <w:rsid w:val="003D17D7"/>
    <w:rsid w:val="003D2F3F"/>
    <w:rsid w:val="003D44AF"/>
    <w:rsid w:val="003D46E8"/>
    <w:rsid w:val="003E58A9"/>
    <w:rsid w:val="003E6F2B"/>
    <w:rsid w:val="003F297D"/>
    <w:rsid w:val="003F6DF6"/>
    <w:rsid w:val="003F6FA7"/>
    <w:rsid w:val="004001CA"/>
    <w:rsid w:val="00401F6C"/>
    <w:rsid w:val="004034BD"/>
    <w:rsid w:val="004051C8"/>
    <w:rsid w:val="0041422B"/>
    <w:rsid w:val="0043131F"/>
    <w:rsid w:val="00435215"/>
    <w:rsid w:val="00435A4E"/>
    <w:rsid w:val="00437D6B"/>
    <w:rsid w:val="00446D72"/>
    <w:rsid w:val="00461B31"/>
    <w:rsid w:val="0046782A"/>
    <w:rsid w:val="00471281"/>
    <w:rsid w:val="00471979"/>
    <w:rsid w:val="004750B3"/>
    <w:rsid w:val="00476B5A"/>
    <w:rsid w:val="00477377"/>
    <w:rsid w:val="0048065F"/>
    <w:rsid w:val="00481A4C"/>
    <w:rsid w:val="0048264B"/>
    <w:rsid w:val="004919E6"/>
    <w:rsid w:val="00495281"/>
    <w:rsid w:val="004A7A21"/>
    <w:rsid w:val="004B101F"/>
    <w:rsid w:val="004B3F8D"/>
    <w:rsid w:val="004C0949"/>
    <w:rsid w:val="004C1961"/>
    <w:rsid w:val="004E1CA2"/>
    <w:rsid w:val="004E3109"/>
    <w:rsid w:val="004E3298"/>
    <w:rsid w:val="004E5CCB"/>
    <w:rsid w:val="004E6F7C"/>
    <w:rsid w:val="004F1450"/>
    <w:rsid w:val="004F23E3"/>
    <w:rsid w:val="004F6E53"/>
    <w:rsid w:val="004F7512"/>
    <w:rsid w:val="00500264"/>
    <w:rsid w:val="00506EC3"/>
    <w:rsid w:val="00506FC0"/>
    <w:rsid w:val="00513EBB"/>
    <w:rsid w:val="00515935"/>
    <w:rsid w:val="005200CD"/>
    <w:rsid w:val="00520D6D"/>
    <w:rsid w:val="00524538"/>
    <w:rsid w:val="005314CC"/>
    <w:rsid w:val="00536113"/>
    <w:rsid w:val="005418B4"/>
    <w:rsid w:val="005421AB"/>
    <w:rsid w:val="00555948"/>
    <w:rsid w:val="00556013"/>
    <w:rsid w:val="00567FBA"/>
    <w:rsid w:val="00570906"/>
    <w:rsid w:val="00571F51"/>
    <w:rsid w:val="0057548E"/>
    <w:rsid w:val="00577DA4"/>
    <w:rsid w:val="0058124E"/>
    <w:rsid w:val="00584ADA"/>
    <w:rsid w:val="00591377"/>
    <w:rsid w:val="005929C4"/>
    <w:rsid w:val="005A10AD"/>
    <w:rsid w:val="005A1E80"/>
    <w:rsid w:val="005A3A6D"/>
    <w:rsid w:val="005B40E6"/>
    <w:rsid w:val="005C02EB"/>
    <w:rsid w:val="005C4514"/>
    <w:rsid w:val="005C6AE9"/>
    <w:rsid w:val="005D371A"/>
    <w:rsid w:val="005E4EE6"/>
    <w:rsid w:val="005F2AAA"/>
    <w:rsid w:val="005F5B10"/>
    <w:rsid w:val="00603208"/>
    <w:rsid w:val="00606B5E"/>
    <w:rsid w:val="00607B6C"/>
    <w:rsid w:val="006166EF"/>
    <w:rsid w:val="006210B7"/>
    <w:rsid w:val="00622740"/>
    <w:rsid w:val="006278A8"/>
    <w:rsid w:val="00630EBA"/>
    <w:rsid w:val="00632DBA"/>
    <w:rsid w:val="00641DAE"/>
    <w:rsid w:val="00642669"/>
    <w:rsid w:val="006455D1"/>
    <w:rsid w:val="00647A06"/>
    <w:rsid w:val="00656488"/>
    <w:rsid w:val="00660D17"/>
    <w:rsid w:val="00663867"/>
    <w:rsid w:val="00665C3E"/>
    <w:rsid w:val="0067101C"/>
    <w:rsid w:val="00671713"/>
    <w:rsid w:val="00673B8E"/>
    <w:rsid w:val="00675684"/>
    <w:rsid w:val="006770FB"/>
    <w:rsid w:val="00682DD3"/>
    <w:rsid w:val="006830B0"/>
    <w:rsid w:val="00687432"/>
    <w:rsid w:val="006877A7"/>
    <w:rsid w:val="006879CE"/>
    <w:rsid w:val="0069372A"/>
    <w:rsid w:val="006A1697"/>
    <w:rsid w:val="006A5B02"/>
    <w:rsid w:val="006A5F6C"/>
    <w:rsid w:val="006B2592"/>
    <w:rsid w:val="006B262D"/>
    <w:rsid w:val="006C6C81"/>
    <w:rsid w:val="006C7FF6"/>
    <w:rsid w:val="006D5477"/>
    <w:rsid w:val="006E0325"/>
    <w:rsid w:val="006E70DA"/>
    <w:rsid w:val="006F71C7"/>
    <w:rsid w:val="0071633B"/>
    <w:rsid w:val="007179C4"/>
    <w:rsid w:val="007207C5"/>
    <w:rsid w:val="00720F00"/>
    <w:rsid w:val="0073120F"/>
    <w:rsid w:val="007372D7"/>
    <w:rsid w:val="0073778E"/>
    <w:rsid w:val="0074519C"/>
    <w:rsid w:val="00746CCE"/>
    <w:rsid w:val="00751F83"/>
    <w:rsid w:val="00755B03"/>
    <w:rsid w:val="00756542"/>
    <w:rsid w:val="00771772"/>
    <w:rsid w:val="00776BF0"/>
    <w:rsid w:val="00780D1E"/>
    <w:rsid w:val="00783971"/>
    <w:rsid w:val="00787159"/>
    <w:rsid w:val="00792AD0"/>
    <w:rsid w:val="007A1C79"/>
    <w:rsid w:val="007A3D21"/>
    <w:rsid w:val="007A7C5C"/>
    <w:rsid w:val="007B04E0"/>
    <w:rsid w:val="007B3521"/>
    <w:rsid w:val="007B5C09"/>
    <w:rsid w:val="007C0621"/>
    <w:rsid w:val="007C131E"/>
    <w:rsid w:val="007C7CFB"/>
    <w:rsid w:val="007D234C"/>
    <w:rsid w:val="007D26DD"/>
    <w:rsid w:val="007E4795"/>
    <w:rsid w:val="007E51E9"/>
    <w:rsid w:val="007E5A6D"/>
    <w:rsid w:val="008212BB"/>
    <w:rsid w:val="0082588A"/>
    <w:rsid w:val="0085190E"/>
    <w:rsid w:val="00854D8C"/>
    <w:rsid w:val="00866556"/>
    <w:rsid w:val="00881A2E"/>
    <w:rsid w:val="00885CE6"/>
    <w:rsid w:val="0088673E"/>
    <w:rsid w:val="00887F1C"/>
    <w:rsid w:val="00891C7F"/>
    <w:rsid w:val="00894D37"/>
    <w:rsid w:val="008971A1"/>
    <w:rsid w:val="00897D38"/>
    <w:rsid w:val="008A5A7A"/>
    <w:rsid w:val="008B50E7"/>
    <w:rsid w:val="008C039C"/>
    <w:rsid w:val="008C106C"/>
    <w:rsid w:val="008C1D09"/>
    <w:rsid w:val="008C4265"/>
    <w:rsid w:val="008C4BBE"/>
    <w:rsid w:val="008D1539"/>
    <w:rsid w:val="008D1F8B"/>
    <w:rsid w:val="008D2CAF"/>
    <w:rsid w:val="008D48FE"/>
    <w:rsid w:val="008E0058"/>
    <w:rsid w:val="008E3A0A"/>
    <w:rsid w:val="008E46CE"/>
    <w:rsid w:val="008F02BC"/>
    <w:rsid w:val="00905AEC"/>
    <w:rsid w:val="00907D53"/>
    <w:rsid w:val="00914ED2"/>
    <w:rsid w:val="00917F27"/>
    <w:rsid w:val="009223C3"/>
    <w:rsid w:val="00924A2D"/>
    <w:rsid w:val="00925825"/>
    <w:rsid w:val="0094043D"/>
    <w:rsid w:val="00941896"/>
    <w:rsid w:val="00957E17"/>
    <w:rsid w:val="009665F3"/>
    <w:rsid w:val="00973388"/>
    <w:rsid w:val="00973DF2"/>
    <w:rsid w:val="0097542C"/>
    <w:rsid w:val="00976E3C"/>
    <w:rsid w:val="00981897"/>
    <w:rsid w:val="009822B4"/>
    <w:rsid w:val="009836FF"/>
    <w:rsid w:val="00991C3A"/>
    <w:rsid w:val="00993699"/>
    <w:rsid w:val="00994942"/>
    <w:rsid w:val="00995BB2"/>
    <w:rsid w:val="009A17C2"/>
    <w:rsid w:val="009A3D39"/>
    <w:rsid w:val="009B1ED5"/>
    <w:rsid w:val="009B36DB"/>
    <w:rsid w:val="009B593A"/>
    <w:rsid w:val="009B5E48"/>
    <w:rsid w:val="009C0091"/>
    <w:rsid w:val="009C0D01"/>
    <w:rsid w:val="009C5082"/>
    <w:rsid w:val="009D5B84"/>
    <w:rsid w:val="009E4622"/>
    <w:rsid w:val="009F1A2B"/>
    <w:rsid w:val="00A05F21"/>
    <w:rsid w:val="00A0625F"/>
    <w:rsid w:val="00A07E6F"/>
    <w:rsid w:val="00A10783"/>
    <w:rsid w:val="00A119D4"/>
    <w:rsid w:val="00A233F5"/>
    <w:rsid w:val="00A30ADA"/>
    <w:rsid w:val="00A34511"/>
    <w:rsid w:val="00A41B1D"/>
    <w:rsid w:val="00A43167"/>
    <w:rsid w:val="00A4614F"/>
    <w:rsid w:val="00A47FA4"/>
    <w:rsid w:val="00A55B4C"/>
    <w:rsid w:val="00A572BE"/>
    <w:rsid w:val="00A60B63"/>
    <w:rsid w:val="00A7116D"/>
    <w:rsid w:val="00A77F47"/>
    <w:rsid w:val="00A8234B"/>
    <w:rsid w:val="00A92689"/>
    <w:rsid w:val="00AA15B4"/>
    <w:rsid w:val="00AA3418"/>
    <w:rsid w:val="00AA4B47"/>
    <w:rsid w:val="00AB0017"/>
    <w:rsid w:val="00AB163E"/>
    <w:rsid w:val="00AB4875"/>
    <w:rsid w:val="00AB58F1"/>
    <w:rsid w:val="00AB7F7B"/>
    <w:rsid w:val="00AC5B66"/>
    <w:rsid w:val="00AD1FAF"/>
    <w:rsid w:val="00AD312A"/>
    <w:rsid w:val="00AD748E"/>
    <w:rsid w:val="00AE0736"/>
    <w:rsid w:val="00AE2659"/>
    <w:rsid w:val="00AF39C0"/>
    <w:rsid w:val="00B051A8"/>
    <w:rsid w:val="00B1315A"/>
    <w:rsid w:val="00B13DA8"/>
    <w:rsid w:val="00B14ED5"/>
    <w:rsid w:val="00B20394"/>
    <w:rsid w:val="00B2246D"/>
    <w:rsid w:val="00B24C14"/>
    <w:rsid w:val="00B259BE"/>
    <w:rsid w:val="00B30462"/>
    <w:rsid w:val="00B31D3A"/>
    <w:rsid w:val="00B33E0E"/>
    <w:rsid w:val="00B347ED"/>
    <w:rsid w:val="00B518A9"/>
    <w:rsid w:val="00B56F60"/>
    <w:rsid w:val="00B61417"/>
    <w:rsid w:val="00B628F9"/>
    <w:rsid w:val="00B6585E"/>
    <w:rsid w:val="00B7633D"/>
    <w:rsid w:val="00B8035B"/>
    <w:rsid w:val="00B90F4A"/>
    <w:rsid w:val="00B917D8"/>
    <w:rsid w:val="00B91994"/>
    <w:rsid w:val="00B95779"/>
    <w:rsid w:val="00BA1106"/>
    <w:rsid w:val="00BB32C7"/>
    <w:rsid w:val="00BD015C"/>
    <w:rsid w:val="00BD593C"/>
    <w:rsid w:val="00BE2D0F"/>
    <w:rsid w:val="00BE7EC7"/>
    <w:rsid w:val="00BF04D5"/>
    <w:rsid w:val="00BF1AD1"/>
    <w:rsid w:val="00BF4E95"/>
    <w:rsid w:val="00C13BA4"/>
    <w:rsid w:val="00C1564D"/>
    <w:rsid w:val="00C16976"/>
    <w:rsid w:val="00C219DB"/>
    <w:rsid w:val="00C3796D"/>
    <w:rsid w:val="00C457AB"/>
    <w:rsid w:val="00C45D87"/>
    <w:rsid w:val="00C45E83"/>
    <w:rsid w:val="00C469B5"/>
    <w:rsid w:val="00C50066"/>
    <w:rsid w:val="00C54AD3"/>
    <w:rsid w:val="00C6748D"/>
    <w:rsid w:val="00C7167A"/>
    <w:rsid w:val="00C759F8"/>
    <w:rsid w:val="00C8066E"/>
    <w:rsid w:val="00C81990"/>
    <w:rsid w:val="00C90A68"/>
    <w:rsid w:val="00C97D75"/>
    <w:rsid w:val="00CA09D6"/>
    <w:rsid w:val="00CA607C"/>
    <w:rsid w:val="00CB5494"/>
    <w:rsid w:val="00CB7243"/>
    <w:rsid w:val="00CC3E38"/>
    <w:rsid w:val="00CC4138"/>
    <w:rsid w:val="00CD3772"/>
    <w:rsid w:val="00CD49E0"/>
    <w:rsid w:val="00CF4538"/>
    <w:rsid w:val="00CF5E3C"/>
    <w:rsid w:val="00CF673C"/>
    <w:rsid w:val="00D0161D"/>
    <w:rsid w:val="00D022BC"/>
    <w:rsid w:val="00D0624C"/>
    <w:rsid w:val="00D0654D"/>
    <w:rsid w:val="00D14967"/>
    <w:rsid w:val="00D16551"/>
    <w:rsid w:val="00D26010"/>
    <w:rsid w:val="00D34763"/>
    <w:rsid w:val="00D34FC9"/>
    <w:rsid w:val="00D362B1"/>
    <w:rsid w:val="00D37217"/>
    <w:rsid w:val="00D4373B"/>
    <w:rsid w:val="00D447A2"/>
    <w:rsid w:val="00D470AD"/>
    <w:rsid w:val="00D50655"/>
    <w:rsid w:val="00D50F98"/>
    <w:rsid w:val="00D51328"/>
    <w:rsid w:val="00D52891"/>
    <w:rsid w:val="00D62B29"/>
    <w:rsid w:val="00D7100C"/>
    <w:rsid w:val="00D761F3"/>
    <w:rsid w:val="00D7680C"/>
    <w:rsid w:val="00D77A62"/>
    <w:rsid w:val="00D80C4F"/>
    <w:rsid w:val="00D8765E"/>
    <w:rsid w:val="00DB0A35"/>
    <w:rsid w:val="00DB2BCB"/>
    <w:rsid w:val="00DB4EDF"/>
    <w:rsid w:val="00DB5A15"/>
    <w:rsid w:val="00DC33A2"/>
    <w:rsid w:val="00DC4027"/>
    <w:rsid w:val="00DC77EA"/>
    <w:rsid w:val="00DD399C"/>
    <w:rsid w:val="00DE1A5F"/>
    <w:rsid w:val="00DE436A"/>
    <w:rsid w:val="00DE58BD"/>
    <w:rsid w:val="00DE6B9E"/>
    <w:rsid w:val="00DE71ED"/>
    <w:rsid w:val="00DF3E07"/>
    <w:rsid w:val="00DF5829"/>
    <w:rsid w:val="00E00BEB"/>
    <w:rsid w:val="00E07855"/>
    <w:rsid w:val="00E10D14"/>
    <w:rsid w:val="00E1281D"/>
    <w:rsid w:val="00E15655"/>
    <w:rsid w:val="00E16C36"/>
    <w:rsid w:val="00E30613"/>
    <w:rsid w:val="00E33370"/>
    <w:rsid w:val="00E573F3"/>
    <w:rsid w:val="00E6290D"/>
    <w:rsid w:val="00E65068"/>
    <w:rsid w:val="00E65C92"/>
    <w:rsid w:val="00E672B3"/>
    <w:rsid w:val="00E76C94"/>
    <w:rsid w:val="00E82131"/>
    <w:rsid w:val="00E82825"/>
    <w:rsid w:val="00E94F97"/>
    <w:rsid w:val="00EA209B"/>
    <w:rsid w:val="00EA3D86"/>
    <w:rsid w:val="00EB3BD5"/>
    <w:rsid w:val="00EB61C8"/>
    <w:rsid w:val="00EC0EF0"/>
    <w:rsid w:val="00ED5C36"/>
    <w:rsid w:val="00ED5F64"/>
    <w:rsid w:val="00EF34F5"/>
    <w:rsid w:val="00EF5C96"/>
    <w:rsid w:val="00EF7321"/>
    <w:rsid w:val="00F010D6"/>
    <w:rsid w:val="00F01914"/>
    <w:rsid w:val="00F0388F"/>
    <w:rsid w:val="00F07E26"/>
    <w:rsid w:val="00F15B20"/>
    <w:rsid w:val="00F16B87"/>
    <w:rsid w:val="00F203CD"/>
    <w:rsid w:val="00F21144"/>
    <w:rsid w:val="00F25EFC"/>
    <w:rsid w:val="00F34FC5"/>
    <w:rsid w:val="00F37863"/>
    <w:rsid w:val="00F43727"/>
    <w:rsid w:val="00F46925"/>
    <w:rsid w:val="00F54463"/>
    <w:rsid w:val="00F55592"/>
    <w:rsid w:val="00F57870"/>
    <w:rsid w:val="00F668BD"/>
    <w:rsid w:val="00F75245"/>
    <w:rsid w:val="00F80FFF"/>
    <w:rsid w:val="00F82C2A"/>
    <w:rsid w:val="00F82DD6"/>
    <w:rsid w:val="00F85D25"/>
    <w:rsid w:val="00F87431"/>
    <w:rsid w:val="00F91436"/>
    <w:rsid w:val="00F92080"/>
    <w:rsid w:val="00F923DA"/>
    <w:rsid w:val="00F95233"/>
    <w:rsid w:val="00F9554E"/>
    <w:rsid w:val="00F973F0"/>
    <w:rsid w:val="00FA00DE"/>
    <w:rsid w:val="00FA3338"/>
    <w:rsid w:val="00FA5134"/>
    <w:rsid w:val="00FA53DB"/>
    <w:rsid w:val="00FB1AE1"/>
    <w:rsid w:val="00FB41BC"/>
    <w:rsid w:val="00FC0377"/>
    <w:rsid w:val="00FC4435"/>
    <w:rsid w:val="00FC518E"/>
    <w:rsid w:val="00FD04DA"/>
    <w:rsid w:val="00FD350E"/>
    <w:rsid w:val="00FD38A6"/>
    <w:rsid w:val="00FD4BAF"/>
    <w:rsid w:val="00FD69CD"/>
    <w:rsid w:val="00FF13B5"/>
    <w:rsid w:val="00FF454E"/>
    <w:rsid w:val="00FF6B43"/>
    <w:rsid w:val="022264B6"/>
    <w:rsid w:val="35095D9D"/>
    <w:rsid w:val="62D4799D"/>
    <w:rsid w:val="77E3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38"/>
    <w:qFormat/>
    <w:uiPriority w:val="0"/>
    <w:pPr>
      <w:keepNext/>
      <w:keepLines/>
      <w:numPr>
        <w:ilvl w:val="0"/>
        <w:numId w:val="1"/>
      </w:numPr>
      <w:spacing w:afterLines="50" w:line="720" w:lineRule="exact"/>
      <w:jc w:val="left"/>
    </w:pPr>
    <w:rPr>
      <w:rFonts w:ascii="Times New Roman" w:hAnsi="Times New Roman" w:eastAsia="黑体" w:cs="Times New Roman"/>
      <w:kern w:val="44"/>
      <w:sz w:val="28"/>
      <w:szCs w:val="44"/>
    </w:rPr>
  </w:style>
  <w:style w:type="paragraph" w:styleId="4">
    <w:name w:val="heading 2"/>
    <w:basedOn w:val="1"/>
    <w:next w:val="1"/>
    <w:link w:val="40"/>
    <w:unhideWhenUsed/>
    <w:qFormat/>
    <w:uiPriority w:val="9"/>
    <w:pPr>
      <w:keepNext/>
      <w:keepLines/>
      <w:numPr>
        <w:ilvl w:val="0"/>
        <w:numId w:val="2"/>
      </w:numPr>
      <w:spacing w:before="260" w:after="260" w:line="416" w:lineRule="auto"/>
      <w:outlineLvl w:val="1"/>
    </w:pPr>
    <w:rPr>
      <w:rFonts w:eastAsia="黑体" w:asciiTheme="majorHAnsi" w:hAnsiTheme="majorHAnsi" w:cstheme="majorBidi"/>
      <w:b/>
      <w:bCs/>
      <w:sz w:val="24"/>
      <w:szCs w:val="32"/>
    </w:rPr>
  </w:style>
  <w:style w:type="paragraph" w:styleId="5">
    <w:name w:val="heading 3"/>
    <w:basedOn w:val="1"/>
    <w:next w:val="1"/>
    <w:link w:val="41"/>
    <w:unhideWhenUsed/>
    <w:qFormat/>
    <w:uiPriority w:val="9"/>
    <w:pPr>
      <w:keepNext/>
      <w:keepLines/>
      <w:spacing w:before="260" w:after="260" w:line="416" w:lineRule="auto"/>
      <w:outlineLvl w:val="2"/>
    </w:pPr>
    <w:rPr>
      <w:rFonts w:eastAsia="华文仿宋"/>
      <w:bCs/>
      <w:sz w:val="24"/>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39"/>
    <w:qFormat/>
    <w:uiPriority w:val="10"/>
    <w:pPr>
      <w:spacing w:before="240" w:after="60"/>
      <w:jc w:val="center"/>
      <w:outlineLvl w:val="0"/>
    </w:pPr>
    <w:rPr>
      <w:rFonts w:asciiTheme="majorHAnsi" w:hAnsiTheme="majorHAnsi" w:eastAsiaTheme="majorEastAsia" w:cstheme="majorBidi"/>
      <w:b/>
      <w:bCs/>
      <w:sz w:val="32"/>
      <w:szCs w:val="32"/>
    </w:rPr>
  </w:style>
  <w:style w:type="paragraph" w:styleId="6">
    <w:name w:val="Document Map"/>
    <w:basedOn w:val="1"/>
    <w:link w:val="44"/>
    <w:semiHidden/>
    <w:unhideWhenUsed/>
    <w:uiPriority w:val="99"/>
    <w:rPr>
      <w:rFonts w:ascii="宋体" w:eastAsia="宋体"/>
      <w:sz w:val="24"/>
      <w:szCs w:val="24"/>
    </w:rPr>
  </w:style>
  <w:style w:type="paragraph" w:styleId="7">
    <w:name w:val="annotation text"/>
    <w:basedOn w:val="1"/>
    <w:link w:val="36"/>
    <w:semiHidden/>
    <w:unhideWhenUsed/>
    <w:qFormat/>
    <w:uiPriority w:val="99"/>
    <w:pPr>
      <w:jc w:val="left"/>
    </w:pPr>
  </w:style>
  <w:style w:type="paragraph" w:styleId="8">
    <w:name w:val="toc 3"/>
    <w:basedOn w:val="1"/>
    <w:next w:val="1"/>
    <w:unhideWhenUsed/>
    <w:uiPriority w:val="39"/>
    <w:pPr>
      <w:ind w:left="840" w:leftChars="400"/>
    </w:pPr>
  </w:style>
  <w:style w:type="paragraph" w:styleId="9">
    <w:name w:val="Date"/>
    <w:basedOn w:val="1"/>
    <w:next w:val="1"/>
    <w:link w:val="30"/>
    <w:semiHidden/>
    <w:unhideWhenUsed/>
    <w:qFormat/>
    <w:uiPriority w:val="99"/>
    <w:pPr>
      <w:ind w:left="100" w:leftChars="2500"/>
    </w:pPr>
  </w:style>
  <w:style w:type="paragraph" w:styleId="10">
    <w:name w:val="Balloon Text"/>
    <w:basedOn w:val="1"/>
    <w:link w:val="35"/>
    <w:semiHidden/>
    <w:unhideWhenUsed/>
    <w:qFormat/>
    <w:uiPriority w:val="99"/>
    <w:rPr>
      <w:sz w:val="18"/>
      <w:szCs w:val="18"/>
    </w:rPr>
  </w:style>
  <w:style w:type="paragraph" w:styleId="11">
    <w:name w:val="footer"/>
    <w:basedOn w:val="1"/>
    <w:link w:val="34"/>
    <w:unhideWhenUsed/>
    <w:qFormat/>
    <w:uiPriority w:val="99"/>
    <w:pPr>
      <w:tabs>
        <w:tab w:val="center" w:pos="4153"/>
        <w:tab w:val="right" w:pos="8306"/>
      </w:tabs>
      <w:snapToGrid w:val="0"/>
      <w:jc w:val="left"/>
    </w:pPr>
    <w:rPr>
      <w:sz w:val="18"/>
      <w:szCs w:val="18"/>
    </w:rPr>
  </w:style>
  <w:style w:type="paragraph" w:styleId="12">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789"/>
        <w:tab w:val="right" w:leader="dot" w:pos="8834"/>
      </w:tabs>
      <w:spacing w:line="560" w:lineRule="exact"/>
    </w:pPr>
    <w:rPr>
      <w:rFonts w:ascii="楷体_GB2312" w:eastAsia="楷体_GB2312"/>
      <w:b/>
      <w:bCs/>
      <w:sz w:val="32"/>
      <w:szCs w:val="32"/>
    </w:rPr>
  </w:style>
  <w:style w:type="paragraph" w:styleId="14">
    <w:name w:val="toc 2"/>
    <w:basedOn w:val="1"/>
    <w:next w:val="1"/>
    <w:unhideWhenUsed/>
    <w:uiPriority w:val="39"/>
    <w:pPr>
      <w:tabs>
        <w:tab w:val="left" w:pos="840"/>
        <w:tab w:val="right" w:leader="dot" w:pos="10456"/>
      </w:tabs>
      <w:spacing w:line="480" w:lineRule="auto"/>
      <w:ind w:left="420" w:leftChars="200"/>
    </w:pPr>
  </w:style>
  <w:style w:type="paragraph" w:styleId="15">
    <w:name w:val="Normal (Web)"/>
    <w:basedOn w:val="1"/>
    <w:semiHidden/>
    <w:unhideWhenUsed/>
    <w:qFormat/>
    <w:uiPriority w:val="99"/>
    <w:pPr>
      <w:widowControl/>
      <w:spacing w:before="100" w:beforeAutospacing="1" w:after="100" w:afterAutospacing="1" w:line="330" w:lineRule="atLeast"/>
      <w:jc w:val="left"/>
    </w:pPr>
    <w:rPr>
      <w:rFonts w:ascii="宋体" w:hAnsi="宋体" w:eastAsia="宋体" w:cs="宋体"/>
      <w:kern w:val="0"/>
      <w:sz w:val="22"/>
    </w:rPr>
  </w:style>
  <w:style w:type="paragraph" w:styleId="16">
    <w:name w:val="annotation subject"/>
    <w:basedOn w:val="7"/>
    <w:next w:val="7"/>
    <w:link w:val="43"/>
    <w:semiHidden/>
    <w:unhideWhenUsed/>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Emphasis"/>
    <w:basedOn w:val="19"/>
    <w:qFormat/>
    <w:uiPriority w:val="20"/>
    <w:rPr>
      <w:i/>
      <w:iCs/>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semiHidden/>
    <w:unhideWhenUsed/>
    <w:qFormat/>
    <w:uiPriority w:val="99"/>
    <w:rPr>
      <w:sz w:val="21"/>
      <w:szCs w:val="21"/>
    </w:rPr>
  </w:style>
  <w:style w:type="paragraph" w:styleId="24">
    <w:name w:val="List Paragraph"/>
    <w:basedOn w:val="1"/>
    <w:qFormat/>
    <w:uiPriority w:val="34"/>
    <w:pPr>
      <w:ind w:firstLine="420" w:firstLineChars="200"/>
    </w:pPr>
  </w:style>
  <w:style w:type="paragraph" w:customStyle="1" w:styleId="25">
    <w:name w:val="表格"/>
    <w:qFormat/>
    <w:uiPriority w:val="0"/>
    <w:pPr>
      <w:widowControl w:val="0"/>
      <w:autoSpaceDE w:val="0"/>
      <w:autoSpaceDN w:val="0"/>
      <w:adjustRightInd w:val="0"/>
      <w:jc w:val="center"/>
    </w:pPr>
    <w:rPr>
      <w:rFonts w:cs="宋体" w:asciiTheme="minorHAnsi" w:hAnsiTheme="minorHAnsi" w:eastAsiaTheme="minorEastAsia"/>
      <w:color w:val="000000"/>
      <w:kern w:val="0"/>
      <w:sz w:val="18"/>
      <w:szCs w:val="24"/>
      <w:lang w:val="en-US" w:eastAsia="zh-CN" w:bidi="ar-SA"/>
    </w:rPr>
  </w:style>
  <w:style w:type="table" w:customStyle="1" w:styleId="2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7">
    <w:name w:val="Table Paragraph"/>
    <w:basedOn w:val="1"/>
    <w:qFormat/>
    <w:uiPriority w:val="1"/>
    <w:pPr>
      <w:autoSpaceDE w:val="0"/>
      <w:autoSpaceDN w:val="0"/>
      <w:jc w:val="left"/>
    </w:pPr>
    <w:rPr>
      <w:rFonts w:ascii="宋体" w:hAnsi="宋体" w:eastAsia="宋体" w:cs="宋体"/>
      <w:kern w:val="0"/>
      <w:sz w:val="22"/>
      <w:lang w:eastAsia="en-US"/>
    </w:rPr>
  </w:style>
  <w:style w:type="paragraph" w:customStyle="1" w:styleId="28">
    <w:name w:val="usernam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passwor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日期 字符"/>
    <w:basedOn w:val="19"/>
    <w:link w:val="9"/>
    <w:semiHidden/>
    <w:qFormat/>
    <w:uiPriority w:val="99"/>
  </w:style>
  <w:style w:type="paragraph" w:styleId="31">
    <w:name w:val="No Spacing"/>
    <w:link w:val="32"/>
    <w:qFormat/>
    <w:uiPriority w:val="1"/>
    <w:rPr>
      <w:rFonts w:asciiTheme="minorHAnsi" w:hAnsiTheme="minorHAnsi" w:eastAsiaTheme="minorEastAsia" w:cstheme="minorBidi"/>
      <w:kern w:val="0"/>
      <w:sz w:val="22"/>
      <w:szCs w:val="22"/>
      <w:lang w:val="en-US" w:eastAsia="zh-CN" w:bidi="ar-SA"/>
    </w:rPr>
  </w:style>
  <w:style w:type="character" w:customStyle="1" w:styleId="32">
    <w:name w:val="无间隔 字符"/>
    <w:basedOn w:val="19"/>
    <w:link w:val="31"/>
    <w:qFormat/>
    <w:uiPriority w:val="1"/>
    <w:rPr>
      <w:kern w:val="0"/>
      <w:sz w:val="22"/>
    </w:rPr>
  </w:style>
  <w:style w:type="character" w:customStyle="1" w:styleId="33">
    <w:name w:val="页眉 字符"/>
    <w:basedOn w:val="19"/>
    <w:link w:val="12"/>
    <w:qFormat/>
    <w:uiPriority w:val="99"/>
    <w:rPr>
      <w:sz w:val="18"/>
      <w:szCs w:val="18"/>
    </w:rPr>
  </w:style>
  <w:style w:type="character" w:customStyle="1" w:styleId="34">
    <w:name w:val="页脚 字符"/>
    <w:basedOn w:val="19"/>
    <w:link w:val="11"/>
    <w:qFormat/>
    <w:uiPriority w:val="99"/>
    <w:rPr>
      <w:sz w:val="18"/>
      <w:szCs w:val="18"/>
    </w:rPr>
  </w:style>
  <w:style w:type="character" w:customStyle="1" w:styleId="35">
    <w:name w:val="批注框文本 字符"/>
    <w:basedOn w:val="19"/>
    <w:link w:val="10"/>
    <w:semiHidden/>
    <w:qFormat/>
    <w:uiPriority w:val="99"/>
    <w:rPr>
      <w:sz w:val="18"/>
      <w:szCs w:val="18"/>
    </w:rPr>
  </w:style>
  <w:style w:type="character" w:customStyle="1" w:styleId="36">
    <w:name w:val="批注文字 字符"/>
    <w:basedOn w:val="19"/>
    <w:link w:val="7"/>
    <w:semiHidden/>
    <w:qFormat/>
    <w:uiPriority w:val="99"/>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8">
    <w:name w:val="标题 1 字符"/>
    <w:basedOn w:val="19"/>
    <w:link w:val="2"/>
    <w:qFormat/>
    <w:uiPriority w:val="0"/>
    <w:rPr>
      <w:rFonts w:ascii="Times New Roman" w:hAnsi="Times New Roman" w:eastAsia="黑体" w:cs="Times New Roman"/>
      <w:b/>
      <w:bCs/>
      <w:kern w:val="44"/>
      <w:sz w:val="28"/>
      <w:szCs w:val="44"/>
    </w:rPr>
  </w:style>
  <w:style w:type="character" w:customStyle="1" w:styleId="39">
    <w:name w:val="标题 字符"/>
    <w:basedOn w:val="19"/>
    <w:link w:val="3"/>
    <w:uiPriority w:val="10"/>
    <w:rPr>
      <w:rFonts w:asciiTheme="majorHAnsi" w:hAnsiTheme="majorHAnsi" w:eastAsiaTheme="majorEastAsia" w:cstheme="majorBidi"/>
      <w:b/>
      <w:bCs/>
      <w:sz w:val="32"/>
      <w:szCs w:val="32"/>
    </w:rPr>
  </w:style>
  <w:style w:type="character" w:customStyle="1" w:styleId="40">
    <w:name w:val="标题 2 字符"/>
    <w:basedOn w:val="19"/>
    <w:link w:val="4"/>
    <w:qFormat/>
    <w:uiPriority w:val="9"/>
    <w:rPr>
      <w:rFonts w:eastAsia="黑体" w:asciiTheme="majorHAnsi" w:hAnsiTheme="majorHAnsi" w:cstheme="majorBidi"/>
      <w:b/>
      <w:bCs/>
      <w:sz w:val="24"/>
      <w:szCs w:val="32"/>
    </w:rPr>
  </w:style>
  <w:style w:type="character" w:customStyle="1" w:styleId="41">
    <w:name w:val="标题 3 字符"/>
    <w:basedOn w:val="19"/>
    <w:link w:val="5"/>
    <w:qFormat/>
    <w:uiPriority w:val="9"/>
    <w:rPr>
      <w:rFonts w:eastAsia="华文仿宋"/>
      <w:bCs/>
      <w:sz w:val="24"/>
      <w:szCs w:val="32"/>
    </w:rPr>
  </w:style>
  <w:style w:type="paragraph" w:customStyle="1" w:styleId="42">
    <w:name w:val="TOC Heading"/>
    <w:basedOn w:val="2"/>
    <w:next w:val="1"/>
    <w:unhideWhenUsed/>
    <w:qFormat/>
    <w:uiPriority w:val="39"/>
    <w:pPr>
      <w:widowControl/>
      <w:spacing w:afterLines="0" w:line="259" w:lineRule="auto"/>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43">
    <w:name w:val="批注主题 字符"/>
    <w:basedOn w:val="36"/>
    <w:link w:val="16"/>
    <w:semiHidden/>
    <w:qFormat/>
    <w:uiPriority w:val="99"/>
    <w:rPr>
      <w:b/>
      <w:bCs/>
    </w:rPr>
  </w:style>
  <w:style w:type="character" w:customStyle="1" w:styleId="44">
    <w:name w:val="文档结构图 字符"/>
    <w:basedOn w:val="19"/>
    <w:link w:val="6"/>
    <w:semiHidden/>
    <w:uiPriority w:val="99"/>
    <w:rPr>
      <w:rFonts w:ascii="宋体" w:eastAsia="宋体"/>
      <w:sz w:val="24"/>
      <w:szCs w:val="24"/>
    </w:rPr>
  </w:style>
  <w:style w:type="paragraph" w:customStyle="1" w:styleId="45">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46">
    <w:name w:val="标题1"/>
    <w:basedOn w:val="2"/>
    <w:next w:val="2"/>
    <w:qFormat/>
    <w:uiPriority w:val="0"/>
    <w:pPr>
      <w:numPr>
        <w:numId w:val="0"/>
      </w:numPr>
      <w:spacing w:before="0" w:afterLines="0" w:line="560" w:lineRule="exact"/>
      <w:jc w:val="center"/>
    </w:pPr>
    <w:rPr>
      <w:rFonts w:ascii="黑体" w:hAnsi="黑体"/>
      <w:b w:val="0"/>
      <w:sz w:val="36"/>
      <w:szCs w:val="36"/>
    </w:rPr>
  </w:style>
  <w:style w:type="paragraph" w:customStyle="1" w:styleId="47">
    <w:name w:val="标题2"/>
    <w:basedOn w:val="4"/>
    <w:qFormat/>
    <w:uiPriority w:val="0"/>
    <w:pPr>
      <w:numPr>
        <w:numId w:val="0"/>
      </w:numPr>
      <w:spacing w:before="0" w:after="0" w:line="600" w:lineRule="exact"/>
      <w:jc w:val="center"/>
    </w:pPr>
    <w:rPr>
      <w:rFonts w:ascii="楷体" w:hAnsi="楷体" w:eastAsia="楷体" w:cs="Times New Roman"/>
      <w:b w:val="0"/>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2020-04-22T00:00:00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81B0B-8CEC-4B0B-8D55-475BBA35A831}">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464</Words>
  <Characters>2650</Characters>
  <Lines>22</Lines>
  <Paragraphs>6</Paragraphs>
  <TotalTime>38</TotalTime>
  <ScaleCrop>false</ScaleCrop>
  <LinksUpToDate>false</LinksUpToDate>
  <CharactersWithSpaces>3108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2020-08-20T10:15:00Z</dcterms:created>
  <dc:creator>ZHIGUANG YANG</dc:creator>
  <cp:lastModifiedBy>TheKING</cp:lastModifiedBy>
  <dcterms:modified xsi:type="dcterms:W3CDTF">2020-10-02T01:28:18Z</dcterms:modified>
  <dc:subject>【建筑防水材料】</dc:subject>
  <dc:title>集采建材质量标准要求(试行)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