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v:textbox>
              </v: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3221619712"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157666406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rPr>
          <w:rFonts w:hint="eastAsia"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hint="eastAsia" w:ascii="黑体" w:hAnsi="Times New Roman" w:eastAsia="黑体" w:cs="Times New Roman"/>
          <w:sz w:val="48"/>
          <w:szCs w:val="48"/>
          <w:lang w:eastAsia="zh-CN"/>
        </w:rPr>
      </w:pPr>
      <w:r>
        <w:rPr>
          <w:rFonts w:hint="eastAsia" w:eastAsia="方正小标宋_GBK"/>
          <w:sz w:val="44"/>
          <w:szCs w:val="44"/>
        </w:rPr>
        <w:drawing>
          <wp:anchor distT="0" distB="0" distL="114300" distR="114300" simplePos="0" relativeHeight="994145280" behindDoc="0" locked="0" layoutInCell="1" allowOverlap="1">
            <wp:simplePos x="0" y="0"/>
            <wp:positionH relativeFrom="column">
              <wp:posOffset>-362585</wp:posOffset>
            </wp:positionH>
            <wp:positionV relativeFrom="paragraph">
              <wp:posOffset>-362585</wp:posOffset>
            </wp:positionV>
            <wp:extent cx="6290945" cy="8804910"/>
            <wp:effectExtent l="0" t="0" r="14605" b="15240"/>
            <wp:wrapSquare wrapText="bothSides"/>
            <wp:docPr id="23" name="图片 23" descr="捕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捕获2"/>
                    <pic:cNvPicPr>
                      <a:picLocks noChangeAspect="1"/>
                    </pic:cNvPicPr>
                  </pic:nvPicPr>
                  <pic:blipFill>
                    <a:blip r:embed="rId21"/>
                    <a:stretch>
                      <a:fillRect/>
                    </a:stretch>
                  </pic:blipFill>
                  <pic:spPr>
                    <a:xfrm>
                      <a:off x="0" y="0"/>
                      <a:ext cx="6290945" cy="8804910"/>
                    </a:xfrm>
                    <a:prstGeom prst="rect">
                      <a:avLst/>
                    </a:prstGeom>
                  </pic:spPr>
                </pic:pic>
              </a:graphicData>
            </a:graphic>
          </wp:anchor>
        </w:drawing>
      </w:r>
      <w:r>
        <w:rPr>
          <w:rFonts w:hint="eastAsia" w:ascii="黑体" w:hAnsi="Times New Roman" w:eastAsia="黑体" w:cs="Times New Roman"/>
          <w:sz w:val="48"/>
          <w:szCs w:val="48"/>
          <w:lang w:eastAsia="zh-CN"/>
        </w:rPr>
        <w:tab/>
      </w:r>
    </w:p>
    <w:p>
      <w:pPr>
        <w:jc w:val="both"/>
        <w:rPr>
          <w:rFonts w:hint="eastAsia" w:ascii="黑体" w:hAnsi="黑体" w:eastAsia="黑体" w:cs="黑体"/>
          <w:sz w:val="56"/>
          <w:szCs w:val="72"/>
          <w:lang w:val="en-US" w:eastAsia="zh-CN"/>
        </w:rPr>
      </w:pP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w:t>
      </w: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五、一般公共预算</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三公</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5" w:type="first"/>
          <w:footerReference r:id="rId7" w:type="first"/>
          <w:headerReference r:id="rId4" w:type="default"/>
          <w:footerReference r:id="rId6" w:type="default"/>
          <w:type w:val="continuous"/>
          <w:pgSz w:w="11906" w:h="16838"/>
          <w:pgMar w:top="2041" w:right="1531" w:bottom="2041" w:left="1531" w:header="851" w:footer="992" w:gutter="0"/>
          <w:cols w:space="0" w:num="1"/>
          <w:titlePg/>
          <w:rtlGutter w:val="0"/>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align>center</wp:align>
                </wp:positionH>
                <wp:positionV relativeFrom="page">
                  <wp:align>center</wp:align>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height:263.1pt;width:613.65pt;mso-position-horizontal:center;mso-position-vertical:center;mso-position-vertical-relative:page;z-index:251754496;v-text-anchor:middle;mso-width-relative:page;mso-height-relative:page;" fillcolor="#FFD966" filled="t" stroked="t" coordsize="21600,21600" o:gfxdata="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N+mzA1wAAAAYBAAAPAAAAAAAAAAEAIAAAACIAAABkcnMvZG93bnJldi54&#10;bWxQSwECFAAUAAAACACHTuJAbIoM920CAADfBAAADgAAAAAAAAABACAAAAAmAQAAZHJzL2Uyb0Rv&#10;Yy54bWxQSwUGAAAAAAYABgBZAQAABQYAAAAA&#10;">
                <v:fill type="pattern" on="t" color2="#FFFFFF [3212]" focussize="0,0" r:id="rId22"/>
                <v:stroke weight="1pt" color="#FFD966 [3204]" joinstyle="round"/>
                <v:imagedata o:title=""/>
                <o:lock v:ext="edit" aspectratio="f"/>
                <v:textbo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根据《河北雄安新区中级人民法院职能配置、内设机构和人员编制规定》，河北雄安新区中级人民法院的主要职责是：</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（一）依法审判法律规定的由新区中级人民法院管辖的和其认为应当由自己审判的刑事、民事、行政的第一审案件。</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（二）依法审判法律规定由新区中级人民法院管辖的和其认为应当由自己审判的刑事、民事、行政等第二审案件。</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（三）受理不服基层人民法院生效裁判的各类申诉和再审申请，对其中确有错误的，依法审判或指令下级人民法院再审；办理减刑、假释案件。</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（四）依法审判河北省人民检察院雄安新区分院按照审判监督程序提出的抗诉案件。</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（五）依法对基层人民法院行使指定管辖权。</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（六）监督、指导下级人民法院的审判工作。</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（七）依法办理发生法律效力的民事、行政案件判决和裁定的执行及刑事案件判决和裁定中有关财产部分的执行事项；办理法律规定由法院执行的其他法律文书的执行事项。</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（八）依法行使司法决定权。</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（九）依法决定国家赔偿。</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（十）组织、指导基层人民法院办理司法协助事项。</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（十一）对规章等草案提出意见；针对案件审理中发现的问题提出司法建议；负责适用法律政策问题的请示、答复。</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（十二）对新区中级人民法院的法官和其他工作人员进行思想政治教育、组织培训；指导基层人民法院的思想政治工作和教育培训工作；按照权限管理法官和其他工作人员。</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（十三）管理人民法院的有关经费和物资装备。</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（十四）负责人民法院的司法技术鉴定、通讯、计算机等技术管理工作。</w:t>
      </w:r>
    </w:p>
    <w:p>
      <w:pPr>
        <w:spacing w:line="600" w:lineRule="exact"/>
        <w:jc w:val="left"/>
        <w:rPr>
          <w:rFonts w:ascii="仿宋_GB2312" w:hAnsi="宋体" w:eastAsia="仿宋_GB2312"/>
          <w:sz w:val="32"/>
          <w:szCs w:val="32"/>
        </w:rPr>
      </w:pPr>
      <w:r>
        <w:rPr>
          <w:rFonts w:hint="eastAsia" w:ascii="仿宋_GB2312" w:hAnsi="宋体" w:eastAsia="仿宋_GB2312"/>
          <w:sz w:val="32"/>
          <w:szCs w:val="32"/>
        </w:rPr>
        <w:t xml:space="preserve">    （十五）在审判工作中宣传法制，教育公民忠于社会主义祖国，自觉遵守宪法、法律和社会公德。</w:t>
      </w:r>
    </w:p>
    <w:p>
      <w:pPr>
        <w:spacing w:line="600" w:lineRule="exact"/>
        <w:jc w:val="left"/>
        <w:rPr>
          <w:rFonts w:ascii="仿宋_GB2312" w:hAnsi="宋体" w:eastAsia="仿宋_GB2312"/>
          <w:sz w:val="32"/>
          <w:szCs w:val="32"/>
        </w:rPr>
      </w:pPr>
      <w:r>
        <w:rPr>
          <w:rFonts w:hint="eastAsia" w:ascii="仿宋_GB2312" w:hAnsi="宋体" w:eastAsia="仿宋_GB2312"/>
          <w:sz w:val="32"/>
          <w:szCs w:val="32"/>
        </w:rPr>
        <w:t xml:space="preserve">    （十六）承办其他应由新区中级人民法院负责的工作。</w:t>
      </w:r>
    </w:p>
    <w:p>
      <w:pPr>
        <w:spacing w:line="600" w:lineRule="exact"/>
        <w:ind w:firstLine="643" w:firstLineChars="200"/>
        <w:rPr>
          <w:rFonts w:ascii="仿宋_GB2312" w:eastAsia="仿宋_GB2312"/>
          <w:b/>
          <w:sz w:val="32"/>
          <w:szCs w:val="32"/>
        </w:rPr>
      </w:pPr>
      <w:r>
        <w:rPr>
          <w:rFonts w:eastAsia="仿宋_GB2312"/>
          <w:b/>
          <w:sz w:val="32"/>
          <w:szCs w:val="32"/>
        </w:rPr>
        <w:t>二、</w:t>
      </w:r>
      <w:r>
        <w:rPr>
          <w:rFonts w:hint="eastAsia" w:eastAsia="仿宋_GB2312"/>
          <w:b/>
          <w:sz w:val="32"/>
          <w:szCs w:val="32"/>
        </w:rPr>
        <w:t>机构设置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从决算编报单位构成看，纳入2019年度本部门决算汇编范围的独立核算单位共1个，具体情况如下：</w:t>
      </w:r>
    </w:p>
    <w:p>
      <w:pPr>
        <w:spacing w:line="600" w:lineRule="exact"/>
        <w:ind w:firstLine="640" w:firstLineChars="200"/>
        <w:rPr>
          <w:rFonts w:ascii="仿宋_GB2312" w:eastAsia="仿宋_GB2312"/>
          <w:sz w:val="32"/>
          <w:szCs w:val="32"/>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59"/>
        <w:gridCol w:w="222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after="0" w:line="600" w:lineRule="exact"/>
              <w:jc w:val="center"/>
              <w:rPr>
                <w:rFonts w:ascii="仿宋_GB2312" w:eastAsia="仿宋_GB2312"/>
                <w:sz w:val="32"/>
                <w:szCs w:val="32"/>
              </w:rPr>
            </w:pPr>
            <w:r>
              <w:rPr>
                <w:rFonts w:hint="eastAsia" w:ascii="仿宋_GB2312" w:eastAsia="仿宋_GB2312"/>
                <w:sz w:val="32"/>
                <w:szCs w:val="32"/>
              </w:rPr>
              <w:t>序号</w:t>
            </w:r>
          </w:p>
        </w:tc>
        <w:tc>
          <w:tcPr>
            <w:tcW w:w="3159" w:type="dxa"/>
          </w:tcPr>
          <w:p>
            <w:pPr>
              <w:spacing w:after="0" w:line="600" w:lineRule="exact"/>
              <w:jc w:val="center"/>
              <w:rPr>
                <w:rFonts w:ascii="仿宋_GB2312" w:eastAsia="仿宋_GB2312"/>
                <w:sz w:val="32"/>
                <w:szCs w:val="32"/>
              </w:rPr>
            </w:pPr>
            <w:r>
              <w:rPr>
                <w:rFonts w:hint="eastAsia" w:ascii="仿宋_GB2312" w:eastAsia="仿宋_GB2312"/>
                <w:sz w:val="32"/>
                <w:szCs w:val="32"/>
              </w:rPr>
              <w:t>单位名称</w:t>
            </w:r>
          </w:p>
        </w:tc>
        <w:tc>
          <w:tcPr>
            <w:tcW w:w="2227" w:type="dxa"/>
          </w:tcPr>
          <w:p>
            <w:pPr>
              <w:spacing w:after="0" w:line="600" w:lineRule="exact"/>
              <w:jc w:val="center"/>
              <w:rPr>
                <w:rFonts w:ascii="仿宋_GB2312" w:eastAsia="仿宋_GB2312"/>
                <w:sz w:val="32"/>
                <w:szCs w:val="32"/>
              </w:rPr>
            </w:pPr>
            <w:r>
              <w:rPr>
                <w:rFonts w:hint="eastAsia" w:ascii="仿宋_GB2312" w:eastAsia="仿宋_GB2312"/>
                <w:sz w:val="32"/>
                <w:szCs w:val="32"/>
              </w:rPr>
              <w:t>单位基本性质</w:t>
            </w:r>
          </w:p>
        </w:tc>
        <w:tc>
          <w:tcPr>
            <w:tcW w:w="2035" w:type="dxa"/>
          </w:tcPr>
          <w:p>
            <w:pPr>
              <w:spacing w:after="0" w:line="600" w:lineRule="exact"/>
              <w:jc w:val="center"/>
              <w:rPr>
                <w:rFonts w:ascii="仿宋_GB2312" w:eastAsia="仿宋_GB2312"/>
                <w:sz w:val="32"/>
                <w:szCs w:val="32"/>
              </w:rPr>
            </w:pPr>
            <w:r>
              <w:rPr>
                <w:rFonts w:hint="eastAsia" w:ascii="仿宋_GB2312" w:eastAsia="仿宋_GB2312"/>
                <w:sz w:val="32"/>
                <w:szCs w:val="32"/>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after="0" w:line="600" w:lineRule="exact"/>
              <w:jc w:val="center"/>
              <w:rPr>
                <w:rFonts w:ascii="仿宋_GB2312" w:eastAsia="仿宋_GB2312"/>
                <w:sz w:val="32"/>
                <w:szCs w:val="32"/>
              </w:rPr>
            </w:pPr>
            <w:r>
              <w:rPr>
                <w:rFonts w:hint="eastAsia" w:ascii="仿宋_GB2312" w:eastAsia="仿宋_GB2312"/>
                <w:sz w:val="32"/>
                <w:szCs w:val="32"/>
              </w:rPr>
              <w:t>1</w:t>
            </w:r>
          </w:p>
        </w:tc>
        <w:tc>
          <w:tcPr>
            <w:tcW w:w="3159" w:type="dxa"/>
            <w:vAlign w:val="center"/>
          </w:tcPr>
          <w:p>
            <w:pPr>
              <w:spacing w:after="0" w:line="600" w:lineRule="exact"/>
              <w:jc w:val="center"/>
              <w:rPr>
                <w:rFonts w:ascii="仿宋_GB2312" w:eastAsia="仿宋_GB2312"/>
                <w:sz w:val="32"/>
                <w:szCs w:val="32"/>
              </w:rPr>
            </w:pPr>
            <w:r>
              <w:rPr>
                <w:rFonts w:hint="eastAsia" w:ascii="仿宋_GB2312" w:eastAsia="仿宋_GB2312"/>
                <w:sz w:val="32"/>
                <w:szCs w:val="32"/>
              </w:rPr>
              <w:t>河北雄安新区中级人民法院（机关）</w:t>
            </w:r>
          </w:p>
        </w:tc>
        <w:tc>
          <w:tcPr>
            <w:tcW w:w="2227" w:type="dxa"/>
            <w:vAlign w:val="center"/>
          </w:tcPr>
          <w:p>
            <w:pPr>
              <w:spacing w:after="0" w:line="600" w:lineRule="exact"/>
              <w:jc w:val="center"/>
              <w:rPr>
                <w:rFonts w:ascii="仿宋_GB2312" w:eastAsia="仿宋_GB2312"/>
                <w:sz w:val="32"/>
                <w:szCs w:val="32"/>
              </w:rPr>
            </w:pPr>
            <w:r>
              <w:rPr>
                <w:rFonts w:hint="eastAsia" w:ascii="仿宋_GB2312" w:eastAsia="仿宋_GB2312"/>
                <w:sz w:val="32"/>
                <w:szCs w:val="32"/>
              </w:rPr>
              <w:t>行政单位</w:t>
            </w:r>
          </w:p>
        </w:tc>
        <w:tc>
          <w:tcPr>
            <w:tcW w:w="2035" w:type="dxa"/>
            <w:vAlign w:val="center"/>
          </w:tcPr>
          <w:p>
            <w:pPr>
              <w:spacing w:after="0" w:line="600" w:lineRule="exact"/>
              <w:jc w:val="center"/>
              <w:rPr>
                <w:rFonts w:ascii="仿宋_GB2312" w:eastAsia="仿宋_GB2312"/>
                <w:sz w:val="32"/>
                <w:szCs w:val="32"/>
              </w:rPr>
            </w:pPr>
            <w:r>
              <w:rPr>
                <w:rFonts w:hint="eastAsia" w:ascii="仿宋_GB2312" w:eastAsia="仿宋_GB2312"/>
                <w:sz w:val="32"/>
                <w:szCs w:val="32"/>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0" w:type="first"/>
          <w:headerReference r:id="rId8" w:type="default"/>
          <w:footerReference r:id="rId9" w:type="default"/>
          <w:pgSz w:w="11906" w:h="16838"/>
          <w:pgMar w:top="2041" w:right="1531" w:bottom="2041" w:left="1531" w:header="851" w:footer="992" w:gutter="0"/>
          <w:pgNumType w:fmt="numberInDash" w:start="1"/>
          <w:cols w:space="0" w:num="1"/>
          <w:titlePg/>
          <w:rtlGutter w:val="0"/>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1" w:type="default"/>
          <w:type w:val="continuous"/>
          <w:pgSz w:w="11906" w:h="16838"/>
          <w:pgMar w:top="2041" w:right="1531" w:bottom="2041" w:left="1531" w:header="851" w:footer="992" w:gutter="0"/>
          <w:pgNumType w:fmt="numberInDash"/>
          <w:cols w:space="0" w:num="1"/>
          <w:titlePg/>
          <w:rtlGutter w:val="0"/>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rtlGutter w:val="0"/>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r>
        <w:rPr>
          <w:sz w:val="72"/>
        </w:rPr>
        <mc:AlternateContent>
          <mc:Choice Requires="wps">
            <w:drawing>
              <wp:anchor distT="0" distB="0" distL="114300" distR="114300" simplePos="0" relativeHeight="437279744" behindDoc="0" locked="0" layoutInCell="1" allowOverlap="1">
                <wp:simplePos x="0" y="0"/>
                <wp:positionH relativeFrom="column">
                  <wp:align>center</wp:align>
                </wp:positionH>
                <wp:positionV relativeFrom="page">
                  <wp:align>center</wp:align>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height:263.1pt;width:613.65pt;mso-position-horizontal:center;mso-position-vertical:center;mso-position-vertical-relative:page;z-index:437279744;v-text-anchor:middle;mso-width-relative:page;mso-height-relative:page;" fillcolor="#FFD966" filled="t" stroked="t" coordsize="21600,21600" o:gfxdata="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c82&#10;ftcAAAAGAQAADwAAAAAAAAABACAAAAAiAAAAZHJzL2Rvd25yZXYueG1sUEsBAhQAFAAAAAgAh07i&#10;QK8VPJBcAgAAugQAAA4AAAAAAAAAAQAgAAAAJgEAAGRycy9lMm9Eb2MueG1sUEsFBgAAAAAGAAYA&#10;WQEAAPQFAAAAAA==&#10;">
                <v:fill type="pattern" on="t" color2="#FFFFFF [3212]" focussize="0,0" r:id="rId22"/>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v:textbox>
              </v:shape>
            </w:pict>
          </mc:Fallback>
        </mc:AlternateContent>
      </w: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widowControl/>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一、收入支出决算总体情况说明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本部门2019年度收支总计</w:t>
      </w:r>
      <w:r>
        <w:rPr>
          <w:rFonts w:hint="eastAsia" w:ascii="仿宋_GB2312" w:eastAsia="仿宋_GB2312"/>
          <w:sz w:val="32"/>
          <w:szCs w:val="32"/>
          <w:lang w:val="en-US" w:eastAsia="zh-CN"/>
        </w:rPr>
        <w:t>149.92</w:t>
      </w:r>
      <w:r>
        <w:rPr>
          <w:rFonts w:hint="eastAsia" w:ascii="仿宋_GB2312" w:eastAsia="仿宋_GB2312"/>
          <w:sz w:val="32"/>
          <w:szCs w:val="32"/>
        </w:rPr>
        <w:t>万元。</w:t>
      </w:r>
    </w:p>
    <w:p>
      <w:pPr>
        <w:widowControl/>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二、收入决算情况说明</w:t>
      </w:r>
    </w:p>
    <w:p>
      <w:pPr>
        <w:spacing w:line="600" w:lineRule="exact"/>
        <w:ind w:firstLine="640" w:firstLineChars="200"/>
        <w:jc w:val="left"/>
        <w:rPr>
          <w:rFonts w:ascii="仿宋_GB2312" w:eastAsia="仿宋_GB2312"/>
          <w:b/>
          <w:sz w:val="32"/>
          <w:szCs w:val="32"/>
        </w:rPr>
      </w:pPr>
      <w:r>
        <w:rPr>
          <w:rFonts w:hint="eastAsia" w:ascii="仿宋_GB2312" w:eastAsia="仿宋_GB2312"/>
          <w:sz w:val="32"/>
          <w:szCs w:val="32"/>
        </w:rPr>
        <w:t>本部门2019年度本年收入合计</w:t>
      </w:r>
      <w:r>
        <w:rPr>
          <w:rFonts w:hint="eastAsia" w:ascii="仿宋_GB2312" w:eastAsia="仿宋_GB2312"/>
          <w:sz w:val="32"/>
          <w:szCs w:val="32"/>
          <w:lang w:val="en-US" w:eastAsia="zh-CN"/>
        </w:rPr>
        <w:t>149.92</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149.92</w:t>
      </w:r>
      <w:r>
        <w:rPr>
          <w:rFonts w:hint="eastAsia" w:ascii="仿宋_GB2312" w:eastAsia="仿宋_GB2312"/>
          <w:sz w:val="32"/>
          <w:szCs w:val="32"/>
        </w:rPr>
        <w:t>万元。</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三、支出决算情况说明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本部门2019年度本年支出合计</w:t>
      </w:r>
      <w:r>
        <w:rPr>
          <w:rFonts w:hint="eastAsia" w:ascii="仿宋_GB2312" w:eastAsia="仿宋_GB2312"/>
          <w:sz w:val="32"/>
          <w:szCs w:val="32"/>
          <w:lang w:val="en-US" w:eastAsia="zh-CN"/>
        </w:rPr>
        <w:t>149.92</w:t>
      </w:r>
      <w:r>
        <w:rPr>
          <w:rFonts w:hint="eastAsia" w:ascii="仿宋_GB2312" w:eastAsia="仿宋_GB2312"/>
          <w:sz w:val="32"/>
          <w:szCs w:val="32"/>
        </w:rPr>
        <w:t>万元，其中：项目支出</w:t>
      </w:r>
      <w:r>
        <w:rPr>
          <w:rFonts w:hint="eastAsia" w:ascii="仿宋_GB2312" w:eastAsia="仿宋_GB2312"/>
          <w:sz w:val="32"/>
          <w:szCs w:val="32"/>
          <w:lang w:val="en-US" w:eastAsia="zh-CN"/>
        </w:rPr>
        <w:t>149.92</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p>
    <w:p>
      <w:pPr>
        <w:widowControl/>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四、财政拨款收入支出决算总体情况说明</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本部门2019年度财政拨款年末结转和结余0万元。</w:t>
      </w:r>
    </w:p>
    <w:p>
      <w:pPr>
        <w:widowControl/>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val="en-US" w:eastAsia="zh-CN"/>
        </w:rPr>
        <w:t>一</w:t>
      </w:r>
      <w:r>
        <w:rPr>
          <w:rFonts w:hint="eastAsia" w:ascii="仿宋_GB2312" w:eastAsia="仿宋_GB2312"/>
          <w:b/>
          <w:sz w:val="32"/>
          <w:szCs w:val="32"/>
        </w:rPr>
        <w:t>）财政拨款收支与年初预算数对比情况</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本部门2019年度财政拨款本年收入</w:t>
      </w:r>
      <w:r>
        <w:rPr>
          <w:rFonts w:hint="eastAsia" w:ascii="仿宋_GB2312" w:eastAsia="仿宋_GB2312"/>
          <w:sz w:val="32"/>
          <w:szCs w:val="32"/>
          <w:lang w:val="en-US" w:eastAsia="zh-CN"/>
        </w:rPr>
        <w:t>149.92</w:t>
      </w:r>
      <w:r>
        <w:rPr>
          <w:rFonts w:hint="eastAsia" w:ascii="仿宋_GB2312" w:eastAsia="仿宋_GB2312"/>
          <w:sz w:val="32"/>
          <w:szCs w:val="32"/>
        </w:rPr>
        <w:t>万元，完成年初预算的100%。</w:t>
      </w:r>
    </w:p>
    <w:p>
      <w:pPr>
        <w:widowControl/>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val="en-US" w:eastAsia="zh-CN"/>
        </w:rPr>
        <w:t>二</w:t>
      </w:r>
      <w:r>
        <w:rPr>
          <w:rFonts w:hint="eastAsia" w:ascii="仿宋_GB2312" w:eastAsia="仿宋_GB2312"/>
          <w:b/>
          <w:sz w:val="32"/>
          <w:szCs w:val="32"/>
        </w:rPr>
        <w:t>）一般公共预算基本支出决算情况说明</w:t>
      </w:r>
    </w:p>
    <w:p>
      <w:pPr>
        <w:widowControl/>
        <w:spacing w:line="600" w:lineRule="exact"/>
        <w:ind w:firstLine="640" w:firstLineChars="200"/>
        <w:jc w:val="left"/>
        <w:rPr>
          <w:rFonts w:hAnsi="黑体" w:cs="黑体"/>
          <w:b/>
          <w:sz w:val="32"/>
          <w:szCs w:val="32"/>
        </w:rPr>
      </w:pPr>
      <w:r>
        <w:rPr>
          <w:rFonts w:hint="eastAsia" w:ascii="仿宋_GB2312" w:eastAsia="仿宋_GB2312"/>
          <w:sz w:val="32"/>
          <w:szCs w:val="32"/>
        </w:rPr>
        <w:t>2019年度财政拨款基本支出</w:t>
      </w:r>
      <w:r>
        <w:rPr>
          <w:rFonts w:hint="eastAsia" w:ascii="仿宋_GB2312" w:eastAsia="仿宋_GB2312"/>
          <w:sz w:val="32"/>
          <w:szCs w:val="32"/>
          <w:lang w:val="en-US" w:eastAsia="zh-CN"/>
        </w:rPr>
        <w:t>为0</w:t>
      </w:r>
      <w:r>
        <w:rPr>
          <w:rFonts w:hint="eastAsia" w:ascii="仿宋_GB2312" w:eastAsia="仿宋_GB2312"/>
          <w:sz w:val="32"/>
          <w:szCs w:val="32"/>
        </w:rPr>
        <w:t>。</w:t>
      </w:r>
    </w:p>
    <w:p>
      <w:pPr>
        <w:widowControl/>
        <w:spacing w:line="600" w:lineRule="exact"/>
        <w:ind w:firstLine="640" w:firstLineChars="200"/>
        <w:jc w:val="left"/>
        <w:rPr>
          <w:rFonts w:ascii="仿宋_GB2312" w:eastAsia="仿宋_GB2312"/>
          <w:b/>
          <w:sz w:val="32"/>
          <w:szCs w:val="32"/>
        </w:rPr>
      </w:pPr>
      <w:r>
        <w:rPr>
          <w:rFonts w:hint="eastAsia" w:hAnsi="黑体" w:cs="黑体"/>
          <w:b/>
          <w:sz w:val="32"/>
          <w:szCs w:val="32"/>
        </w:rPr>
        <w:t>五、一般公共预算“</w:t>
      </w:r>
      <w:r>
        <w:rPr>
          <w:rFonts w:hint="eastAsia" w:hAnsi="黑体" w:cs="黑体" w:asciiTheme="minorHAnsi" w:eastAsiaTheme="minorEastAsia"/>
          <w:b/>
          <w:sz w:val="32"/>
          <w:szCs w:val="32"/>
        </w:rPr>
        <w:t>三公”经费支出决算</w:t>
      </w:r>
      <w:r>
        <w:rPr>
          <w:rFonts w:hint="eastAsia" w:ascii="仿宋_GB2312" w:eastAsia="仿宋_GB2312"/>
          <w:b/>
          <w:sz w:val="32"/>
          <w:szCs w:val="32"/>
        </w:rPr>
        <w:t>情况说明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本部门2019年度“三公”经费支出共计为0。</w:t>
      </w:r>
    </w:p>
    <w:p>
      <w:pPr>
        <w:widowControl/>
        <w:spacing w:line="600" w:lineRule="exact"/>
        <w:ind w:firstLine="640" w:firstLineChars="200"/>
        <w:jc w:val="left"/>
        <w:rPr>
          <w:rFonts w:ascii="仿宋_GB2312" w:eastAsia="仿宋_GB2312"/>
          <w:b/>
          <w:sz w:val="32"/>
          <w:szCs w:val="32"/>
        </w:rPr>
      </w:pPr>
      <w:r>
        <w:rPr>
          <w:rFonts w:hint="eastAsia" w:ascii="MS Mincho" w:hAnsi="MS Mincho" w:cs="MS Mincho"/>
          <w:b/>
          <w:sz w:val="32"/>
          <w:szCs w:val="32"/>
        </w:rPr>
        <w:t>六</w:t>
      </w:r>
      <w:r>
        <w:rPr>
          <w:rFonts w:hint="eastAsia" w:ascii="仿宋_GB2312" w:eastAsia="仿宋_GB2312"/>
          <w:b/>
          <w:sz w:val="32"/>
          <w:szCs w:val="32"/>
        </w:rPr>
        <w:t>、预算绩效情况说明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（一）绩效管理工作开展情况</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根据省和新区财政预算绩效管理要求，雄安新区中级人民法院以“部门职责</w:t>
      </w:r>
      <w:r>
        <w:rPr>
          <w:rFonts w:hint="eastAsia" w:ascii="仿宋_GB2312" w:eastAsia="仿宋_GB2312"/>
          <w:sz w:val="32"/>
          <w:szCs w:val="32"/>
          <w:lang w:eastAsia="zh-CN"/>
        </w:rPr>
        <w:t>——</w:t>
      </w:r>
      <w:r>
        <w:rPr>
          <w:rFonts w:hint="eastAsia" w:ascii="仿宋_GB2312" w:eastAsia="仿宋_GB2312"/>
          <w:sz w:val="32"/>
          <w:szCs w:val="32"/>
        </w:rPr>
        <w:t>工作活动”为依据，确定部门预算项目和预算额度，清晰描述预算项目开支范围和内容，确定预算项目的绩效目标、绩效指标和评价标准，为预算绩效控制、绩效分析、绩效评价打下好的基础。</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（二）预算项目绩效评价开展情况</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2019年雄安新区中级人民法院严格按照年初部门预算的绩效目标开展工作，较好地完成了各项绩效指标，并</w:t>
      </w:r>
      <w:r>
        <w:rPr>
          <w:rFonts w:hint="eastAsia" w:ascii="仿宋_GB2312" w:eastAsia="仿宋_GB2312"/>
          <w:sz w:val="32"/>
          <w:szCs w:val="32"/>
        </w:rPr>
        <w:t>按照绩效预算评价标准，对工作事项进行评价，评价结果较为理想。</w:t>
      </w:r>
    </w:p>
    <w:p>
      <w:pPr>
        <w:widowControl/>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七、其他重要事项的说明</w:t>
      </w:r>
    </w:p>
    <w:p>
      <w:pPr>
        <w:widowControl/>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（一）机关运行经费情况</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本部门2019年度机关运行经费支出</w:t>
      </w:r>
      <w:r>
        <w:rPr>
          <w:rFonts w:hint="eastAsia" w:ascii="仿宋_GB2312" w:eastAsia="仿宋_GB2312"/>
          <w:sz w:val="32"/>
          <w:szCs w:val="32"/>
          <w:lang w:val="en-US" w:eastAsia="zh-CN"/>
        </w:rPr>
        <w:t>为0</w:t>
      </w:r>
      <w:r>
        <w:rPr>
          <w:rFonts w:hint="eastAsia" w:ascii="仿宋_GB2312" w:eastAsia="仿宋_GB2312"/>
          <w:sz w:val="32"/>
          <w:szCs w:val="32"/>
        </w:rPr>
        <w:t>。</w:t>
      </w:r>
    </w:p>
    <w:p>
      <w:pPr>
        <w:widowControl/>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（二）政府采购情况</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本部门2019年度政府采购支出总额为0。        </w:t>
      </w:r>
    </w:p>
    <w:p>
      <w:pPr>
        <w:widowControl/>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（三）国有资产占用情况</w:t>
      </w:r>
    </w:p>
    <w:p>
      <w:pPr>
        <w:widowControl/>
        <w:spacing w:line="6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截至2019年12月31日，我单位国有资产占用为0</w:t>
      </w:r>
      <w:r>
        <w:rPr>
          <w:rFonts w:hint="eastAsia" w:ascii="仿宋_GB2312" w:eastAsia="仿宋_GB2312"/>
          <w:sz w:val="32"/>
          <w:szCs w:val="32"/>
          <w:lang w:eastAsia="zh-CN"/>
        </w:rPr>
        <w:t>。</w:t>
      </w:r>
    </w:p>
    <w:p>
      <w:pPr>
        <w:widowControl/>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（四）其他需要说明的情况</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1</w:t>
      </w:r>
      <w:r>
        <w:rPr>
          <w:rFonts w:hint="eastAsia" w:ascii="仿宋_GB2312" w:eastAsia="仿宋_GB2312"/>
          <w:sz w:val="32"/>
          <w:szCs w:val="32"/>
          <w:lang w:val="en-US" w:eastAsia="zh-CN"/>
        </w:rPr>
        <w:t>.</w:t>
      </w:r>
      <w:r>
        <w:rPr>
          <w:rFonts w:hint="eastAsia" w:ascii="仿宋_GB2312" w:eastAsia="仿宋_GB2312"/>
          <w:sz w:val="32"/>
          <w:szCs w:val="32"/>
        </w:rPr>
        <w:t>本部门2019年度无政府性基金预算财政拨款收支及结转结余情况，无国有资本经营预算财政拨款支出及结转结余情况，故政府性基金预算财政拨款收入支出决算表、国有资本经营预算财政拨款支出决算表以空表列示。</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由于决算公开表格中金额数值应当保留两位小数，公开数据为四舍五入计算结果，个别数</w:t>
      </w:r>
      <w:bookmarkStart w:id="0" w:name="_GoBack"/>
      <w:bookmarkEnd w:id="0"/>
      <w:r>
        <w:rPr>
          <w:rFonts w:hint="eastAsia" w:ascii="仿宋_GB2312" w:eastAsia="仿宋_GB2312"/>
          <w:sz w:val="32"/>
          <w:szCs w:val="32"/>
        </w:rPr>
        <w:t>据合计项与分项之和存在小数点后差额，特此说明。</w:t>
      </w:r>
    </w:p>
    <w:p>
      <w:pPr>
        <w:tabs>
          <w:tab w:val="left" w:pos="1454"/>
        </w:tabs>
        <w:jc w:val="left"/>
        <w:rPr>
          <w:sz w:val="72"/>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lang w:val="en-US" w:eastAsia="zh-CN"/>
        </w:rPr>
      </w:pPr>
      <w:r>
        <w:rPr>
          <w:rFonts w:hint="default" w:ascii="黑体" w:hAnsi="黑体" w:eastAsia="黑体" w:cs="黑体"/>
          <w:sz w:val="56"/>
          <w:szCs w:val="72"/>
          <w:lang w:val="en-US" w:eastAsia="zh-CN"/>
        </w:rPr>
        <w:br w:type="page"/>
      </w:r>
      <w:r>
        <w:rPr>
          <w:sz w:val="72"/>
        </w:rPr>
        <mc:AlternateContent>
          <mc:Choice Requires="wps">
            <w:drawing>
              <wp:anchor distT="0" distB="0" distL="114300" distR="114300" simplePos="0" relativeHeight="622902272" behindDoc="0" locked="0" layoutInCell="1" allowOverlap="1">
                <wp:simplePos x="0" y="0"/>
                <wp:positionH relativeFrom="column">
                  <wp:align>center</wp:align>
                </wp:positionH>
                <wp:positionV relativeFrom="page">
                  <wp:align>center</wp:align>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height:263.1pt;width:613.65pt;mso-position-horizontal:center;mso-position-vertical:center;mso-position-vertical-relative:page;z-index:622902272;v-text-anchor:middle;mso-width-relative:page;mso-height-relative:page;" fillcolor="#FFD966" filled="t" stroked="t" coordsize="21600,21600" o:gfxdata="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pzzZ+&#10;1wAAAAYBAAAPAAAAAAAAAAEAIAAAACIAAABkcnMvZG93bnJldi54bWxQSwECFAAUAAAACACHTuJA&#10;ZD9bv1sCAAC6BAAADgAAAAAAAAABACAAAAAmAQAAZHJzL2Uyb0RvYy54bWxQSwUGAAAAAAYABgBZ&#10;AQAA8wUAAAAA&#10;">
                <v:fill type="pattern" on="t" color2="#FFFFFF [3212]" focussize="0,0" r:id="rId22"/>
                <v:stroke weight="0.5pt" color="#FFD966 [3204]" joinstyle="round"/>
                <v:imagedata o:title=""/>
                <o:lock v:ext="edit" aspectratio="f"/>
                <v:textbo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v:textbox>
              </v:shape>
            </w:pict>
          </mc:Fallback>
        </mc:AlternateContent>
      </w:r>
    </w:p>
    <w:p>
      <w:pPr>
        <w:bidi w:val="0"/>
        <w:rPr>
          <w:rFonts w:hint="default"/>
          <w:lang w:val="en-US" w:eastAsia="zh-CN"/>
        </w:rPr>
      </w:pPr>
    </w:p>
    <w:p>
      <w:pPr>
        <w:tabs>
          <w:tab w:val="left" w:pos="886"/>
        </w:tabs>
        <w:bidi w:val="0"/>
        <w:jc w:val="left"/>
        <w:rPr>
          <w:rFonts w:hint="eastAsia"/>
          <w:lang w:val="en-US" w:eastAsia="zh-CN"/>
        </w:rPr>
        <w:sectPr>
          <w:headerReference r:id="rId13" w:type="first"/>
          <w:footerReference r:id="rId15" w:type="first"/>
          <w:headerReference r:id="rId12" w:type="default"/>
          <w:footerReference r:id="rId14" w:type="default"/>
          <w:pgSz w:w="11906" w:h="16838"/>
          <w:pgMar w:top="2041" w:right="1531" w:bottom="2041" w:left="1531" w:header="851" w:footer="992" w:gutter="0"/>
          <w:pgNumType w:fmt="numberInDash"/>
          <w:cols w:space="0" w:num="1"/>
          <w:titlePg/>
          <w:rtlGutter w:val="0"/>
          <w:docGrid w:type="lines" w:linePitch="312" w:charSpace="0"/>
        </w:sectPr>
      </w:pPr>
    </w:p>
    <w:p>
      <w:pPr>
        <w:keepNext w:val="0"/>
        <w:keepLines w:val="0"/>
        <w:pageBreakBefore w:val="0"/>
        <w:kinsoku/>
        <w:wordWrap/>
        <w:overflowPunct/>
        <w:topLinePunct w:val="0"/>
        <w:autoSpaceDE/>
        <w:autoSpaceDN/>
        <w:bidi w:val="0"/>
        <w:adjustRightInd/>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hint="eastAsia" w:ascii="仿宋_GB2312" w:hAnsi="宋体" w:eastAsia="仿宋_GB2312" w:cs="Times New Roman"/>
          <w:color w:val="000000"/>
          <w:kern w:val="0"/>
          <w:sz w:val="32"/>
          <w:szCs w:val="32"/>
          <w:lang w:eastAsia="zh-CN"/>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r>
        <w:rPr>
          <w:rFonts w:hint="eastAsia" w:ascii="仿宋_GB2312" w:hAnsi="宋体"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w:t>
      </w:r>
      <w:r>
        <w:rPr>
          <w:rFonts w:hint="eastAsia" w:ascii="仿宋_GB2312" w:hAnsi="宋体" w:eastAsia="仿宋_GB2312" w:cs="Times New Roman"/>
          <w:color w:val="000000"/>
          <w:kern w:val="0"/>
          <w:sz w:val="32"/>
          <w:szCs w:val="32"/>
          <w:lang w:val="en-US" w:eastAsia="zh-CN"/>
        </w:rPr>
        <w:t>略</w:t>
      </w:r>
      <w:r>
        <w:rPr>
          <w:rFonts w:hint="eastAsia" w:ascii="仿宋_GB2312" w:hAnsi="宋体" w:eastAsia="仿宋_GB2312" w:cs="Times New Roman"/>
          <w:color w:val="000000"/>
          <w:kern w:val="0"/>
          <w:sz w:val="32"/>
          <w:szCs w:val="32"/>
        </w:rPr>
        <w:t>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）及</w:t>
      </w:r>
      <w:r>
        <w:rPr>
          <w:rFonts w:hint="eastAsia" w:ascii="仿宋_GB2312" w:hAnsi="宋体" w:eastAsia="仿宋_GB2312" w:cs="Times New Roman"/>
          <w:color w:val="000000"/>
          <w:kern w:val="0"/>
          <w:sz w:val="32"/>
          <w:szCs w:val="32"/>
          <w:lang w:eastAsia="zh-CN"/>
        </w:rPr>
        <w:t>按规定保留的公务用车燃料费、维修费、过桥过路费、保险费、安全奖励费用等支出</w:t>
      </w:r>
      <w:r>
        <w:rPr>
          <w:rFonts w:hint="eastAsia" w:ascii="仿宋_GB2312" w:hAnsi="宋体" w:eastAsia="仿宋_GB2312" w:cs="Times New Roman"/>
          <w:color w:val="000000"/>
          <w:kern w:val="0"/>
          <w:sz w:val="32"/>
          <w:szCs w:val="32"/>
        </w:rPr>
        <w:t>；公务接待费反映单位按规定开支的各类公务接待（含外宾接待）支出。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w:t>
      </w:r>
      <w:r>
        <w:rPr>
          <w:rFonts w:hint="eastAsia" w:ascii="仿宋_GB2312" w:hAnsi="宋体" w:eastAsia="仿宋_GB2312" w:cs="Times New Roman"/>
          <w:color w:val="000000"/>
          <w:kern w:val="0"/>
          <w:sz w:val="32"/>
          <w:szCs w:val="32"/>
          <w:lang w:eastAsia="zh-CN"/>
        </w:rPr>
        <w:t>公务交通补贴、租车费用、出租车费用，飞机、船舶等燃料费、维修费、保险费</w:t>
      </w:r>
      <w:r>
        <w:rPr>
          <w:rFonts w:hint="eastAsia" w:ascii="仿宋_GB2312" w:hAnsi="宋体" w:eastAsia="仿宋_GB2312" w:cs="Times New Roman"/>
          <w:color w:val="000000"/>
          <w:kern w:val="0"/>
          <w:sz w:val="32"/>
          <w:szCs w:val="32"/>
        </w:rPr>
        <w:t>等。</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b w:val="0"/>
          <w:bCs w:val="0"/>
          <w:color w:val="000000"/>
          <w:kern w:val="0"/>
          <w:sz w:val="32"/>
          <w:szCs w:val="32"/>
        </w:rPr>
        <w:t>填</w:t>
      </w:r>
      <w:r>
        <w:rPr>
          <w:rFonts w:hint="eastAsia" w:ascii="仿宋_GB2312" w:hAnsi="宋体" w:eastAsia="仿宋_GB2312" w:cs="Times New Roman"/>
          <w:color w:val="000000"/>
          <w:kern w:val="0"/>
          <w:sz w:val="32"/>
          <w:szCs w:val="32"/>
        </w:rPr>
        <w:t>列单位公务用车车辆购置支出（含车辆购置税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w:t>
      </w:r>
      <w:r>
        <w:rPr>
          <w:rFonts w:hint="eastAsia" w:ascii="仿宋_GB2312" w:hAnsi="宋体" w:eastAsia="仿宋_GB2312" w:cs="Times New Roman"/>
          <w:color w:val="000000"/>
          <w:kern w:val="0"/>
          <w:sz w:val="32"/>
          <w:szCs w:val="32"/>
          <w:lang w:eastAsia="zh-CN"/>
        </w:rPr>
        <w:t>等</w:t>
      </w:r>
      <w:r>
        <w:rPr>
          <w:rFonts w:hint="eastAsia" w:ascii="仿宋_GB2312" w:hAnsi="宋体" w:eastAsia="仿宋_GB2312" w:cs="Times New Roman"/>
          <w:color w:val="000000"/>
          <w:kern w:val="0"/>
          <w:sz w:val="32"/>
          <w:szCs w:val="32"/>
        </w:rPr>
        <w:t>）购置支出（含车辆购置税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textAlignment w:val="auto"/>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keepNext w:val="0"/>
        <w:keepLines w:val="0"/>
        <w:pageBreakBefore w:val="0"/>
        <w:tabs>
          <w:tab w:val="left" w:pos="235"/>
        </w:tabs>
        <w:kinsoku/>
        <w:wordWrap/>
        <w:overflowPunct/>
        <w:topLinePunct w:val="0"/>
        <w:autoSpaceDE/>
        <w:autoSpaceDN/>
        <w:bidi w:val="0"/>
        <w:adjustRightInd/>
        <w:ind w:left="0" w:leftChars="0" w:right="0" w:rightChars="0" w:firstLine="643" w:firstLineChars="200"/>
        <w:jc w:val="left"/>
        <w:textAlignment w:val="auto"/>
        <w:rPr>
          <w:rFonts w:hint="eastAsia" w:ascii="仿宋_GB2312" w:hAnsi="Cambria" w:eastAsia="仿宋_GB2312" w:cs="ArialUnicodeMS"/>
          <w:kern w:val="0"/>
          <w:sz w:val="32"/>
          <w:szCs w:val="32"/>
          <w:vertAlign w:val="baseline"/>
          <w:lang w:val="en-US" w:eastAsia="zh-CN"/>
        </w:rPr>
      </w:pPr>
      <w:r>
        <w:rPr>
          <w:rFonts w:hint="eastAsia" w:ascii="仿宋_GB2312" w:hAnsi="宋体" w:eastAsia="仿宋_GB2312" w:cs="Times New Roman"/>
          <w:b/>
          <w:bCs/>
          <w:color w:val="000000"/>
          <w:kern w:val="0"/>
          <w:sz w:val="32"/>
          <w:szCs w:val="32"/>
          <w:lang w:val="en-US" w:eastAsia="zh-CN"/>
        </w:rPr>
        <w:t>（十七）经费形式：</w:t>
      </w:r>
      <w:r>
        <w:rPr>
          <w:rFonts w:hint="eastAsia" w:ascii="仿宋_GB2312" w:hAnsi="宋体" w:eastAsia="仿宋_GB2312" w:cs="Times New Roman"/>
          <w:b w:val="0"/>
          <w:bCs w:val="0"/>
          <w:color w:val="000000"/>
          <w:kern w:val="0"/>
          <w:sz w:val="32"/>
          <w:szCs w:val="32"/>
          <w:lang w:val="en-US" w:eastAsia="zh-CN"/>
        </w:rPr>
        <w:t>按</w:t>
      </w:r>
      <w:r>
        <w:rPr>
          <w:rFonts w:hint="eastAsia" w:ascii="仿宋_GB2312" w:hAnsi="宋体" w:eastAsia="仿宋_GB2312" w:cs="Times New Roman"/>
          <w:color w:val="000000"/>
          <w:kern w:val="0"/>
          <w:sz w:val="32"/>
          <w:szCs w:val="32"/>
          <w:lang w:val="en-US" w:eastAsia="zh-CN"/>
        </w:rPr>
        <w:t>照经费来源，</w:t>
      </w:r>
      <w:r>
        <w:rPr>
          <w:rFonts w:hint="eastAsia" w:ascii="仿宋_GB2312" w:hAnsi="Cambria" w:eastAsia="仿宋_GB2312" w:cs="ArialUnicodeMS"/>
          <w:kern w:val="0"/>
          <w:sz w:val="32"/>
          <w:szCs w:val="32"/>
          <w:vertAlign w:val="baseline"/>
          <w:lang w:val="en-US" w:eastAsia="zh-CN"/>
        </w:rPr>
        <w:t>可分为财政拨款、财政性资金基本保证、财政性资金定额或定项补助、财政性资金零补助四类。</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sectPr>
          <w:type w:val="continuous"/>
          <w:pgSz w:w="11906" w:h="16838"/>
          <w:pgMar w:top="2098" w:right="1474" w:bottom="1985" w:left="1588" w:header="851" w:footer="992" w:gutter="0"/>
          <w:pgNumType w:fmt="numberInDash"/>
          <w:cols w:space="425" w:num="1"/>
          <w:docGrid w:type="lines" w:linePitch="312" w:charSpace="0"/>
        </w:sectPr>
      </w:pPr>
    </w:p>
    <w:p>
      <w:pPr>
        <w:tabs>
          <w:tab w:val="left" w:pos="235"/>
        </w:tabs>
        <w:bidi w:val="0"/>
        <w:jc w:val="left"/>
        <w:rPr>
          <w:rFonts w:hint="eastAsia"/>
          <w:lang w:val="en-US" w:eastAsia="zh-CN"/>
        </w:rPr>
        <w:sectPr>
          <w:headerReference r:id="rId16"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3221620736" behindDoc="0" locked="0" layoutInCell="1" allowOverlap="1">
                <wp:simplePos x="0" y="0"/>
                <wp:positionH relativeFrom="column">
                  <wp:align>center</wp:align>
                </wp:positionH>
                <wp:positionV relativeFrom="page">
                  <wp:align>center</wp:align>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height:263.1pt;width:613.65pt;mso-position-horizontal:center;mso-position-vertical:center;mso-position-vertical-relative:page;z-index:-1073346560;v-text-anchor:middle;mso-width-relative:page;mso-height-relative:page;" fillcolor="#FFD966" filled="t" stroked="t" coordsize="21600,21600" o:gfxdata="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c82&#10;ftcAAAAGAQAADwAAAAAAAAABACAAAAAiAAAAZHJzL2Rvd25yZXYueG1sUEsBAhQAFAAAAAgAh07i&#10;QHsOYltcAgAAugQAAA4AAAAAAAAAAQAgAAAAJgEAAGRycy9lMm9Eb2MueG1sUEsFBgAAAAAGAAYA&#10;WQEAAPQFAAAAAA==&#10;">
                <v:fill type="pattern" on="t" color2="#FFFFFF [3212]" focussize="0,0" r:id="rId22"/>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bidi w:val="0"/>
        <w:jc w:val="left"/>
        <w:rPr>
          <w:rFonts w:hint="default"/>
          <w:lang w:val="en-US" w:eastAsia="zh-CN"/>
        </w:rPr>
      </w:pPr>
    </w:p>
    <w:tbl>
      <w:tblPr>
        <w:tblStyle w:val="7"/>
        <w:tblpPr w:leftFromText="180" w:rightFromText="180" w:vertAnchor="text" w:horzAnchor="page" w:tblpX="1333" w:tblpY="246"/>
        <w:tblOverlap w:val="never"/>
        <w:tblW w:w="9517" w:type="dxa"/>
        <w:jc w:val="center"/>
        <w:shd w:val="clear" w:color="auto" w:fill="auto"/>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收入支出决算总表</w:t>
            </w:r>
          </w:p>
        </w:tc>
      </w:tr>
      <w:tr>
        <w:tblPrEx>
          <w:shd w:val="clear" w:color="auto" w:fill="auto"/>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73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shd w:val="clear" w:color="auto" w:fill="auto"/>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部门：河北雄安新区中级人民法院</w:t>
            </w:r>
          </w:p>
        </w:tc>
        <w:tc>
          <w:tcPr>
            <w:tcW w:w="73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149.92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149.92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149.92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149.92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149.92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149.92　</w:t>
            </w:r>
          </w:p>
        </w:tc>
      </w:tr>
      <w:tr>
        <w:tblPrEx>
          <w:shd w:val="clear" w:color="auto" w:fill="auto"/>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bidi w:val="0"/>
        <w:jc w:val="left"/>
        <w:rPr>
          <w:rFonts w:hint="default"/>
          <w:lang w:val="en-US" w:eastAsia="zh-CN"/>
        </w:rPr>
      </w:pPr>
    </w:p>
    <w:tbl>
      <w:tblPr>
        <w:tblStyle w:val="7"/>
        <w:tblW w:w="9580" w:type="dxa"/>
        <w:jc w:val="center"/>
        <w:shd w:val="clear" w:color="auto" w:fill="auto"/>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shd w:val="clear" w:color="auto" w:fill="auto"/>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i w:val="0"/>
                <w:color w:val="000000"/>
                <w:kern w:val="0"/>
                <w:sz w:val="32"/>
                <w:szCs w:val="32"/>
                <w:u w:val="none"/>
                <w:lang w:val="en-US" w:eastAsia="zh-CN" w:bidi="ar"/>
              </w:rPr>
            </w:pPr>
          </w:p>
          <w:p>
            <w:pPr>
              <w:keepNext w:val="0"/>
              <w:keepLines w:val="0"/>
              <w:widowControl/>
              <w:suppressLineNumbers w:val="0"/>
              <w:jc w:val="center"/>
              <w:textAlignment w:val="bottom"/>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收入决算表</w:t>
            </w:r>
          </w:p>
        </w:tc>
      </w:tr>
      <w:tr>
        <w:tblPrEx>
          <w:shd w:val="clear" w:color="auto" w:fill="auto"/>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01"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shd w:val="clear" w:color="auto" w:fill="auto"/>
          <w:tblCellMar>
            <w:top w:w="0" w:type="dxa"/>
            <w:left w:w="0" w:type="dxa"/>
            <w:bottom w:w="0" w:type="dxa"/>
            <w:right w:w="0" w:type="dxa"/>
          </w:tblCellMar>
        </w:tblPrEx>
        <w:trPr>
          <w:trHeight w:val="357" w:hRule="atLeast"/>
          <w:jc w:val="center"/>
        </w:trPr>
        <w:tc>
          <w:tcPr>
            <w:tcW w:w="3579"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部门：河北雄安新区中级人民法院</w:t>
            </w: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001"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149.92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r>
              <w:rPr>
                <w:rFonts w:hint="eastAsia" w:ascii="宋体" w:hAnsi="宋体" w:eastAsia="宋体" w:cs="宋体"/>
                <w:b/>
                <w:i w:val="0"/>
                <w:color w:val="000000"/>
                <w:sz w:val="22"/>
                <w:szCs w:val="22"/>
                <w:u w:val="none"/>
                <w:lang w:val="en-US" w:eastAsia="zh-CN"/>
              </w:rPr>
              <w:t>149.92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公共安全支出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149.92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149.92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法院</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149.92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149.92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2040599</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其他法院支出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149.92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149.92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bidi w:val="0"/>
        <w:jc w:val="left"/>
        <w:rPr>
          <w:rFonts w:hint="default"/>
          <w:lang w:val="en-US" w:eastAsia="zh-CN"/>
        </w:rPr>
      </w:pPr>
    </w:p>
    <w:p>
      <w:pPr>
        <w:rPr>
          <w:rFonts w:hint="default"/>
          <w:lang w:val="en-US" w:eastAsia="zh-CN"/>
        </w:rPr>
      </w:pPr>
      <w:r>
        <w:rPr>
          <w:rFonts w:hint="default"/>
          <w:lang w:val="en-US" w:eastAsia="zh-CN"/>
        </w:rPr>
        <w:br w:type="page"/>
      </w:r>
    </w:p>
    <w:tbl>
      <w:tblPr>
        <w:tblStyle w:val="7"/>
        <w:tblW w:w="9680" w:type="dxa"/>
        <w:jc w:val="center"/>
        <w:shd w:val="clear" w:color="auto" w:fill="auto"/>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shd w:val="clear" w:color="auto" w:fill="auto"/>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支出决算表</w:t>
            </w:r>
          </w:p>
        </w:tc>
      </w:tr>
      <w:tr>
        <w:tblPrEx>
          <w:shd w:val="clear" w:color="auto" w:fill="auto"/>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11"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shd w:val="clear" w:color="auto" w:fill="auto"/>
          <w:tblCellMar>
            <w:top w:w="0" w:type="dxa"/>
            <w:left w:w="0" w:type="dxa"/>
            <w:bottom w:w="0" w:type="dxa"/>
            <w:right w:w="0" w:type="dxa"/>
          </w:tblCellMar>
        </w:tblPrEx>
        <w:trPr>
          <w:trHeight w:val="313" w:hRule="atLeast"/>
          <w:jc w:val="center"/>
        </w:trPr>
        <w:tc>
          <w:tcPr>
            <w:tcW w:w="3625"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部门：河北雄安新区中级人民法院</w:t>
            </w: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r>
              <w:rPr>
                <w:rFonts w:hint="eastAsia" w:ascii="宋体" w:hAnsi="宋体" w:eastAsia="宋体" w:cs="宋体"/>
                <w:b/>
                <w:i w:val="0"/>
                <w:color w:val="000000"/>
                <w:sz w:val="22"/>
                <w:szCs w:val="22"/>
                <w:u w:val="none"/>
                <w:lang w:val="en-US" w:eastAsia="zh-CN"/>
              </w:rPr>
              <w:t>149.92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r>
              <w:rPr>
                <w:rFonts w:hint="eastAsia" w:ascii="宋体" w:hAnsi="宋体" w:eastAsia="宋体" w:cs="宋体"/>
                <w:b/>
                <w:i w:val="0"/>
                <w:color w:val="000000"/>
                <w:sz w:val="22"/>
                <w:szCs w:val="22"/>
                <w:u w:val="none"/>
                <w:lang w:val="en-US" w:eastAsia="zh-CN"/>
              </w:rPr>
              <w:t>149.92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公共安全支出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149.92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149.92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20405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法院</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149.92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149.92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2040599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其他法院支出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149.92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149.92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rFonts w:hint="default"/>
          <w:lang w:val="en-US" w:eastAsia="zh-CN"/>
        </w:rPr>
      </w:pPr>
      <w:r>
        <w:rPr>
          <w:rFonts w:hint="default"/>
          <w:lang w:val="en-US" w:eastAsia="zh-CN"/>
        </w:rPr>
        <w:br w:type="page"/>
      </w:r>
    </w:p>
    <w:tbl>
      <w:tblPr>
        <w:tblStyle w:val="7"/>
        <w:tblW w:w="9520" w:type="dxa"/>
        <w:jc w:val="center"/>
        <w:shd w:val="clear" w:color="auto" w:fill="auto"/>
        <w:tblLayout w:type="fixed"/>
        <w:tblCellMar>
          <w:top w:w="0" w:type="dxa"/>
          <w:left w:w="0" w:type="dxa"/>
          <w:bottom w:w="0" w:type="dxa"/>
          <w:right w:w="0" w:type="dxa"/>
        </w:tblCellMar>
      </w:tblPr>
      <w:tblGrid>
        <w:gridCol w:w="2922"/>
        <w:gridCol w:w="425"/>
        <w:gridCol w:w="772"/>
        <w:gridCol w:w="2836"/>
        <w:gridCol w:w="507"/>
        <w:gridCol w:w="598"/>
        <w:gridCol w:w="671"/>
        <w:gridCol w:w="789"/>
      </w:tblGrid>
      <w:tr>
        <w:tblPrEx>
          <w:shd w:val="clear" w:color="auto" w:fill="auto"/>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pPr>
              <w:jc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财政拨款收入支出决算总表</w:t>
            </w: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42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7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83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shd w:val="clear" w:color="auto" w:fill="auto"/>
          <w:tblCellMar>
            <w:top w:w="0" w:type="dxa"/>
            <w:left w:w="0" w:type="dxa"/>
            <w:bottom w:w="0" w:type="dxa"/>
            <w:right w:w="0" w:type="dxa"/>
          </w:tblCellMar>
        </w:tblPrEx>
        <w:trPr>
          <w:trHeight w:val="90" w:hRule="atLeast"/>
          <w:jc w:val="center"/>
        </w:trPr>
        <w:tc>
          <w:tcPr>
            <w:tcW w:w="4119"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部门：河北雄安新区中级人民法院</w:t>
            </w:r>
          </w:p>
        </w:tc>
        <w:tc>
          <w:tcPr>
            <w:tcW w:w="283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90" w:hRule="atLeast"/>
          <w:jc w:val="center"/>
        </w:trPr>
        <w:tc>
          <w:tcPr>
            <w:tcW w:w="41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540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shd w:val="clear" w:color="auto" w:fill="auto"/>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77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3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7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149.92</w:t>
            </w: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149.92</w:t>
            </w: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149.92</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十八、自然资源海洋气象等支出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149.92</w:t>
            </w: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18"/>
                <w:szCs w:val="18"/>
                <w:u w:val="none"/>
                <w:lang w:val="en-US" w:eastAsia="zh-CN"/>
              </w:rPr>
              <w:t>149.92</w:t>
            </w: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18"/>
                <w:szCs w:val="18"/>
                <w:u w:val="none"/>
                <w:lang w:val="en-US" w:eastAsia="zh-CN"/>
              </w:rPr>
              <w:t>149.92</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149.92</w:t>
            </w:r>
          </w:p>
        </w:tc>
        <w:tc>
          <w:tcPr>
            <w:tcW w:w="28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18"/>
                <w:szCs w:val="18"/>
                <w:u w:val="none"/>
                <w:lang w:val="en-US" w:eastAsia="zh-CN"/>
              </w:rPr>
              <w:t>149.92</w:t>
            </w:r>
          </w:p>
        </w:tc>
        <w:tc>
          <w:tcPr>
            <w:tcW w:w="6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18"/>
                <w:szCs w:val="18"/>
                <w:u w:val="none"/>
                <w:lang w:val="en-US" w:eastAsia="zh-CN"/>
              </w:rPr>
              <w:t>149.92</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rPr>
          <w:rFonts w:hint="default"/>
          <w:lang w:val="en-US" w:eastAsia="zh-CN"/>
        </w:rPr>
      </w:pPr>
      <w:r>
        <w:rPr>
          <w:rFonts w:hint="default"/>
          <w:lang w:val="en-US" w:eastAsia="zh-CN"/>
        </w:rPr>
        <w:br w:type="page"/>
      </w:r>
    </w:p>
    <w:tbl>
      <w:tblPr>
        <w:tblStyle w:val="7"/>
        <w:tblW w:w="9990" w:type="dxa"/>
        <w:jc w:val="center"/>
        <w:shd w:val="clear" w:color="auto" w:fill="auto"/>
        <w:tblLayout w:type="fixed"/>
        <w:tblCellMar>
          <w:top w:w="0" w:type="dxa"/>
          <w:left w:w="0" w:type="dxa"/>
          <w:bottom w:w="0" w:type="dxa"/>
          <w:right w:w="0" w:type="dxa"/>
        </w:tblCellMar>
      </w:tblPr>
      <w:tblGrid>
        <w:gridCol w:w="1174"/>
        <w:gridCol w:w="67"/>
        <w:gridCol w:w="67"/>
        <w:gridCol w:w="1695"/>
        <w:gridCol w:w="2329"/>
        <w:gridCol w:w="2329"/>
        <w:gridCol w:w="2329"/>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一般公共预算财政拨款支出决算表</w:t>
            </w:r>
          </w:p>
        </w:tc>
      </w:tr>
      <w:tr>
        <w:tblPrEx>
          <w:shd w:val="clear" w:color="auto" w:fill="auto"/>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jc w:val="center"/>
        </w:trPr>
        <w:tc>
          <w:tcPr>
            <w:tcW w:w="5332" w:type="dxa"/>
            <w:gridSpan w:val="5"/>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部门：河北雄安新区中级人民法院</w:t>
            </w: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6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277"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default"/>
          <w:lang w:val="en-US" w:eastAsia="zh-CN"/>
        </w:rPr>
        <w:br w:type="page"/>
      </w:r>
    </w:p>
    <w:tbl>
      <w:tblPr>
        <w:tblStyle w:val="7"/>
        <w:tblW w:w="10000" w:type="dxa"/>
        <w:jc w:val="center"/>
        <w:shd w:val="clear" w:color="auto" w:fill="auto"/>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CellMar>
            <w:top w:w="0" w:type="dxa"/>
            <w:left w:w="0" w:type="dxa"/>
            <w:bottom w:w="0" w:type="dxa"/>
            <w:right w:w="0" w:type="dxa"/>
          </w:tblCellMar>
        </w:tblPrEx>
        <w:trPr>
          <w:trHeight w:val="339" w:hRule="atLeast"/>
          <w:jc w:val="center"/>
        </w:trPr>
        <w:tc>
          <w:tcPr>
            <w:tcW w:w="4266" w:type="dxa"/>
            <w:gridSpan w:val="4"/>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部门：河北雄安新区中级人民法院</w:t>
            </w: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5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bl>
    <w:p>
      <w:pPr>
        <w:rPr>
          <w:rFonts w:hint="default"/>
          <w:lang w:val="en-US" w:eastAsia="zh-CN"/>
        </w:rPr>
      </w:pPr>
      <w:r>
        <w:rPr>
          <w:rFonts w:hint="default"/>
          <w:lang w:val="en-US" w:eastAsia="zh-CN"/>
        </w:rPr>
        <w:br w:type="page"/>
      </w:r>
    </w:p>
    <w:tbl>
      <w:tblPr>
        <w:tblStyle w:val="7"/>
        <w:tblW w:w="9220" w:type="dxa"/>
        <w:jc w:val="center"/>
        <w:shd w:val="clear" w:color="auto" w:fill="auto"/>
        <w:tblLayout w:type="fixed"/>
        <w:tblCellMar>
          <w:top w:w="0" w:type="dxa"/>
          <w:left w:w="0" w:type="dxa"/>
          <w:bottom w:w="0" w:type="dxa"/>
          <w:right w:w="0" w:type="dxa"/>
        </w:tblCellMar>
      </w:tblPr>
      <w:tblGrid>
        <w:gridCol w:w="1267"/>
        <w:gridCol w:w="1686"/>
        <w:gridCol w:w="1565"/>
        <w:gridCol w:w="1565"/>
        <w:gridCol w:w="1565"/>
        <w:gridCol w:w="1572"/>
      </w:tblGrid>
      <w:tr>
        <w:tblPrEx>
          <w:shd w:val="clear" w:color="auto" w:fill="auto"/>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一般公共预算财政拨款“三公”经费支出决算表</w:t>
            </w:r>
          </w:p>
        </w:tc>
      </w:tr>
      <w:tr>
        <w:tblPrEx>
          <w:shd w:val="clear" w:color="auto" w:fill="auto"/>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部门：河北雄安新区中级人民法院</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shd w:val="clear" w:color="auto" w:fill="auto"/>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shd w:val="clear" w:color="auto" w:fill="auto"/>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shd w:val="clear" w:color="auto" w:fill="auto"/>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eastAsia" w:ascii="宋体" w:hAnsi="宋体" w:eastAsia="宋体" w:cs="宋体"/>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br w:type="page"/>
      </w:r>
    </w:p>
    <w:tbl>
      <w:tblPr>
        <w:tblStyle w:val="7"/>
        <w:tblW w:w="9510" w:type="dxa"/>
        <w:jc w:val="center"/>
        <w:shd w:val="clear" w:color="auto" w:fill="auto"/>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shd w:val="clear" w:color="auto" w:fill="auto"/>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政府性基金预算财政拨款收入支出决算表</w:t>
            </w:r>
          </w:p>
        </w:tc>
      </w:tr>
      <w:tr>
        <w:tblPrEx>
          <w:shd w:val="clear" w:color="auto" w:fill="auto"/>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CellMar>
            <w:top w:w="0" w:type="dxa"/>
            <w:left w:w="0" w:type="dxa"/>
            <w:bottom w:w="0" w:type="dxa"/>
            <w:right w:w="0" w:type="dxa"/>
          </w:tblCellMar>
        </w:tblPrEx>
        <w:trPr>
          <w:trHeight w:val="255" w:hRule="atLeast"/>
          <w:jc w:val="center"/>
        </w:trPr>
        <w:tc>
          <w:tcPr>
            <w:tcW w:w="4910" w:type="dxa"/>
            <w:gridSpan w:val="6"/>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部门：河北雄安新区中级人民法院</w:t>
            </w: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default"/>
          <w:lang w:val="en-US" w:eastAsia="zh-CN"/>
        </w:rPr>
        <w:br w:type="page"/>
      </w:r>
    </w:p>
    <w:tbl>
      <w:tblPr>
        <w:tblStyle w:val="7"/>
        <w:tblW w:w="9915" w:type="dxa"/>
        <w:jc w:val="center"/>
        <w:shd w:val="clear" w:color="auto" w:fill="auto"/>
        <w:tblLayout w:type="fixed"/>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255" w:hRule="atLeast"/>
          <w:jc w:val="center"/>
        </w:trPr>
        <w:tc>
          <w:tcPr>
            <w:tcW w:w="5234" w:type="dxa"/>
            <w:gridSpan w:val="4"/>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部门：河北雄安新区中级人民法院</w:t>
            </w:r>
          </w:p>
        </w:tc>
        <w:tc>
          <w:tcPr>
            <w:tcW w:w="9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default"/>
          <w:lang w:val="en-US" w:eastAsia="zh-CN"/>
        </w:rPr>
        <w:br w:type="page"/>
      </w:r>
    </w:p>
    <w:p>
      <w:pPr>
        <w:bidi w:val="0"/>
        <w:jc w:val="both"/>
        <w:rPr>
          <w:rFonts w:hint="default"/>
          <w:lang w:val="en-US" w:eastAsia="zh-CN"/>
        </w:rPr>
      </w:pPr>
      <w:r>
        <w:rPr>
          <w:sz w:val="21"/>
        </w:rPr>
        <mc:AlternateContent>
          <mc:Choice Requires="wps">
            <w:drawing>
              <wp:anchor distT="0" distB="0" distL="114300" distR="114300" simplePos="0" relativeHeight="99414835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99414835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18" w:type="first"/>
      <w:headerReference r:id="rId17" w:type="default"/>
      <w:footerReference r:id="rId19" w:type="default"/>
      <w:pgSz w:w="11906" w:h="16838"/>
      <w:pgMar w:top="1701" w:right="1417" w:bottom="1281"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20B08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4002009F" w:csb1="DFD7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fill on="f" focussize="0,0"/>
              <v:stroke on="f" weight="0.5pt"/>
              <v:imagedata o:title=""/>
              <o:lock v:ext="edit" aspectratio="f"/>
              <v:textbox inset="0mm,0mm,0mm,0mm">
                <w:txbxContent>
                  <w:p>
                    <w:pPr>
                      <w:pStyle w:val="5"/>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fill on="f" focussize="0,0"/>
              <v:stroke on="f" weight="0.5pt"/>
              <v:imagedata o:title=""/>
              <o:lock v:ext="edit" aspectratio="f"/>
              <v:textbox inset="0mm,0mm,0mm,0mm">
                <w:txbxContent>
                  <w:p>
                    <w:pPr>
                      <w:pStyle w:val="5"/>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fill on="f" focussize="0,0"/>
              <v:stroke on="f" weight="0.5pt"/>
              <v:imagedata o:title=""/>
              <o:lock v:ext="edit" aspectratio="f"/>
              <v:textbox inset="0mm,0mm,0mm,0mm">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fill on="f" focussize="0,0"/>
              <v:stroke on="f" weight="0.5pt"/>
              <v:imagedata o:title=""/>
              <o:lock v:ext="edit" aspectratio="f"/>
              <v:textbox inset="0mm,0mm,0mm,0mm">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fill on="f" focussize="0,0"/>
              <v:stroke on="f" weight="0.5pt"/>
              <v:imagedata o:title=""/>
              <o:lock v:ext="edit" aspectratio="f"/>
              <v:textbox inset="0mm,0mm,0mm,0mm">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43.35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trackRevisions w:val="1"/>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2CE77B0"/>
    <w:rsid w:val="06C11668"/>
    <w:rsid w:val="29B654CC"/>
    <w:rsid w:val="2B217250"/>
    <w:rsid w:val="2CAF77FA"/>
    <w:rsid w:val="30194A1B"/>
    <w:rsid w:val="31C2036A"/>
    <w:rsid w:val="320D02A5"/>
    <w:rsid w:val="330B52A1"/>
    <w:rsid w:val="348E566F"/>
    <w:rsid w:val="3A226944"/>
    <w:rsid w:val="3AEE6A48"/>
    <w:rsid w:val="3C1620AA"/>
    <w:rsid w:val="3D8F080F"/>
    <w:rsid w:val="44CE1FA4"/>
    <w:rsid w:val="487F73ED"/>
    <w:rsid w:val="4A347EAE"/>
    <w:rsid w:val="52600405"/>
    <w:rsid w:val="529B4319"/>
    <w:rsid w:val="55570550"/>
    <w:rsid w:val="57773DD6"/>
    <w:rsid w:val="578B79AB"/>
    <w:rsid w:val="5CCD3FD5"/>
    <w:rsid w:val="61FA5F9D"/>
    <w:rsid w:val="64CD6910"/>
    <w:rsid w:val="6789158D"/>
    <w:rsid w:val="67D81BA4"/>
    <w:rsid w:val="6AAF1C96"/>
    <w:rsid w:val="736B2B63"/>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ody Text"/>
    <w:basedOn w:val="1"/>
    <w:unhideWhenUsed/>
    <w:qFormat/>
    <w:uiPriority w:val="99"/>
    <w:rPr>
      <w:rFonts w:ascii="仿宋_GB2312" w:hAnsi="仿宋_GB2312" w:eastAsia="仿宋_GB2312" w:cs="仿宋_GB2312"/>
      <w:sz w:val="32"/>
      <w:szCs w:val="32"/>
      <w:lang w:val="zh-CN" w:eastAsia="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heme="minorAscii" w:hAnsiTheme="minorAscii" w:eastAsiaTheme="minorEastAsia"/>
      <w:sz w:val="18"/>
      <w:szCs w:val="18"/>
    </w:rPr>
  </w:style>
  <w:style w:type="table" w:styleId="8">
    <w:name w:val="Table Grid"/>
    <w:qFormat/>
    <w:uiPriority w:val="1"/>
    <w:pPr>
      <w:spacing w:after="0" w:line="240" w:lineRule="auto"/>
    </w:pPr>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字符"/>
    <w:basedOn w:val="9"/>
    <w:link w:val="6"/>
    <w:qFormat/>
    <w:uiPriority w:val="99"/>
    <w:rPr>
      <w:rFonts w:asciiTheme="minorAscii" w:hAnsiTheme="minorAscii" w:eastAsiaTheme="minorEastAsia"/>
      <w:sz w:val="18"/>
      <w:szCs w:val="18"/>
    </w:rPr>
  </w:style>
  <w:style w:type="character" w:customStyle="1" w:styleId="11">
    <w:name w:val="页脚 字符"/>
    <w:basedOn w:val="9"/>
    <w:link w:val="5"/>
    <w:qFormat/>
    <w:uiPriority w:val="99"/>
    <w:rPr>
      <w:sz w:val="18"/>
      <w:szCs w:val="18"/>
    </w:rPr>
  </w:style>
  <w:style w:type="paragraph" w:customStyle="1" w:styleId="12">
    <w:name w:val="List Paragraph"/>
    <w:basedOn w:val="1"/>
    <w:qFormat/>
    <w:uiPriority w:val="1"/>
    <w:pPr>
      <w:spacing w:before="2"/>
      <w:ind w:left="119" w:right="434" w:firstLine="643"/>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2.bmp"/><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F299C-5D08-4D94-9343-26C73D8AA86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32</Pages>
  <Words>8183</Words>
  <Characters>9115</Characters>
  <Lines>1</Lines>
  <Paragraphs>1</Paragraphs>
  <TotalTime>5</TotalTime>
  <ScaleCrop>false</ScaleCrop>
  <LinksUpToDate>false</LinksUpToDate>
  <CharactersWithSpaces>9394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dell</cp:lastModifiedBy>
  <cp:lastPrinted>2020-08-31T02:38:00Z</cp:lastPrinted>
  <dcterms:modified xsi:type="dcterms:W3CDTF">2020-09-04T01:35:13Z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