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643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8" o:spid="_x0000_s1026" o:spt="3" type="#_x0000_t3" style="position:absolute;left:0pt;margin-left:53.5pt;margin-top:232.45pt;height:121.95pt;width:121.95pt;z-index:251663360;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slzntkAAAALAQAADwAAAAAAAAABACAAAAAiAAAAZHJzL2Rvd25yZXYueG1sUEsBAhQAFAAAAAgA&#10;h07iQDgk+0LrAQAAygMAAA4AAAAAAAAAAQAgAAAAKAEAAGRycy9lMm9Eb2MueG1sUEsFBgAAAAAG&#10;AAYAWQEAAIU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848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9" o:spid="_x0000_s1026" o:spt="3" type="#_x0000_t3" style="position:absolute;left:0pt;margin-left:62.2pt;margin-top:242.75pt;height:103.45pt;width:103.45pt;z-index:25166745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Chgu2AAAAAsBAAAPAAAAAAAAAAEAIAAAACIAAABkcnMvZG93bnJldi54&#10;bWxQSwECFAAUAAAACACHTuJAZazmW/oBAADWAwAADgAAAAAAAAABACAAAAAnAQAAZHJzL2Uyb0Rv&#10;Yy54bWxQSwUGAAAAAAYABgBZAQAAkwUAAAAA&#10;">
                <v:fill on="t" focussize="0,0"/>
                <v:stroke on="f" weight="1pt" miterlimit="8" joinstyle="miter"/>
                <v:imagedata o:title=""/>
                <o:lock v:ext="edit" aspectratio="f"/>
              </v:shape>
            </w:pict>
          </mc:Fallback>
        </mc:AlternateContent>
      </w:r>
      <w:r>
        <w:rPr>
          <w:sz w:val="21"/>
        </w:rPr>
        <mc:AlternateContent>
          <mc:Choice Requires="wpg">
            <w:drawing>
              <wp:anchor distT="0" distB="0" distL="114300" distR="114300" simplePos="0" relativeHeight="251664384"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4384;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5721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540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rPr>
          <w:rFonts w:hint="eastAsia" w:ascii="黑体" w:hAnsi="黑体" w:eastAsia="黑体" w:cs="黑体"/>
          <w:sz w:val="56"/>
          <w:szCs w:val="72"/>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河北省人民检察院雄安新区分院</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rtlGutter w:val="0"/>
          <w:docGrid w:type="lines" w:linePitch="312" w:charSpace="0"/>
        </w:sect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rtlGutter w:val="0"/>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155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1552;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4"/>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河北省人民检察院雄安新区分院的主要职责是：</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领导雄安新区检察工作，研究制定检察工作规划，部署检察工作任务。</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依照法律规定对由本院直接受理的刑事案件进行侦查。</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负责对雄安新区内重大刑事案件依法审查逮捕、提起公诉，领导下级人民检察院审查逮捕、提起公诉等工作。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雄安新区应由本院承办的刑事、民事、行政诉讼活动及刑事、民事、行政判决裁定等生效法律文书执行的法律监督工作，领导下级人民检察院对刑事、民事、行政诉讼活动及判决裁定等生效法律文书执行的法律监督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负责应由本院承办的提起公益诉讼工作，领导下级人民检察院公益诉讼工作。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负责办理核准追诉案件，依法报请上级人民检察院审查核准。</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负责应由本院承办的对看守所执法活动的法律监督工作，领导下级人民检察院开展对看守所执法活动的法律监督工作。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受理向本院的控告申诉，领导下级人民检察院控告申诉检察工作。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负责对下级人民检察院在行政检察权中作出的决定进行审查，纠正错误决定。</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组织对检察工作中法律政策具体应用问题进行研究；组织开展检察机关理论研究工作。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负责雄安新区检察机关检务保障工作，领导雄安新区检察机关技术、信息化建设工作。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 xml:space="preserve">负责雄安新区检察机关队伍建设和思想政治工作，管理检察官及其他检察人员；按照权限，管理和考核下级人民检察院领导班子及领导干部。 </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领导雄安新区检察机关检务督察、巡察等工作，加强检察机关党风廉政建设和反腐败工作。</w:t>
      </w:r>
    </w:p>
    <w:p>
      <w:pPr>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完成上级检察机关交办的其他事项；履行法律法规规定的其他职责。</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黑体" w:hAnsi="Calibri" w:eastAsia="黑体" w:cs="黑体"/>
          <w:b w:val="0"/>
          <w:bCs w:val="0"/>
          <w:kern w:val="0"/>
          <w:sz w:val="32"/>
          <w:szCs w:val="32"/>
          <w:lang w:val="en-US" w:eastAsia="zh-CN" w:bidi="ar-SA"/>
        </w:rPr>
      </w:pPr>
      <w:r>
        <w:rPr>
          <w:rFonts w:hint="eastAsia" w:ascii="黑体" w:hAnsi="Calibri" w:eastAsia="黑体" w:cs="黑体"/>
          <w:b w:val="0"/>
          <w:bCs w:val="0"/>
          <w:kern w:val="0"/>
          <w:sz w:val="32"/>
          <w:szCs w:val="32"/>
          <w:lang w:val="en-US" w:eastAsia="zh-CN" w:bidi="ar-SA"/>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2019</w:t>
      </w:r>
      <w:r>
        <w:rPr>
          <w:rFonts w:hint="eastAsia" w:ascii="仿宋_GB2312" w:hAnsi="Calibri" w:eastAsia="仿宋_GB2312" w:cs="ArialUnicodeMS"/>
          <w:kern w:val="0"/>
          <w:sz w:val="32"/>
          <w:szCs w:val="32"/>
        </w:rPr>
        <w:t xml:space="preserve">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w:t>
      </w:r>
      <w:r>
        <w:rPr>
          <w:rFonts w:hint="eastAsia" w:ascii="仿宋_GB2312" w:hAnsi="Calibri" w:eastAsia="仿宋_GB2312" w:cs="ArialUnicodeMS"/>
          <w:kern w:val="0"/>
          <w:sz w:val="32"/>
          <w:szCs w:val="32"/>
          <w:lang w:val="en-US" w:eastAsia="zh-CN"/>
        </w:rPr>
        <w:t>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4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44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5" w:type="dxa"/>
            <w:vAlign w:val="center"/>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485" w:type="dxa"/>
            <w:vAlign w:val="center"/>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河北省人民检察院雄安新区分院(本级)</w:t>
            </w:r>
          </w:p>
        </w:tc>
        <w:tc>
          <w:tcPr>
            <w:tcW w:w="2445" w:type="dxa"/>
            <w:vAlign w:val="center"/>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行政单位</w:t>
            </w:r>
          </w:p>
        </w:tc>
        <w:tc>
          <w:tcPr>
            <w:tcW w:w="2665" w:type="dxa"/>
            <w:vAlign w:val="center"/>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hint="default" w:ascii="仿宋_GB2312" w:hAnsi="Calibri" w:eastAsia="仿宋_GB2312" w:cs="ArialUnicodeMS"/>
                <w:kern w:val="0"/>
                <w:sz w:val="28"/>
                <w:szCs w:val="28"/>
                <w:vertAlign w:val="baseline"/>
                <w:lang w:val="en-US" w:eastAsia="zh-CN"/>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rtlGutter w:val="0"/>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headerReference r:id="rId14" w:type="default"/>
          <w:pgSz w:w="11906" w:h="16838"/>
          <w:pgMar w:top="2041" w:right="1531" w:bottom="2041" w:left="1531" w:header="851" w:footer="992" w:gutter="0"/>
          <w:pgNumType w:fmt="numberInDash"/>
          <w:cols w:space="0" w:num="1"/>
          <w:titlePg/>
          <w:rtlGutter w:val="0"/>
          <w:docGrid w:type="lines" w:linePitch="312" w:charSpace="0"/>
        </w:sectPr>
      </w:pPr>
      <w:r>
        <w:rPr>
          <w:sz w:val="72"/>
        </w:rPr>
        <mc:AlternateContent>
          <mc:Choice Requires="wps">
            <w:drawing>
              <wp:anchor distT="0" distB="0" distL="114300" distR="114300" simplePos="0" relativeHeight="2516736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36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sz w:val="72"/>
        </w:rPr>
        <mc:AlternateContent>
          <mc:Choice Requires="wps">
            <w:drawing>
              <wp:anchor distT="0" distB="0" distL="114300" distR="114300" simplePos="0" relativeHeight="25168588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588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一、收入</w:t>
      </w:r>
      <w:r>
        <w:rPr>
          <w:rFonts w:hint="eastAsia" w:ascii="黑体" w:hAnsi="Cambria" w:eastAsia="黑体" w:cs="黑体"/>
          <w:b w:val="0"/>
          <w:bCs w:val="0"/>
          <w:kern w:val="0"/>
          <w:sz w:val="32"/>
          <w:szCs w:val="32"/>
          <w:lang w:val="en-US" w:eastAsia="zh-CN" w:bidi="ar-SA"/>
        </w:rPr>
        <w:t>支出</w:t>
      </w:r>
      <w:r>
        <w:rPr>
          <w:rFonts w:hint="eastAsia" w:ascii="黑体" w:hAnsi="Calibri" w:eastAsia="黑体" w:cs="Times New Roman"/>
          <w:b w:val="0"/>
          <w:bCs w:val="0"/>
          <w:kern w:val="2"/>
          <w:sz w:val="32"/>
          <w:szCs w:val="32"/>
          <w:lang w:val="en-US" w:eastAsia="zh-CN" w:bidi="ar-SA"/>
        </w:rPr>
        <w:t>决算总体情况说明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成立于</w:t>
      </w:r>
      <w:r>
        <w:rPr>
          <w:rFonts w:hint="eastAsia" w:ascii="仿宋_GB2312" w:hAnsi="Times New Roman" w:eastAsia="仿宋_GB2312" w:cs="DengXian-Regular"/>
          <w:sz w:val="32"/>
          <w:szCs w:val="32"/>
          <w:lang w:val="en-US" w:eastAsia="zh-CN"/>
        </w:rPr>
        <w:t>2019年1月。</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收支总计（含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二、收入决算情况说明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黑体" w:hAnsi="Calibri" w:eastAsia="黑体" w:cs="Times New Roman"/>
          <w:b/>
          <w:bCs/>
          <w:kern w:val="2"/>
          <w:sz w:val="32"/>
          <w:szCs w:val="32"/>
          <w:lang w:val="en-US" w:eastAsia="zh-CN" w:bidi="ar-SA"/>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度本年收入合计</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三、支出决算情况说明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黑体" w:hAnsi="Calibri" w:eastAsia="黑体" w:cs="Times New Roman"/>
          <w:b/>
          <w:bCs/>
          <w:kern w:val="2"/>
          <w:sz w:val="32"/>
          <w:szCs w:val="32"/>
          <w:lang w:val="en-US" w:eastAsia="zh-CN" w:bidi="ar-SA"/>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度本年支出合计</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万元，其中：项目支出</w:t>
      </w:r>
      <w:r>
        <w:rPr>
          <w:rFonts w:hint="eastAsia" w:ascii="仿宋_GB2312" w:hAnsi="Times New Roman" w:eastAsia="仿宋_GB2312" w:cs="DengXian-Regular"/>
          <w:sz w:val="32"/>
          <w:szCs w:val="32"/>
          <w:lang w:val="en-US" w:eastAsia="zh-CN"/>
        </w:rPr>
        <w:t>426.59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楷体_GB2312" w:hAnsi="Times New Roman" w:eastAsia="楷体_GB2312" w:cs="DengXian-Bold"/>
          <w:b/>
          <w:bCs/>
          <w:sz w:val="32"/>
          <w:szCs w:val="32"/>
        </w:rPr>
      </w:pPr>
      <w:r>
        <w:rPr>
          <w:rFonts w:hint="eastAsia" w:ascii="黑体" w:hAnsi="Calibri" w:eastAsia="黑体" w:cs="Times New Roman"/>
          <w:b w:val="0"/>
          <w:bCs w:val="0"/>
          <w:kern w:val="2"/>
          <w:sz w:val="32"/>
          <w:szCs w:val="32"/>
          <w:lang w:val="en-US" w:eastAsia="zh-CN" w:bidi="ar-SA"/>
        </w:rPr>
        <w:t>四、</w:t>
      </w:r>
      <w:r>
        <w:rPr>
          <w:rFonts w:hint="eastAsia" w:ascii="黑体" w:hAnsi="Cambria" w:eastAsia="黑体" w:cs="黑体"/>
          <w:b w:val="0"/>
          <w:bCs w:val="0"/>
          <w:kern w:val="0"/>
          <w:sz w:val="32"/>
          <w:szCs w:val="32"/>
          <w:lang w:val="en-US" w:eastAsia="zh-CN" w:bidi="ar-SA"/>
        </w:rPr>
        <w:t>财政</w:t>
      </w:r>
      <w:r>
        <w:rPr>
          <w:rFonts w:hint="eastAsia" w:ascii="黑体" w:hAnsi="Calibri" w:eastAsia="黑体" w:cs="Times New Roman"/>
          <w:b w:val="0"/>
          <w:bCs w:val="0"/>
          <w:kern w:val="2"/>
          <w:sz w:val="32"/>
          <w:szCs w:val="32"/>
          <w:lang w:val="en-US" w:eastAsia="zh-CN" w:bidi="ar-SA"/>
        </w:rPr>
        <w:t>拨款收入支出决算总体情况说明</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仿宋_GB2312" w:hAnsi="Times New Roman" w:eastAsia="仿宋_GB2312" w:cs="DengXian-Regular"/>
          <w:sz w:val="32"/>
          <w:szCs w:val="32"/>
          <w:highlight w:val="yellow"/>
          <w:lang w:val="en-US" w:eastAsia="zh-CN"/>
        </w:rPr>
      </w:pPr>
      <w:r>
        <w:rPr>
          <w:rFonts w:hint="eastAsia" w:ascii="楷体_GB2312" w:hAnsi="Times New Roman" w:eastAsia="楷体_GB2312" w:cs="DengXian-Bold"/>
          <w:b/>
          <w:bCs/>
          <w:sz w:val="32"/>
          <w:szCs w:val="32"/>
        </w:rPr>
        <w:t>（</w:t>
      </w:r>
      <w:r>
        <w:rPr>
          <w:rFonts w:hint="eastAsia" w:ascii="楷体_GB2312" w:hAnsi="Times New Roman" w:eastAsia="楷体_GB2312" w:cs="DengXian-Bold"/>
          <w:b/>
          <w:bCs/>
          <w:sz w:val="32"/>
          <w:szCs w:val="32"/>
          <w:lang w:eastAsia="zh-CN"/>
        </w:rPr>
        <w:t>一</w:t>
      </w:r>
      <w:r>
        <w:rPr>
          <w:rFonts w:hint="eastAsia" w:ascii="楷体_GB2312" w:hAnsi="Times New Roman" w:eastAsia="楷体_GB2312" w:cs="DengXian-Bold"/>
          <w:b/>
          <w:bCs/>
          <w:sz w:val="32"/>
          <w:szCs w:val="32"/>
        </w:rPr>
        <w:t>）财政拨款收支与</w:t>
      </w:r>
      <w:r>
        <w:rPr>
          <w:rFonts w:hint="eastAsia" w:ascii="楷体_GB2312" w:hAnsi="Times New Roman" w:eastAsia="楷体_GB2312" w:cs="DengXian-Bold"/>
          <w:b/>
          <w:bCs/>
          <w:sz w:val="32"/>
          <w:szCs w:val="32"/>
          <w:lang w:val="en-US" w:eastAsia="zh-CN"/>
        </w:rPr>
        <w:t>2018年度决算</w:t>
      </w:r>
      <w:r>
        <w:rPr>
          <w:rFonts w:hint="eastAsia" w:ascii="楷体_GB2312" w:hAnsi="Times New Roman" w:eastAsia="楷体_GB2312" w:cs="DengXian-Bold"/>
          <w:b/>
          <w:bCs/>
          <w:sz w:val="32"/>
          <w:szCs w:val="32"/>
        </w:rPr>
        <w:t>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sz w:val="32"/>
          <w:szCs w:val="32"/>
          <w:lang w:val="en-US" w:eastAsia="zh-CN"/>
        </w:rPr>
        <w:t>2019年度形成的财政拨款收支均为一般公共预算财政拨款，其中本年收入426.59万元，本年支出426.59万元。本部门成立于2019年1月，无法与2018年度决算对比。</w:t>
      </w:r>
    </w:p>
    <w:p>
      <w:pPr>
        <w:pageBreakBefore w:val="0"/>
        <w:widowControl w:val="0"/>
        <w:numPr>
          <w:ilvl w:val="0"/>
          <w:numId w:val="2"/>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财政拨款收支与年初预算数对比情况</w:t>
      </w:r>
    </w:p>
    <w:p>
      <w:pPr>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一般公共预算</w:t>
      </w:r>
      <w:r>
        <w:rPr>
          <w:rFonts w:hint="eastAsia" w:ascii="仿宋_GB2312" w:hAnsi="Times New Roman" w:eastAsia="仿宋_GB2312" w:cs="DengXian-Regular"/>
          <w:sz w:val="32"/>
          <w:szCs w:val="32"/>
        </w:rPr>
        <w:t>财政拨款收入</w:t>
      </w:r>
      <w:r>
        <w:rPr>
          <w:rFonts w:hint="eastAsia" w:ascii="仿宋_GB2312" w:hAnsi="Times New Roman" w:eastAsia="仿宋_GB2312" w:cs="DengXian-Regular"/>
          <w:sz w:val="32"/>
          <w:szCs w:val="32"/>
          <w:lang w:val="en-US" w:eastAsia="zh-CN"/>
        </w:rPr>
        <w:t>426.59万元，完成预算的96.95%,比预算减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13.41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节约资金年底财政收回统筹安排</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426.59万元，完成预算的96.95%,比预算减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13.41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采购资产节约资金</w:t>
      </w:r>
      <w:r>
        <w:rPr>
          <w:rFonts w:hint="eastAsia" w:ascii="仿宋_GB2312" w:hAnsi="Times New Roman" w:eastAsia="仿宋_GB2312" w:cs="DengXian-Regular"/>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 xml:space="preserve">    （三）财政拨款支出决算结构情况。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2019 年度财政拨款支出426.59万元，全部用于公共安全类（类）支出426.59万元，占100%。</w:t>
      </w:r>
    </w:p>
    <w:p>
      <w:pPr>
        <w:pageBreakBefore w:val="0"/>
        <w:widowControl w:val="0"/>
        <w:numPr>
          <w:ilvl w:val="0"/>
          <w:numId w:val="3"/>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一般公共预算基本支出决算情况说明</w:t>
      </w:r>
    </w:p>
    <w:p>
      <w:pPr>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 xml:space="preserve">    </w:t>
      </w:r>
      <w:r>
        <w:rPr>
          <w:rFonts w:hint="eastAsia" w:ascii="仿宋_GB2312" w:hAnsi="Times New Roman" w:eastAsia="仿宋_GB2312" w:cs="DengXian-Regular"/>
          <w:sz w:val="32"/>
          <w:szCs w:val="32"/>
          <w:lang w:val="en-US" w:eastAsia="zh-CN"/>
        </w:rPr>
        <w:t>本部门2019年度无一般公共预算基本支出。</w:t>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1"/>
        <w:rPr>
          <w:rFonts w:hint="eastAsia" w:ascii="仿宋_GB2312" w:hAnsi="Times New Roman" w:eastAsia="仿宋_GB2312" w:cs="DengXian-Regular"/>
          <w:b w:val="0"/>
          <w:bCs w:val="0"/>
          <w:kern w:val="2"/>
          <w:sz w:val="32"/>
          <w:szCs w:val="32"/>
          <w:highlight w:val="yellow"/>
          <w:lang w:val="en-US" w:eastAsia="zh-CN" w:bidi="ar-SA"/>
        </w:rPr>
      </w:pPr>
      <w:r>
        <w:rPr>
          <w:rFonts w:hint="eastAsia" w:ascii="黑体" w:hAnsi="Calibri" w:eastAsia="黑体" w:cs="Times New Roman"/>
          <w:b w:val="0"/>
          <w:bCs w:val="0"/>
          <w:kern w:val="2"/>
          <w:sz w:val="32"/>
          <w:szCs w:val="32"/>
          <w:lang w:val="en-US" w:eastAsia="zh-CN" w:bidi="ar-SA"/>
        </w:rPr>
        <w:t>五、一般公共预算“三公” 经费支出决算情况说明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度“三公”经费支出共计</w:t>
      </w:r>
      <w:r>
        <w:rPr>
          <w:rFonts w:hint="eastAsia" w:ascii="仿宋_GB2312" w:hAnsi="Times New Roman" w:eastAsia="仿宋_GB2312" w:cs="DengXian-Regular"/>
          <w:sz w:val="32"/>
          <w:szCs w:val="32"/>
          <w:lang w:val="en-US" w:eastAsia="zh-CN"/>
        </w:rPr>
        <w:t>141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完成预算的</w:t>
      </w:r>
      <w:r>
        <w:rPr>
          <w:rFonts w:hint="eastAsia" w:ascii="仿宋_GB2312" w:hAnsi="Times New Roman" w:eastAsia="仿宋_GB2312" w:cs="DengXian-Regular"/>
          <w:sz w:val="32"/>
          <w:szCs w:val="32"/>
          <w:lang w:val="en-US" w:eastAsia="zh-CN"/>
        </w:rPr>
        <w:t>92.76%,较预算减少11万元，降低7.24%，主要是厉行节约，大力压减三公经费。本部门成立于2019年，无法与上年决算数对比，</w:t>
      </w:r>
      <w:r>
        <w:rPr>
          <w:rFonts w:hint="eastAsia" w:ascii="仿宋_GB2312" w:hAnsi="Times New Roman" w:eastAsia="仿宋_GB2312" w:cs="DengXian-Regular"/>
          <w:sz w:val="32"/>
          <w:szCs w:val="32"/>
        </w:rPr>
        <w:t>具体情况如下：</w:t>
      </w:r>
    </w:p>
    <w:p>
      <w:pPr>
        <w:pageBreakBefore w:val="0"/>
        <w:widowControl w:val="0"/>
        <w:numPr>
          <w:ilvl w:val="0"/>
          <w:numId w:val="4"/>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sz w:val="32"/>
          <w:szCs w:val="32"/>
          <w:lang w:val="en-US" w:eastAsia="zh-CN"/>
        </w:rPr>
        <w:t>2019年度未发生此类支出，较预算持平，本部门成立于2019年，无法与上年决算数对比。</w:t>
      </w:r>
    </w:p>
    <w:p>
      <w:pPr>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2"/>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141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sz w:val="32"/>
          <w:szCs w:val="32"/>
          <w:lang w:val="en-US" w:eastAsia="zh-CN"/>
        </w:rPr>
        <w:t>2019年度公务用车购置及运行维护费较预算减少11万元，降低7.24%，主要是厉行节约，大力压减三公经费。本部门成立于2019年，无法与上年决算数对比。</w:t>
      </w:r>
      <w:r>
        <w:rPr>
          <w:rFonts w:hint="eastAsia" w:ascii="仿宋_GB2312" w:hAnsi="Times New Roman" w:eastAsia="仿宋_GB2312" w:cs="DengXian-Bold"/>
          <w:b/>
          <w:bCs/>
          <w:sz w:val="32"/>
          <w:szCs w:val="32"/>
        </w:rPr>
        <w:t>其中：</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度公务用车购置量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132.18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公务用车购置较预算减少</w:t>
      </w:r>
      <w:r>
        <w:rPr>
          <w:rFonts w:hint="eastAsia" w:ascii="仿宋_GB2312" w:hAnsi="Times New Roman" w:eastAsia="仿宋_GB2312" w:cs="DengXian-Regular"/>
          <w:sz w:val="32"/>
          <w:szCs w:val="32"/>
          <w:lang w:val="en-US" w:eastAsia="zh-CN"/>
        </w:rPr>
        <w:t>7.82万元，降低5.59%，主要是厉行节约，大力压减三公经费。本部门成立于2019年，无法与上年决算数对比。</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度单位公务用车保有量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,发生“公务用车运行维护费”8.82万元。较预算减少3.18万元，减低26.5%，主要是厉行节约，大力压减三公经费。本部门成立于2019年，无法与上年决算数对比。</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未发生此类支出。公务接待费较预算持平。本部门成立于</w:t>
      </w:r>
      <w:r>
        <w:rPr>
          <w:rFonts w:hint="eastAsia" w:ascii="仿宋_GB2312" w:hAnsi="Times New Roman" w:eastAsia="仿宋_GB2312" w:cs="DengXian-Regular"/>
          <w:sz w:val="32"/>
          <w:szCs w:val="32"/>
          <w:lang w:val="en-US" w:eastAsia="zh-CN"/>
        </w:rPr>
        <w:t>2019年，无法与上年决算数对比。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Times New Roman" w:eastAsia="黑体" w:cs="Times New Roman"/>
          <w:b w:val="0"/>
          <w:bCs w:val="0"/>
          <w:sz w:val="32"/>
          <w:szCs w:val="40"/>
        </w:rPr>
      </w:pPr>
      <w:r>
        <w:rPr>
          <w:rFonts w:hint="eastAsia" w:ascii="黑体" w:hAnsi="Times New Roman" w:eastAsia="黑体" w:cs="Times New Roman"/>
          <w:b w:val="0"/>
          <w:bCs w:val="0"/>
          <w:sz w:val="32"/>
          <w:szCs w:val="40"/>
        </w:rPr>
        <w:t>六、预算绩效情况说明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 预算绩效管理工作开展情况。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预算绩效管理要求，本部门组织对2019年度一般公共预算项目支出全面开展绩效自评，其中，一级项目2个，共涉及资金440万元，占一般公共预算项目支出总额的100%。组织对“综合业务办案费”“车辆购置经费”2个项目开展了部门评价，涉及一般公共预算支出440万元。从评价情况来看，项目经费的使用提高了新区检察机关法律监督能力和办案质量，为执法办案提供了有力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321" w:firstLineChars="1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 部门决算中项目绩效自评结果。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本部门在今年部门决算公开中反映综合业务办案费项目及 车辆购置经费项目绩效自评结果。</w:t>
      </w:r>
    </w:p>
    <w:p>
      <w:pPr>
        <w:keepNext w:val="0"/>
        <w:keepLines w:val="0"/>
        <w:pageBreakBefore w:val="0"/>
        <w:widowControl w:val="0"/>
        <w:numPr>
          <w:ilvl w:val="0"/>
          <w:numId w:val="5"/>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综合业务办案费项目自评综述：根据设定的绩效目标，综合办案业务费项目绩效自评得分为99.81分（绩效自评表附后）。全年预算数为300万元，执行数为294.41万元，完成预算的98.13%。项目绩效目标完成情况：一是按照高检院、省院及新区管委会要求确定了阶段性工作重点和措施，部署检察工作任务；二是对下级院的业务工作进行指导；三是参与社会管理综合治理工作；四是开展公益诉讼工作；五是开展法律政策研究和宣传工作。发现的主要问题及原因：我院为2019年新建单位，项目经费为追加经费，综合办案费绩效指标有待进一步完善。下一步改进措施：根据2019年项目执行情况，细化以后年度业务费绩效指标，运用信息化手段用全过程绩效管理确保经费产出效益和效果。</w:t>
      </w:r>
    </w:p>
    <w:p>
      <w:pPr>
        <w:keepNext w:val="0"/>
        <w:keepLines w:val="0"/>
        <w:pageBreakBefore w:val="0"/>
        <w:widowControl w:val="0"/>
        <w:numPr>
          <w:ilvl w:val="0"/>
          <w:numId w:val="5"/>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车辆购置经费项目自评综述：根据设定的绩效目标，综合办案业务费项目绩效自评得分为99.44分（绩效自评表附后）。全年预算数为140万元，执行数为132.18万元，完成预算的94.41%。项目绩效目标完成情况：根据办公办案需求和财政部门关于车辆编制的批复，充分进行前期市场调研，规范执行政府采购手续，按要求按时完成车辆采购和改装任务。发现的主要问题及原因：我院为2019年新建单位，对于项目经费绩效指标有待进一步细化。下一步改进措施：进一步细化采购类项目的绩效指标，对项目经费实行全过程绩效管理，重点关注采购资产后续保障工作和实际使用效果。</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七、其他重要事项的说明</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（一）机关运行经费情况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度机关运行经费支出</w:t>
      </w:r>
      <w:r>
        <w:rPr>
          <w:rFonts w:hint="eastAsia" w:ascii="仿宋_GB2312" w:hAnsi="Times New Roman" w:eastAsia="仿宋_GB2312" w:cs="DengXian-Regular"/>
          <w:sz w:val="32"/>
          <w:szCs w:val="32"/>
          <w:lang w:eastAsia="zh-CN"/>
        </w:rPr>
        <w:t>由省财政厅予以保障，已包含在河北省人民检察院公开的部门决算中。</w:t>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（二）政府采购情况</w:t>
      </w:r>
    </w:p>
    <w:p>
      <w:pPr>
        <w:keepNext w:val="0"/>
        <w:keepLines w:val="0"/>
        <w:pageBreakBefore w:val="0"/>
        <w:widowControl w:val="0"/>
        <w:suppressLineNumbers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度政府采购支出总额</w:t>
      </w:r>
      <w:r>
        <w:rPr>
          <w:rFonts w:hint="eastAsia" w:ascii="仿宋_GB2312" w:hAnsi="Times New Roman" w:eastAsia="仿宋_GB2312" w:cs="DengXian-Regular"/>
          <w:sz w:val="32"/>
          <w:szCs w:val="32"/>
          <w:lang w:val="en-US" w:eastAsia="zh-CN"/>
        </w:rPr>
        <w:t>272.80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从采购类型来看，</w:t>
      </w:r>
      <w:r>
        <w:rPr>
          <w:rFonts w:ascii="仿宋_GB2312" w:hAnsi="仿宋_GB2312" w:eastAsia="仿宋_GB2312" w:cs="仿宋_GB2312"/>
          <w:color w:val="000000"/>
          <w:kern w:val="0"/>
          <w:sz w:val="32"/>
          <w:szCs w:val="32"/>
          <w:lang w:val="en-US" w:eastAsia="zh-CN" w:bidi="ar"/>
        </w:rPr>
        <w:t>政府采购货物支出</w:t>
      </w:r>
      <w:r>
        <w:rPr>
          <w:rFonts w:hint="eastAsia" w:ascii="仿宋_GB2312" w:hAnsi="仿宋_GB2312" w:eastAsia="仿宋_GB2312" w:cs="仿宋_GB2312"/>
          <w:color w:val="000000"/>
          <w:kern w:val="0"/>
          <w:sz w:val="32"/>
          <w:szCs w:val="32"/>
          <w:lang w:val="en-US" w:eastAsia="zh-CN" w:bidi="ar"/>
        </w:rPr>
        <w:t>197.36</w:t>
      </w:r>
      <w:r>
        <w:rPr>
          <w:rFonts w:ascii="仿宋_GB2312" w:hAnsi="仿宋_GB2312" w:eastAsia="仿宋_GB2312" w:cs="仿宋_GB2312"/>
          <w:color w:val="000000"/>
          <w:kern w:val="0"/>
          <w:sz w:val="32"/>
          <w:szCs w:val="32"/>
          <w:lang w:val="en-US" w:eastAsia="zh-CN"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万元、政府采购服务支出</w:t>
      </w:r>
      <w:r>
        <w:rPr>
          <w:rFonts w:hint="eastAsia" w:ascii="仿宋_GB2312" w:hAnsi="仿宋_GB2312" w:eastAsia="仿宋_GB2312" w:cs="仿宋_GB2312"/>
          <w:color w:val="000000"/>
          <w:kern w:val="0"/>
          <w:sz w:val="32"/>
          <w:szCs w:val="32"/>
          <w:lang w:val="en-US" w:eastAsia="zh-CN" w:bidi="ar"/>
        </w:rPr>
        <w:t>75.44</w:t>
      </w:r>
      <w:r>
        <w:rPr>
          <w:rFonts w:ascii="仿宋_GB2312" w:hAnsi="仿宋_GB2312" w:eastAsia="仿宋_GB2312" w:cs="仿宋_GB2312"/>
          <w:color w:val="000000"/>
          <w:kern w:val="0"/>
          <w:sz w:val="32"/>
          <w:szCs w:val="32"/>
          <w:lang w:val="en-US" w:eastAsia="zh-CN"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（三）国有资产占用情况</w:t>
      </w: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1"/>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截至2019年12月31日，本部门共有车辆5辆，全部为2019年新购置。比2018年增加5辆，主要原因是我部门为2019年新成立。其中：机要通信用车1辆，执法执勤用车2辆，特种专业技术用车2辆；</w:t>
      </w:r>
    </w:p>
    <w:p>
      <w:pPr>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楷体_GB2312" w:hAnsi="Times New Roman" w:eastAsia="楷体_GB2312" w:cs="DengXian-Bold"/>
          <w:b/>
          <w:bCs/>
          <w:kern w:val="2"/>
          <w:sz w:val="32"/>
          <w:szCs w:val="32"/>
          <w:lang w:val="en-US" w:eastAsia="zh-CN" w:bidi="ar-SA"/>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通用</w:t>
      </w:r>
      <w:r>
        <w:rPr>
          <w:rFonts w:hint="eastAsia" w:ascii="仿宋_GB2312" w:hAnsi="Times New Roman" w:eastAsia="仿宋_GB2312" w:cs="DengXian-Regular"/>
          <w:sz w:val="32"/>
          <w:szCs w:val="32"/>
        </w:rPr>
        <w:t>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单位价值</w:t>
      </w:r>
      <w:r>
        <w:rPr>
          <w:rFonts w:hint="eastAsia" w:ascii="仿宋_GB2312" w:hAnsi="Times New Roman" w:eastAsia="仿宋_GB2312" w:cs="DengXian-Regular"/>
          <w:sz w:val="32"/>
          <w:szCs w:val="32"/>
          <w:lang w:val="en-US" w:eastAsia="zh-CN"/>
        </w:rPr>
        <w:t>10</w:t>
      </w:r>
      <w:r>
        <w:rPr>
          <w:rFonts w:hint="eastAsia" w:ascii="仿宋_GB2312" w:hAnsi="TimesNewRomanPSMT" w:eastAsia="仿宋_GB2312" w:cs="TimesNewRomanPSMT"/>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以上专用设备</w:t>
      </w:r>
      <w:r>
        <w:rPr>
          <w:rFonts w:hint="eastAsia" w:ascii="仿宋_GB2312" w:hAnsi="Times New Roman" w:eastAsia="仿宋_GB2312" w:cs="DengXian-Regular"/>
          <w:sz w:val="32"/>
          <w:szCs w:val="32"/>
          <w:lang w:val="en-US" w:eastAsia="zh-CN"/>
        </w:rPr>
        <w:t>0台（套）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本部门成立于2019年，无法与上年决算数对比。</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（四）其他需要说明的情况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基本支出由省级财政予以保障</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2019年度无政府性基金预算收入和支出，2019年度无国有资本经营预算收入和支出，故06表、08表、09表以空表列示。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rtlGutter w:val="0"/>
          <w:docGrid w:type="lines" w:linePitch="312" w:charSpace="0"/>
        </w:sect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sectPr>
          <w:type w:val="continuous"/>
          <w:pgSz w:w="11906" w:h="16838"/>
          <w:pgMar w:top="2041" w:right="1531" w:bottom="2041" w:left="1531" w:header="851" w:footer="992" w:gutter="0"/>
          <w:pgNumType w:fmt="numberInDash"/>
          <w:cols w:space="0" w:num="1"/>
          <w:titlePg/>
          <w:rtlGutter w:val="0"/>
          <w:docGrid w:type="lines" w:linePitch="312" w:charSpace="0"/>
        </w:sectPr>
      </w:pPr>
    </w:p>
    <w:p>
      <w:pP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sz w:val="72"/>
        </w:rPr>
      </w:pPr>
      <w:r>
        <w:rPr>
          <w:sz w:val="72"/>
        </w:rPr>
        <mc:AlternateContent>
          <mc:Choice Requires="wps">
            <w:drawing>
              <wp:anchor distT="0" distB="0" distL="114300" distR="114300" simplePos="0" relativeHeight="25168691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691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4"/>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86"/>
        </w:tabs>
        <w:bidi w:val="0"/>
        <w:jc w:val="left"/>
        <w:rPr>
          <w:rFonts w:hint="eastAsia"/>
          <w:lang w:val="en-US" w:eastAsia="zh-CN"/>
        </w:rPr>
        <w:sectPr>
          <w:headerReference r:id="rId16" w:type="first"/>
          <w:footerReference r:id="rId18" w:type="first"/>
          <w:headerReference r:id="rId15" w:type="default"/>
          <w:footerReference r:id="rId17" w:type="default"/>
          <w:pgSz w:w="11906" w:h="16838"/>
          <w:pgMar w:top="2041" w:right="1531" w:bottom="2041" w:left="1531" w:header="851" w:footer="992" w:gutter="0"/>
          <w:pgNumType w:fmt="numberInDash"/>
          <w:cols w:space="0" w:num="1"/>
          <w:titlePg/>
          <w:rtlGutter w:val="0"/>
          <w:docGrid w:type="lines" w:linePitch="312" w:charSpace="0"/>
        </w:sectPr>
      </w:pPr>
    </w:p>
    <w:p>
      <w:pPr>
        <w:rPr>
          <w:rFonts w:hint="eastAsia"/>
          <w:lang w:val="en-US" w:eastAsia="zh-CN"/>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hint="eastAsia" w:ascii="仿宋_GB2312" w:hAnsi="宋体" w:eastAsia="仿宋_GB2312" w:cs="Times New Roman"/>
          <w:b/>
          <w:bCs/>
          <w:color w:val="000000"/>
          <w:kern w:val="0"/>
          <w:sz w:val="32"/>
          <w:szCs w:val="32"/>
        </w:rPr>
      </w:pP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bidi w:val="0"/>
        <w:ind w:firstLine="643" w:firstLineChars="200"/>
        <w:jc w:val="left"/>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bCs/>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headerReference r:id="rId1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bidi w:val="0"/>
        <w:jc w:val="left"/>
        <w:rPr>
          <w:rFonts w:hint="eastAsia"/>
          <w:lang w:val="en-US" w:eastAsia="zh-CN"/>
        </w:rPr>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60288"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251660288;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v:fill type="pattern" on="t" color2="#FFFFFF [3212]" o:title="5%"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bidi w:val="0"/>
        <w:jc w:val="left"/>
        <w:rPr>
          <w:rFonts w:hint="default"/>
          <w:lang w:val="en-US" w:eastAsia="zh-CN"/>
        </w:rPr>
      </w:pPr>
    </w:p>
    <w:p>
      <w:pPr>
        <w:bidi w:val="0"/>
        <w:jc w:val="left"/>
        <w:rPr>
          <w:rFonts w:hint="default"/>
          <w:lang w:val="en-US" w:eastAsia="zh-CN"/>
        </w:rPr>
      </w:pPr>
    </w:p>
    <w:tbl>
      <w:tblPr>
        <w:tblStyle w:val="8"/>
        <w:tblpPr w:leftFromText="180" w:rightFromText="180" w:vertAnchor="text" w:horzAnchor="page" w:tblpXSpec="center" w:tblpY="31"/>
        <w:tblOverlap w:val="never"/>
        <w:tblW w:w="9517" w:type="dxa"/>
        <w:jc w:val="center"/>
        <w:shd w:val="clear" w:color="auto" w:fill="auto"/>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rPr>
          <w:trHeight w:val="421" w:hRule="atLeast"/>
          <w:jc w:val="center"/>
        </w:trPr>
        <w:tc>
          <w:tcPr>
            <w:tcW w:w="3967" w:type="dxa"/>
            <w:gridSpan w:val="2"/>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426.59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tbl>
      <w:tblPr>
        <w:tblStyle w:val="8"/>
        <w:tblW w:w="9580" w:type="dxa"/>
        <w:jc w:val="center"/>
        <w:shd w:val="clear" w:color="auto" w:fill="auto"/>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center"/>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57" w:hRule="atLeast"/>
          <w:jc w:val="center"/>
        </w:trPr>
        <w:tc>
          <w:tcPr>
            <w:tcW w:w="3579"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公共安全支出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检察</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2040499</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其他检察支出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bidi w:val="0"/>
        <w:jc w:val="left"/>
        <w:rPr>
          <w:rFonts w:hint="default"/>
          <w:lang w:val="en-US" w:eastAsia="zh-CN"/>
        </w:rPr>
      </w:pPr>
    </w:p>
    <w:p>
      <w:pPr>
        <w:rPr>
          <w:rFonts w:hint="default"/>
          <w:lang w:val="en-US" w:eastAsia="zh-CN"/>
        </w:rPr>
      </w:pPr>
      <w:r>
        <w:rPr>
          <w:rFonts w:hint="default"/>
          <w:lang w:val="en-US" w:eastAsia="zh-CN"/>
        </w:rPr>
        <w:br w:type="page"/>
      </w:r>
    </w:p>
    <w:tbl>
      <w:tblPr>
        <w:tblStyle w:val="8"/>
        <w:tblW w:w="9680" w:type="dxa"/>
        <w:jc w:val="center"/>
        <w:shd w:val="clear" w:color="auto" w:fill="auto"/>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1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13" w:hRule="atLeast"/>
          <w:jc w:val="center"/>
        </w:trPr>
        <w:tc>
          <w:tcPr>
            <w:tcW w:w="4786" w:type="dxa"/>
            <w:gridSpan w:val="6"/>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公共安全支出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检察</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其他检察支出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default"/>
          <w:lang w:val="en-US" w:eastAsia="zh-CN"/>
        </w:rPr>
      </w:pPr>
      <w:r>
        <w:rPr>
          <w:rFonts w:hint="default"/>
          <w:lang w:val="en-US" w:eastAsia="zh-CN"/>
        </w:rPr>
        <w:br w:type="page"/>
      </w:r>
    </w:p>
    <w:tbl>
      <w:tblPr>
        <w:tblStyle w:val="8"/>
        <w:tblW w:w="9520" w:type="dxa"/>
        <w:jc w:val="center"/>
        <w:shd w:val="clear" w:color="auto" w:fill="auto"/>
        <w:tblLayout w:type="fixed"/>
        <w:tblCellMar>
          <w:top w:w="0" w:type="dxa"/>
          <w:left w:w="0" w:type="dxa"/>
          <w:bottom w:w="0" w:type="dxa"/>
          <w:right w:w="0" w:type="dxa"/>
        </w:tblCellMar>
      </w:tblPr>
      <w:tblGrid>
        <w:gridCol w:w="2922"/>
        <w:gridCol w:w="425"/>
        <w:gridCol w:w="814"/>
        <w:gridCol w:w="2794"/>
        <w:gridCol w:w="507"/>
        <w:gridCol w:w="749"/>
        <w:gridCol w:w="705"/>
        <w:gridCol w:w="604"/>
      </w:tblGrid>
      <w:tr>
        <w:tblPrEx>
          <w:shd w:val="clear" w:color="auto" w:fill="auto"/>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79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90" w:hRule="atLeast"/>
          <w:jc w:val="center"/>
        </w:trPr>
        <w:tc>
          <w:tcPr>
            <w:tcW w:w="4161"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279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0" w:hRule="atLeast"/>
          <w:jc w:val="center"/>
        </w:trPr>
        <w:tc>
          <w:tcPr>
            <w:tcW w:w="41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359"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79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6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9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9"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十八、自然资源海洋气象等支出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426.59</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1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4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9520" w:type="dxa"/>
            <w:gridSpan w:val="8"/>
            <w:tcBorders>
              <w:top w:val="single" w:color="auto" w:sz="4" w:space="0"/>
              <w:left w:val="nil"/>
              <w:bottom w:val="nil"/>
              <w:right w:val="nil"/>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0"/>
                <w:szCs w:val="20"/>
                <w:u w:val="none"/>
                <w:lang w:val="en-US" w:eastAsia="zh-CN"/>
              </w:rPr>
              <w:t>注：本表反映部门本年度一般公共预算财政拨款和政府性基金预算财政拨款的总收支和年末结转结余情况。</w:t>
            </w:r>
          </w:p>
        </w:tc>
      </w:tr>
      <w:tr>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tbl>
            <w:tblPr>
              <w:tblStyle w:val="8"/>
              <w:tblpPr w:leftFromText="180" w:rightFromText="180" w:vertAnchor="text" w:horzAnchor="page" w:tblpX="-73" w:tblpY="-16"/>
              <w:tblOverlap w:val="never"/>
              <w:tblW w:w="9990" w:type="dxa"/>
              <w:tblInd w:w="0" w:type="dxa"/>
              <w:shd w:val="clear" w:color="auto" w:fill="auto"/>
              <w:tblLayout w:type="fixed"/>
              <w:tblCellMar>
                <w:top w:w="0" w:type="dxa"/>
                <w:left w:w="0" w:type="dxa"/>
                <w:bottom w:w="0" w:type="dxa"/>
                <w:right w:w="0" w:type="dxa"/>
              </w:tblCellMar>
            </w:tblPr>
            <w:tblGrid>
              <w:gridCol w:w="1174"/>
              <w:gridCol w:w="67"/>
              <w:gridCol w:w="67"/>
              <w:gridCol w:w="1695"/>
              <w:gridCol w:w="2329"/>
              <w:gridCol w:w="2329"/>
              <w:gridCol w:w="2329"/>
            </w:tblGrid>
            <w:tr>
              <w:tblPrEx>
                <w:shd w:val="clear" w:color="auto" w:fill="auto"/>
              </w:tblPrEx>
              <w:trPr>
                <w:trHeight w:val="600" w:hRule="atLeast"/>
              </w:trPr>
              <w:tc>
                <w:tcPr>
                  <w:tcW w:w="999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174"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公开05表05表</w:t>
                  </w:r>
                </w:p>
              </w:tc>
            </w:tr>
            <w:tr>
              <w:tblPrEx>
                <w:shd w:val="clear" w:color="auto" w:fill="auto"/>
                <w:tblCellMar>
                  <w:top w:w="0" w:type="dxa"/>
                  <w:left w:w="0" w:type="dxa"/>
                  <w:bottom w:w="0" w:type="dxa"/>
                  <w:right w:w="0" w:type="dxa"/>
                </w:tblCellMar>
              </w:tblPrEx>
              <w:trPr>
                <w:trHeight w:val="255" w:hRule="atLeast"/>
              </w:trPr>
              <w:tc>
                <w:tcPr>
                  <w:tcW w:w="5332"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tblCellMar>
                  <w:top w:w="0" w:type="dxa"/>
                  <w:left w:w="0" w:type="dxa"/>
                  <w:bottom w:w="0" w:type="dxa"/>
                  <w:right w:w="0" w:type="dxa"/>
                </w:tblCellMar>
              </w:tblPrEx>
              <w:trPr>
                <w:trHeight w:val="308" w:hRule="atLeast"/>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6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200"/>
                    </w:tabs>
                    <w:jc w:val="left"/>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val="en-US" w:eastAsia="zh-CN"/>
                    </w:rPr>
                    <w:t xml:space="preserve">     </w:t>
                  </w:r>
                  <w:r>
                    <w:rPr>
                      <w:rFonts w:hint="eastAsia" w:ascii="宋体" w:hAnsi="宋体" w:eastAsia="宋体" w:cs="宋体"/>
                      <w:b/>
                      <w:i w:val="0"/>
                      <w:color w:val="000000"/>
                      <w:sz w:val="22"/>
                      <w:szCs w:val="22"/>
                      <w:u w:val="none"/>
                      <w:lang w:eastAsia="zh-CN"/>
                    </w:rPr>
                    <w:tab/>
                  </w:r>
                  <w:r>
                    <w:rPr>
                      <w:rFonts w:hint="eastAsia" w:ascii="宋体" w:hAnsi="宋体" w:eastAsia="宋体" w:cs="宋体"/>
                      <w:b/>
                      <w:i w:val="0"/>
                      <w:color w:val="000000"/>
                      <w:sz w:val="22"/>
                      <w:szCs w:val="22"/>
                      <w:u w:val="none"/>
                      <w:lang w:val="en-US" w:eastAsia="zh-CN"/>
                    </w:rPr>
                    <w:t xml:space="preserve">  426.59</w:t>
                  </w: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公共安全支出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365"/>
                      <w:tab w:val="right" w:pos="2419"/>
                    </w:tabs>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ab/>
                  </w:r>
                  <w:r>
                    <w:rPr>
                      <w:rFonts w:hint="eastAsia" w:ascii="宋体" w:hAnsi="宋体" w:eastAsia="宋体" w:cs="宋体"/>
                      <w:i w:val="0"/>
                      <w:color w:val="000000"/>
                      <w:sz w:val="22"/>
                      <w:szCs w:val="22"/>
                      <w:u w:val="none"/>
                      <w:lang w:val="en-US" w:eastAsia="zh-CN"/>
                    </w:rPr>
                    <w:t xml:space="preserve">       426.59</w:t>
                  </w:r>
                  <w:r>
                    <w:rPr>
                      <w:rFonts w:hint="eastAsia" w:ascii="宋体" w:hAnsi="宋体" w:eastAsia="宋体" w:cs="宋体"/>
                      <w:i w:val="0"/>
                      <w:color w:val="000000"/>
                      <w:sz w:val="22"/>
                      <w:szCs w:val="22"/>
                      <w:u w:val="none"/>
                      <w:lang w:val="en-US" w:eastAsia="zh-CN"/>
                    </w:rPr>
                    <w:tab/>
                  </w:r>
                  <w:r>
                    <w:rPr>
                      <w:rFonts w:hint="eastAsia" w:ascii="宋体" w:hAnsi="宋体" w:eastAsia="宋体" w:cs="宋体"/>
                      <w:i w:val="0"/>
                      <w:color w:val="000000"/>
                      <w:sz w:val="22"/>
                      <w:szCs w:val="22"/>
                      <w:u w:val="none"/>
                      <w:lang w:val="en-US" w:eastAsia="zh-CN"/>
                    </w:rPr>
                    <w:t>426.</w:t>
                  </w:r>
                </w:p>
              </w:tc>
            </w:tr>
            <w:tr>
              <w:tblPrEx>
                <w:shd w:val="clear" w:color="auto" w:fill="auto"/>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检察</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425"/>
                    </w:tabs>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ab/>
                  </w:r>
                  <w:r>
                    <w:rPr>
                      <w:rFonts w:hint="eastAsia" w:ascii="宋体" w:hAnsi="宋体" w:eastAsia="宋体" w:cs="宋体"/>
                      <w:i w:val="0"/>
                      <w:color w:val="000000"/>
                      <w:sz w:val="22"/>
                      <w:szCs w:val="22"/>
                      <w:u w:val="none"/>
                      <w:lang w:val="en-US" w:eastAsia="zh-CN"/>
                    </w:rPr>
                    <w:t xml:space="preserve">      426.59</w:t>
                  </w: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2040499</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其他检察支出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425"/>
                    </w:tabs>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ab/>
                  </w:r>
                  <w:r>
                    <w:rPr>
                      <w:rFonts w:hint="eastAsia" w:ascii="宋体" w:hAnsi="宋体" w:eastAsia="宋体" w:cs="宋体"/>
                      <w:i w:val="0"/>
                      <w:color w:val="000000"/>
                      <w:sz w:val="22"/>
                      <w:szCs w:val="22"/>
                      <w:u w:val="none"/>
                      <w:lang w:val="en-US" w:eastAsia="zh-CN"/>
                    </w:rPr>
                    <w:t xml:space="preserve">      426.59</w:t>
                  </w: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rPr>
          <w:rFonts w:hint="default" w:asciiTheme="minorHAnsi" w:hAnsiTheme="minorHAnsi" w:eastAsiaTheme="minorEastAsia" w:cstheme="minorBidi"/>
          <w:kern w:val="2"/>
          <w:sz w:val="21"/>
          <w:szCs w:val="22"/>
          <w:lang w:val="en-US" w:eastAsia="zh-CN" w:bidi="ar-SA"/>
        </w:rPr>
      </w:pPr>
      <w:r>
        <w:rPr>
          <w:rFonts w:hint="default"/>
          <w:lang w:val="en-US" w:eastAsia="zh-CN"/>
        </w:rPr>
        <w:br w:type="page"/>
      </w:r>
    </w:p>
    <w:tbl>
      <w:tblPr>
        <w:tblStyle w:val="8"/>
        <w:tblW w:w="10000" w:type="dxa"/>
        <w:jc w:val="center"/>
        <w:shd w:val="clear" w:color="auto" w:fill="auto"/>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339" w:hRule="atLeast"/>
          <w:jc w:val="center"/>
        </w:trPr>
        <w:tc>
          <w:tcPr>
            <w:tcW w:w="3611"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bl>
    <w:p>
      <w:pPr>
        <w:rPr>
          <w:rFonts w:hint="default"/>
          <w:lang w:val="en-US" w:eastAsia="zh-CN"/>
        </w:rPr>
      </w:pPr>
      <w:r>
        <w:rPr>
          <w:rFonts w:hint="eastAsia"/>
          <w:lang w:val="en-US" w:eastAsia="zh-CN"/>
        </w:rPr>
        <w:t>注：本表无数据，以空表列示。</w:t>
      </w:r>
      <w:r>
        <w:rPr>
          <w:rFonts w:hint="default"/>
          <w:lang w:val="en-US" w:eastAsia="zh-CN"/>
        </w:rPr>
        <w:br w:type="page"/>
      </w:r>
    </w:p>
    <w:tbl>
      <w:tblPr>
        <w:tblStyle w:val="8"/>
        <w:tblW w:w="9220" w:type="dxa"/>
        <w:jc w:val="center"/>
        <w:shd w:val="clear" w:color="auto" w:fill="auto"/>
        <w:tblLayout w:type="fixed"/>
        <w:tblCellMar>
          <w:top w:w="0" w:type="dxa"/>
          <w:left w:w="0" w:type="dxa"/>
          <w:bottom w:w="0" w:type="dxa"/>
          <w:right w:w="0" w:type="dxa"/>
        </w:tblCellMar>
      </w:tblPr>
      <w:tblGrid>
        <w:gridCol w:w="1267"/>
        <w:gridCol w:w="1686"/>
        <w:gridCol w:w="1565"/>
        <w:gridCol w:w="1565"/>
        <w:gridCol w:w="1565"/>
        <w:gridCol w:w="1572"/>
      </w:tblGrid>
      <w:tr>
        <w:tblPrEx>
          <w:shd w:val="clear" w:color="auto" w:fill="auto"/>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152</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141</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132.18</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8.82</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ascii="宋体" w:hAnsi="宋体" w:eastAsia="宋体" w:cs="宋体"/>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8"/>
        <w:tblW w:w="9510" w:type="dxa"/>
        <w:jc w:val="center"/>
        <w:shd w:val="clear" w:color="auto" w:fill="auto"/>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jc w:val="center"/>
        </w:trPr>
        <w:tc>
          <w:tcPr>
            <w:tcW w:w="3760"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部门：河北省人民检察院雄安新区分院</w:t>
            </w: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lang w:val="en-US" w:eastAsia="zh-CN"/>
        </w:rPr>
        <w:t>注：本表无数据，以空表列示。</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tbl>
      <w:tblPr>
        <w:tblStyle w:val="8"/>
        <w:tblW w:w="10054" w:type="dxa"/>
        <w:jc w:val="center"/>
        <w:tblLayout w:type="fixed"/>
        <w:tblCellMar>
          <w:top w:w="0" w:type="dxa"/>
          <w:left w:w="0" w:type="dxa"/>
          <w:bottom w:w="0" w:type="dxa"/>
          <w:right w:w="0" w:type="dxa"/>
        </w:tblCellMar>
      </w:tblPr>
      <w:tblGrid>
        <w:gridCol w:w="4641"/>
        <w:gridCol w:w="49"/>
        <w:gridCol w:w="49"/>
        <w:gridCol w:w="2217"/>
        <w:gridCol w:w="636"/>
        <w:gridCol w:w="1231"/>
        <w:gridCol w:w="1231"/>
      </w:tblGrid>
      <w:tr>
        <w:tblPrEx>
          <w:tblCellMar>
            <w:top w:w="0" w:type="dxa"/>
            <w:left w:w="0" w:type="dxa"/>
            <w:bottom w:w="0" w:type="dxa"/>
            <w:right w:w="0" w:type="dxa"/>
          </w:tblCellMar>
        </w:tblPrEx>
        <w:trPr>
          <w:trHeight w:val="863" w:hRule="atLeast"/>
          <w:jc w:val="center"/>
        </w:trPr>
        <w:tc>
          <w:tcPr>
            <w:tcW w:w="10054"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62" w:hRule="atLeast"/>
          <w:jc w:val="center"/>
        </w:trPr>
        <w:tc>
          <w:tcPr>
            <w:tcW w:w="46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1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6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62" w:hRule="atLeast"/>
          <w:jc w:val="center"/>
        </w:trPr>
        <w:tc>
          <w:tcPr>
            <w:tcW w:w="46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部门：河北省人民检察院雄安新区分院</w:t>
            </w:r>
          </w:p>
        </w:tc>
        <w:tc>
          <w:tcPr>
            <w:tcW w:w="4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1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6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16" w:hRule="atLeast"/>
          <w:jc w:val="center"/>
        </w:trPr>
        <w:tc>
          <w:tcPr>
            <w:tcW w:w="695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309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31" w:hRule="atLeast"/>
          <w:jc w:val="center"/>
        </w:trPr>
        <w:tc>
          <w:tcPr>
            <w:tcW w:w="473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6" w:hRule="atLeast"/>
          <w:jc w:val="center"/>
        </w:trPr>
        <w:tc>
          <w:tcPr>
            <w:tcW w:w="6956"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16" w:hRule="atLeast"/>
          <w:jc w:val="center"/>
        </w:trPr>
        <w:tc>
          <w:tcPr>
            <w:tcW w:w="6956"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16" w:hRule="atLeast"/>
          <w:jc w:val="center"/>
        </w:trPr>
        <w:tc>
          <w:tcPr>
            <w:tcW w:w="473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6" w:hRule="atLeast"/>
          <w:jc w:val="center"/>
        </w:trPr>
        <w:tc>
          <w:tcPr>
            <w:tcW w:w="473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6" w:hRule="atLeast"/>
          <w:jc w:val="center"/>
        </w:trPr>
        <w:tc>
          <w:tcPr>
            <w:tcW w:w="473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6" w:hRule="atLeast"/>
          <w:jc w:val="center"/>
        </w:trPr>
        <w:tc>
          <w:tcPr>
            <w:tcW w:w="473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6" w:hRule="atLeast"/>
          <w:jc w:val="center"/>
        </w:trPr>
        <w:tc>
          <w:tcPr>
            <w:tcW w:w="47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2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657" w:hRule="atLeast"/>
          <w:jc w:val="center"/>
        </w:trPr>
        <w:tc>
          <w:tcPr>
            <w:tcW w:w="10054" w:type="dxa"/>
            <w:gridSpan w:val="7"/>
            <w:tcBorders>
              <w:top w:val="single" w:color="000000" w:sz="4" w:space="0"/>
              <w:bottom w:val="nil"/>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注</w:t>
            </w:r>
            <w:r>
              <w:rPr>
                <w:rFonts w:hint="eastAsia" w:hAnsi="宋体" w:eastAsia="宋体" w:cs="楷体"/>
                <w:sz w:val="22"/>
              </w:rPr>
              <w:t>：本部门本年度无相关收入（或支出、收支及结转结余等）情况，按要求空表列示</w:t>
            </w:r>
            <w:r>
              <w:rPr>
                <w:rFonts w:ascii="宋体" w:hAnsi="宋体" w:eastAsia="宋体" w:cs="宋体"/>
                <w:color w:val="000000"/>
                <w:sz w:val="22"/>
              </w:rPr>
              <w:t>。</w:t>
            </w:r>
          </w:p>
          <w:p>
            <w:pPr>
              <w:jc w:val="left"/>
              <w:rPr>
                <w:rFonts w:ascii="宋体" w:hAnsi="宋体" w:eastAsia="宋体" w:cs="宋体"/>
                <w:color w:val="000000"/>
                <w:sz w:val="22"/>
              </w:rPr>
            </w:pPr>
            <w:r>
              <w:rPr>
                <w:rFonts w:hint="eastAsia" w:ascii="宋体" w:hAnsi="宋体" w:eastAsia="宋体" w:cs="宋体"/>
                <w:color w:val="000000"/>
                <w:sz w:val="22"/>
              </w:rPr>
              <w:t>国有资本经营预算财政拨款支出决算表</w:t>
            </w:r>
          </w:p>
        </w:tc>
      </w:tr>
    </w:tbl>
    <w:p>
      <w:pPr>
        <w:rPr>
          <w:rFonts w:hint="default"/>
          <w:lang w:val="en-US" w:eastAsia="zh-CN"/>
        </w:rPr>
      </w:pPr>
    </w:p>
    <w:p>
      <w:pPr>
        <w:rPr>
          <w:rFonts w:hint="default"/>
          <w:lang w:val="en-US" w:eastAsia="zh-CN"/>
        </w:rPr>
      </w:pPr>
      <w:r>
        <w:rPr>
          <w:rFonts w:hint="default"/>
          <w:lang w:val="en-US" w:eastAsia="zh-CN"/>
        </w:rPr>
        <w:br w:type="page"/>
      </w:r>
    </w:p>
    <w:p>
      <w:pPr>
        <w:rPr>
          <w:rFonts w:hint="default" w:asciiTheme="minorHAnsi" w:hAnsiTheme="minorHAnsi" w:eastAsiaTheme="minorEastAsia" w:cstheme="minorBidi"/>
          <w:kern w:val="2"/>
          <w:sz w:val="21"/>
          <w:szCs w:val="22"/>
          <w:lang w:val="en-US" w:eastAsia="zh-CN" w:bidi="ar-SA"/>
        </w:rPr>
      </w:pPr>
    </w:p>
    <w:p>
      <w:pPr>
        <w:bidi w:val="0"/>
        <w:jc w:val="both"/>
        <w:rPr>
          <w:rFonts w:hint="default"/>
          <w:lang w:val="en-US" w:eastAsia="zh-CN"/>
        </w:rPr>
      </w:pPr>
      <w:r>
        <w:rPr>
          <w:sz w:val="21"/>
        </w:rPr>
        <mc:AlternateContent>
          <mc:Choice Requires="wps">
            <w:drawing>
              <wp:anchor distT="0" distB="0" distL="114300" distR="114300" simplePos="0" relativeHeight="25168793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8793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1" w:type="first"/>
      <w:headerReference r:id="rId20" w:type="default"/>
      <w:footerReference r:id="rId22" w:type="default"/>
      <w:pgSz w:w="11906" w:h="16838"/>
      <w:pgMar w:top="1701" w:right="1417" w:bottom="128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20B08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6672"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76672;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lHE/2QAAAAkBAAAPAAAAAAAAAAEAIAAAACIAAABkcnMvZG93bnJl&#10;di54bWxQSwECFAAUAAAACACHTuJAOPvX+TUCAABhBAAADgAAAAAAAAABACAAAAAoAQAAZHJzL2Uy&#10;b0RvYy54bWxQSwUGAAAAAAYABgBZAQAAzwUAAAAA&#10;">
              <v:fill on="f" focussize="0,0"/>
              <v:stroke on="f" weight="0.5pt"/>
              <v:imagedata o:title=""/>
              <o:lock v:ext="edit" aspectratio="f"/>
              <v:textbox inset="0mm,0mm,0mm,0mm">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7696"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7696;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1c372QAAAAoBAAAPAAAAAAAAAAEAIAAAACIAAABkcnMvZG93&#10;bnJldi54bWxQSwECFAAUAAAACACHTuJA9IZ3pDgCAABhBAAADgAAAAAAAAABACAAAAAoAQAAZHJz&#10;L2Uyb0RvYy54bWxQSwUGAAAAAAYABgBZAQAA0gUAAAAA&#10;">
              <v:fill on="f" focussize="0,0"/>
              <v:stroke on="f" weight="0.5pt"/>
              <v:imagedata o:title=""/>
              <o:lock v:ext="edit" aspectratio="f"/>
              <v:textbox inset="0mm,0mm,0mm,0mm">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8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8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PFG5/42AgAAYAQAAA4AAAAAAAAAAQAgAAAAKAEAAGRycy9l&#10;Mm9Eb2MueG1sUEsFBgAAAAAGAAYAWQEAANAFAAAAAA==&#10;">
              <v:fill on="f" focussize="0,0"/>
              <v:stroke on="f" weight="0.5pt"/>
              <v:imagedata o:title=""/>
              <o:lock v:ext="edit" aspectratio="f"/>
              <v:textbox inset="0mm,0mm,0mm,0mm">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9744"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79744;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4paM2gAAAAoBAAAPAAAAAAAAAAEAIAAAACIAAABkcnMv&#10;ZG93bnJldi54bWxQSwECFAAUAAAACACHTuJAIpLgBToCAABjBAAADgAAAAAAAAABACAAAAApAQAA&#10;ZHJzL2Uyb0RvYy54bWxQSwUGAAAAAAYABgBZAQAA1QUAAAAA&#10;">
              <v:fill on="f" focussize="0,0"/>
              <v:stroke on="f" weight="0.5pt"/>
              <v:imagedata o:title=""/>
              <o:lock v:ext="edit" aspectratio="f"/>
              <v:textbox inset="0mm,0mm,0mm,0mm">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28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28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CSEgzY2AgAAYgQAAA4AAAAAAAAAAQAgAAAAKAEAAGRycy9l&#10;Mm9Eb2MueG1sUEsFBgAAAAAGAAYAWQEAANAFAAAAAA==&#10;">
              <v:fill on="f" focussize="0,0"/>
              <v:stroke on="f" weight="0.5pt"/>
              <v:imagedata o:title=""/>
              <o:lock v:ext="edit" aspectratio="f"/>
              <v:textbox inset="0mm,0mm,0mm,0mm">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233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131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68384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384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486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68076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076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81792"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1792;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4624;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756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56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66950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950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7052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67052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672576"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p>
                          <w:p>
                            <w:pPr>
                              <w:rPr>
                                <w:rFonts w:hint="default" w:ascii="微软雅黑" w:hAnsi="微软雅黑" w:eastAsia="微软雅黑" w:cs="微软雅黑"/>
                                <w:b/>
                                <w:bCs/>
                                <w:sz w:val="32"/>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2576;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p>
                    <w:p>
                      <w:pPr>
                        <w:rPr>
                          <w:rFonts w:hint="default" w:ascii="微软雅黑" w:hAnsi="微软雅黑" w:eastAsia="微软雅黑" w:cs="微软雅黑"/>
                          <w:b/>
                          <w:bCs/>
                          <w:sz w:val="32"/>
                          <w:szCs w:val="40"/>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222FFA"/>
    <w:multiLevelType w:val="singleLevel"/>
    <w:tmpl w:val="5F222FFA"/>
    <w:lvl w:ilvl="0" w:tentative="0">
      <w:start w:val="1"/>
      <w:numFmt w:val="decimal"/>
      <w:suff w:val="nothing"/>
      <w:lvlText w:val="（%1）"/>
      <w:lvlJc w:val="left"/>
    </w:lvl>
  </w:abstractNum>
  <w:abstractNum w:abstractNumId="1">
    <w:nsid w:val="5F462D94"/>
    <w:multiLevelType w:val="singleLevel"/>
    <w:tmpl w:val="5F462D94"/>
    <w:lvl w:ilvl="0" w:tentative="0">
      <w:start w:val="1"/>
      <w:numFmt w:val="chineseCounting"/>
      <w:suff w:val="nothing"/>
      <w:lvlText w:val="（%1）"/>
      <w:lvlJc w:val="left"/>
    </w:lvl>
  </w:abstractNum>
  <w:abstractNum w:abstractNumId="2">
    <w:nsid w:val="5F476119"/>
    <w:multiLevelType w:val="singleLevel"/>
    <w:tmpl w:val="5F476119"/>
    <w:lvl w:ilvl="0" w:tentative="0">
      <w:start w:val="1"/>
      <w:numFmt w:val="chineseCounting"/>
      <w:suff w:val="nothing"/>
      <w:lvlText w:val="（%1）"/>
      <w:lvlJc w:val="left"/>
    </w:lvl>
  </w:abstractNum>
  <w:abstractNum w:abstractNumId="3">
    <w:nsid w:val="60A61A6F"/>
    <w:multiLevelType w:val="singleLevel"/>
    <w:tmpl w:val="60A61A6F"/>
    <w:lvl w:ilvl="0" w:tentative="0">
      <w:start w:val="2"/>
      <w:numFmt w:val="chineseCounting"/>
      <w:suff w:val="nothing"/>
      <w:lvlText w:val="（%1）"/>
      <w:lvlJc w:val="left"/>
    </w:lvl>
  </w:abstractNum>
  <w:abstractNum w:abstractNumId="4">
    <w:nsid w:val="60A61BDC"/>
    <w:multiLevelType w:val="singleLevel"/>
    <w:tmpl w:val="60A61BDC"/>
    <w:lvl w:ilvl="0" w:tentative="0">
      <w:start w:val="4"/>
      <w:numFmt w:val="chineseCounting"/>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681728B"/>
    <w:rsid w:val="07CE11AE"/>
    <w:rsid w:val="0E492A66"/>
    <w:rsid w:val="0F696A34"/>
    <w:rsid w:val="167602FE"/>
    <w:rsid w:val="227E3586"/>
    <w:rsid w:val="28AA1AEF"/>
    <w:rsid w:val="2AA26D32"/>
    <w:rsid w:val="2D987759"/>
    <w:rsid w:val="2F3241A4"/>
    <w:rsid w:val="31C2036A"/>
    <w:rsid w:val="320D02A5"/>
    <w:rsid w:val="348E566F"/>
    <w:rsid w:val="34F96221"/>
    <w:rsid w:val="3A226944"/>
    <w:rsid w:val="3AEE6A48"/>
    <w:rsid w:val="3C1620AA"/>
    <w:rsid w:val="3D8F080F"/>
    <w:rsid w:val="41011C71"/>
    <w:rsid w:val="418D20A1"/>
    <w:rsid w:val="44CE1FA4"/>
    <w:rsid w:val="45690E76"/>
    <w:rsid w:val="456F360C"/>
    <w:rsid w:val="47CA7846"/>
    <w:rsid w:val="487F73ED"/>
    <w:rsid w:val="4A347EAE"/>
    <w:rsid w:val="4A625005"/>
    <w:rsid w:val="515C404F"/>
    <w:rsid w:val="52600405"/>
    <w:rsid w:val="529B4319"/>
    <w:rsid w:val="560243CA"/>
    <w:rsid w:val="56626BDF"/>
    <w:rsid w:val="57773DD6"/>
    <w:rsid w:val="578B79AB"/>
    <w:rsid w:val="5CCD3FD5"/>
    <w:rsid w:val="61FA5F9D"/>
    <w:rsid w:val="64564E99"/>
    <w:rsid w:val="64CD6910"/>
    <w:rsid w:val="6789158D"/>
    <w:rsid w:val="67D81BA4"/>
    <w:rsid w:val="6A0D6E61"/>
    <w:rsid w:val="6AAF1C96"/>
    <w:rsid w:val="6AC81752"/>
    <w:rsid w:val="6B3F0FA6"/>
    <w:rsid w:val="6C390ED0"/>
    <w:rsid w:val="6DAD0F2C"/>
    <w:rsid w:val="72C04F3E"/>
    <w:rsid w:val="73D250FD"/>
    <w:rsid w:val="75681757"/>
    <w:rsid w:val="75A346A8"/>
    <w:rsid w:val="771121FD"/>
    <w:rsid w:val="788F47CC"/>
    <w:rsid w:val="79B9382C"/>
    <w:rsid w:val="7B043B76"/>
    <w:rsid w:val="7C041A6A"/>
    <w:rsid w:val="7DE72E4F"/>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eastAsia="zh-CN" w:bidi="zh-CN"/>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paragraph" w:styleId="7">
    <w:name w:val="Title"/>
    <w:basedOn w:val="1"/>
    <w:next w:val="1"/>
    <w:qFormat/>
    <w:uiPriority w:val="10"/>
    <w:pPr>
      <w:spacing w:before="240" w:after="60"/>
      <w:jc w:val="center"/>
      <w:outlineLvl w:val="0"/>
    </w:pPr>
    <w:rPr>
      <w:rFonts w:ascii="Cambria" w:hAnsi="Cambria" w:eastAsia="等线"/>
      <w:b/>
      <w:bCs/>
      <w:sz w:val="32"/>
      <w:szCs w:val="32"/>
    </w:rPr>
  </w:style>
  <w:style w:type="table" w:styleId="9">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字符"/>
    <w:basedOn w:val="10"/>
    <w:link w:val="6"/>
    <w:qFormat/>
    <w:uiPriority w:val="99"/>
    <w:rPr>
      <w:rFonts w:asciiTheme="minorAscii" w:hAnsiTheme="minorAscii" w:eastAsiaTheme="minorEastAsia"/>
      <w:sz w:val="18"/>
      <w:szCs w:val="18"/>
    </w:rPr>
  </w:style>
  <w:style w:type="character" w:customStyle="1" w:styleId="12">
    <w:name w:val="页脚 字符"/>
    <w:basedOn w:val="10"/>
    <w:link w:val="5"/>
    <w:qFormat/>
    <w:uiPriority w:val="99"/>
    <w:rPr>
      <w:sz w:val="18"/>
      <w:szCs w:val="18"/>
    </w:rPr>
  </w:style>
  <w:style w:type="paragraph" w:customStyle="1" w:styleId="13">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bmp"/><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12</TotalTime>
  <ScaleCrop>false</ScaleCrop>
  <LinksUpToDate>false</LinksUpToDate>
  <CharactersWithSpaces>9394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刘哲宇</cp:lastModifiedBy>
  <cp:lastPrinted>2020-07-30T02:37:00Z</cp:lastPrinted>
  <dcterms:modified xsi:type="dcterms:W3CDTF">2021-06-11T01:10:12Z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EB43DE29D5234F0A9AD15CFCF9813AA0</vt:lpwstr>
  </property>
</Properties>
</file>