
<file path=[Content_Types].xml><?xml version="1.0" encoding="utf-8"?>
<Types xmlns="http://schemas.openxmlformats.org/package/2006/content-types">
  <Default Extension="xml" ContentType="application/xml"/>
  <Default Extension="bmp" ContentType="image/bmp"/>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4" w:type="first"/>
          <w:footerReference r:id="rId6" w:type="first"/>
          <w:headerReference r:id="rId3" w:type="default"/>
          <w:footerReference r:id="rId5" w:type="default"/>
          <w:pgSz w:w="11906" w:h="16838"/>
          <w:pgMar w:top="0" w:right="0" w:bottom="0" w:left="0" w:header="851" w:footer="992" w:gutter="0"/>
          <w:pgNumType w:fmt="numberInDash"/>
          <w:cols w:space="425" w:num="1"/>
          <w:titlePg/>
          <w:docGrid w:type="lines" w:linePitch="312" w:charSpace="0"/>
        </w:sectPr>
      </w:pPr>
      <w:r>
        <mc:AlternateContent>
          <mc:Choice Requires="wpg">
            <w:drawing>
              <wp:anchor distT="0" distB="0" distL="114300" distR="114300" simplePos="0" relativeHeight="251658240" behindDoc="1" locked="0" layoutInCell="1" allowOverlap="1">
                <wp:simplePos x="0" y="0"/>
                <wp:positionH relativeFrom="column">
                  <wp:posOffset>-12700</wp:posOffset>
                </wp:positionH>
                <wp:positionV relativeFrom="paragraph">
                  <wp:posOffset>-12700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1pt;margin-top:-1pt;height:322.1pt;width:600.25pt;z-index:-251658240;mso-width-relative:page;mso-height-relative:page;" coordorigin="13622,283" coordsize="12005,6442" o:gfxdata="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CqBhDi2QAAAAo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二〇二〇年八月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mc:AlternateContent>
          <mc:Choice Requires="wpg">
            <w:drawing>
              <wp:anchor distT="0" distB="0" distL="114300" distR="114300" simplePos="0" relativeHeight="251665408" behindDoc="0" locked="0" layoutInCell="1" allowOverlap="1">
                <wp:simplePos x="0" y="0"/>
                <wp:positionH relativeFrom="column">
                  <wp:posOffset>-981075</wp:posOffset>
                </wp:positionH>
                <wp:positionV relativeFrom="paragraph">
                  <wp:posOffset>8818880</wp:posOffset>
                </wp:positionV>
                <wp:extent cx="7584440" cy="303530"/>
                <wp:effectExtent l="0" t="0" r="10160" b="1270"/>
                <wp:wrapNone/>
                <wp:docPr id="13" name="组合 13"/>
                <wp:cNvGraphicFramePr/>
                <a:graphic xmlns:a="http://schemas.openxmlformats.org/drawingml/2006/main">
                  <a:graphicData uri="http://schemas.microsoft.com/office/word/2010/wordprocessingGroup">
                    <wpg:wgp>
                      <wpg:cNvGrpSpPr/>
                      <wpg:grpSpPr>
                        <a:xfrm>
                          <a:off x="0" y="0"/>
                          <a:ext cx="7584440" cy="303456"/>
                          <a:chOff x="1483" y="16692"/>
                          <a:chExt cx="11905" cy="428"/>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01"/>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77.25pt;margin-top:694.4pt;height:23.9pt;width:597.2pt;z-index:251665408;mso-width-relative:page;mso-height-relative:page;" coordorigin="1483,16692" coordsize="11905,428" o:gfxdata="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X+GS5t4AAAAPAQAADwAAAAAAAAABACAA&#10;AAAiAAAAZHJzL2Rvd25yZXYueG1sUEsBAhQAFAAAAAgAh07iQEprBah5AgAAlgYAAA4AAAAAAAAA&#10;AQAgAAAALQEAAGRycy9lMm9Eb2MueG1sUEsFBgAAAAAGAAYAWQEAABg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01;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jc w:val="center"/>
        <w:rPr>
          <w:rFonts w:ascii="黑体" w:hAnsi="黑体" w:eastAsia="黑体" w:cs="黑体"/>
          <w:b/>
          <w:bCs/>
          <w:sz w:val="72"/>
          <w:szCs w:val="96"/>
        </w:rPr>
      </w:pPr>
      <w:r>
        <w:rPr>
          <w:rFonts w:hint="eastAsia" w:ascii="黑体" w:hAnsi="黑体" w:eastAsia="黑体" w:cs="黑体"/>
          <w:b/>
          <w:bCs/>
          <w:sz w:val="72"/>
          <w:szCs w:val="96"/>
        </w:rPr>
        <w:t>河北雄安新区管理委员会</w:t>
      </w:r>
    </w:p>
    <w:p>
      <w:pPr>
        <w:jc w:val="cente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河北雄安新区管理委员会</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8" w:type="first"/>
          <w:footerReference r:id="rId9" w:type="first"/>
          <w:headerReference r:id="rId7" w:type="default"/>
          <w:type w:val="continuous"/>
          <w:pgSz w:w="11906" w:h="16838"/>
          <w:pgMar w:top="2041" w:right="1531" w:bottom="2041" w:left="1531" w:header="851" w:footer="992" w:gutter="0"/>
          <w:pgNumType w:fmt="numberInDash"/>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二〇二〇年八月</w:t>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三公</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1" w:type="first"/>
          <w:footerReference r:id="rId13" w:type="first"/>
          <w:headerReference r:id="rId10" w:type="default"/>
          <w:footerReference r:id="rId12"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ascii="仿宋_GB2312" w:eastAsia="仿宋_GB2312" w:cs="ArialUnicodeMS"/>
          <w:kern w:val="0"/>
          <w:sz w:val="32"/>
          <w:szCs w:val="32"/>
          <w:highlight w:val="yellow"/>
        </w:rPr>
      </w:pPr>
      <w:r>
        <w:rPr>
          <w:rFonts w:hint="eastAsia" w:ascii="仿宋_GB2312" w:eastAsia="仿宋_GB2312" w:cs="ArialUnicodeMS"/>
          <w:kern w:val="0"/>
          <w:sz w:val="32"/>
          <w:szCs w:val="32"/>
        </w:rPr>
        <w:t>1</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根据新区功能定位，负责编制雄安新区总体规划、起步区控制性规划、启动区控制性详细规划、白洋淀生态环境治理和保护规划及土地利用总体规划；负责</w:t>
      </w:r>
      <w:r>
        <w:rPr>
          <w:rFonts w:hint="eastAsia" w:ascii="仿宋_GB2312" w:eastAsia="仿宋_GB2312" w:cs="ArialUnicodeMS"/>
          <w:kern w:val="0"/>
          <w:sz w:val="32"/>
          <w:szCs w:val="32"/>
          <w:lang w:val="en-US" w:eastAsia="zh-CN"/>
        </w:rPr>
        <w:t>推动</w:t>
      </w:r>
      <w:r>
        <w:rPr>
          <w:rFonts w:hint="eastAsia" w:ascii="仿宋_GB2312" w:eastAsia="仿宋_GB2312" w:cs="ArialUnicodeMS"/>
          <w:kern w:val="0"/>
          <w:sz w:val="32"/>
          <w:szCs w:val="32"/>
        </w:rPr>
        <w:t>新区经济社会发展</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完善交通一体化、新型城镇化等规划体系。</w:t>
      </w:r>
    </w:p>
    <w:p>
      <w:pPr>
        <w:widowControl/>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2</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负责承接北京非首都功能向新区有序转移工作，推进吸纳和集聚创新要素资源</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培育和发展科技创新企业，推动高端高新产业发展。</w:t>
      </w:r>
    </w:p>
    <w:p>
      <w:pPr>
        <w:widowControl/>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3</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按照建设生态新城的要求，负责研究制定生态保护政策，承接区域环境和耕地保护职责；负责研究制定生态修复绿化政策，建设绿色生态隔离带；负责组织实施白洋淀国家公园建设、大清河流域治理和白洋淀生态修复工程。</w:t>
      </w:r>
    </w:p>
    <w:p>
      <w:pPr>
        <w:widowControl/>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4</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负责智慧新城建设，科学布局空间结构，完善城市基础设施，营造优质市政；负责按照网格化布局、智能化管理、一体化要求，构建快捷高效交通网；负责推进制度创新，建立国际接轨、国内领先的城市管理规划和体系。</w:t>
      </w:r>
    </w:p>
    <w:p>
      <w:pPr>
        <w:widowControl/>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5</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按照新区功能定位和人口需求，负责建设优质公共设施，提供优质公共服务；负责建设城市信息化网络综合管理平台，负责建设信息化、数字化网络服务全覆盖；研究制定适应新区发展的人口和住房政策，合理控制新区人口规模</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lang w:val="en-US" w:eastAsia="zh-CN"/>
        </w:rPr>
        <w:t>优化人口</w:t>
      </w:r>
      <w:r>
        <w:rPr>
          <w:rFonts w:hint="eastAsia" w:ascii="仿宋_GB2312" w:eastAsia="仿宋_GB2312" w:cs="ArialUnicodeMS"/>
          <w:kern w:val="0"/>
          <w:sz w:val="32"/>
          <w:szCs w:val="32"/>
        </w:rPr>
        <w:t>结构，探索房地产开发建设和供给新模式。</w:t>
      </w:r>
    </w:p>
    <w:p>
      <w:pPr>
        <w:widowControl/>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6</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负责对外交流平台建设；研究制定促进投资自由化、贸易便利化、金融国际化的政策</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打造国际集聚区；负责与京津</w:t>
      </w:r>
      <w:r>
        <w:rPr>
          <w:rFonts w:hint="eastAsia" w:ascii="仿宋_GB2312" w:eastAsia="仿宋_GB2312" w:cs="ArialUnicodeMS"/>
          <w:kern w:val="0"/>
          <w:sz w:val="32"/>
          <w:szCs w:val="32"/>
          <w:lang w:val="en-US" w:eastAsia="zh-CN"/>
        </w:rPr>
        <w:t>和</w:t>
      </w:r>
      <w:r>
        <w:rPr>
          <w:rFonts w:hint="eastAsia" w:ascii="仿宋_GB2312" w:eastAsia="仿宋_GB2312" w:cs="ArialUnicodeMS"/>
          <w:kern w:val="0"/>
          <w:sz w:val="32"/>
          <w:szCs w:val="32"/>
        </w:rPr>
        <w:t>境内其他区域及港澳台地区的交流合作，积极对接全球创新链，打造扩大开放新高地和对外合作交流新平台。</w:t>
      </w:r>
    </w:p>
    <w:p>
      <w:pPr>
        <w:widowControl/>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7</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负责新区内部综合管控工作，协调与周边区域的统一规划管控，划定管控范围和开发边界，加强开发强度管制，实现土地节约集约利用；研究制定充分发挥新区核心区辐射带动作用的政策，推动新区城乡、区域、经济社会和资源环境协调发展。</w:t>
      </w:r>
    </w:p>
    <w:p>
      <w:pPr>
        <w:widowControl/>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8</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负责推进行政体制改革，研究探索与现行体制协调、联动、高效的新区管理方式；负责“放管服”改革，承接落实国务院和省政府下放的行政权力事项；负责实施负面清单管理，建立与激发市场活力相适应的体制机制；研究重点特殊人才政策，广泛推行聘任制，建立完善市场化激励机制，聚集高端创新创业人才，培育创新文化和氛围；按照以体制机制高地打造创新发展高地的要求，承担体制机制创新先行先试改革工作。</w:t>
      </w:r>
    </w:p>
    <w:p>
      <w:pPr>
        <w:widowControl/>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9</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负责研究制定全区安全生产监管的政策措施，按程序报批后实施；承担新区安全生产属地监管责任，制订实施新区安全生产专项规划；负责安全生产、道路交通、公共卫生等领域的事前事中事后安全监管工作；负责研究、协调和解决安全监管工作中的重大问题；指导监督全区事故调查处理工作；负责组织、指挥和协调新区安全事故应急救援工作。</w:t>
      </w:r>
    </w:p>
    <w:p>
      <w:pPr>
        <w:widowControl/>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10</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领导新区托管三县县委、县人民政府工作。</w:t>
      </w:r>
    </w:p>
    <w:p>
      <w:pPr>
        <w:widowControl/>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11</w:t>
      </w:r>
      <w:r>
        <w:rPr>
          <w:rFonts w:hint="eastAsia" w:ascii="仿宋_GB2312" w:eastAsia="仿宋_GB2312" w:cs="ArialUnicodeMS"/>
          <w:kern w:val="0"/>
          <w:sz w:val="32"/>
          <w:szCs w:val="32"/>
          <w:lang w:eastAsia="zh-CN"/>
        </w:rPr>
        <w:t>.</w:t>
      </w:r>
      <w:r>
        <w:rPr>
          <w:rFonts w:hint="eastAsia" w:ascii="仿宋_GB2312" w:eastAsia="仿宋_GB2312" w:cs="ArialUnicodeMS"/>
          <w:kern w:val="0"/>
          <w:sz w:val="32"/>
          <w:szCs w:val="32"/>
        </w:rPr>
        <w:t>承办省委、省政府交办的其他工作。</w:t>
      </w:r>
    </w:p>
    <w:p>
      <w:pPr>
        <w:widowControl/>
        <w:spacing w:line="580" w:lineRule="exact"/>
        <w:ind w:firstLine="640" w:firstLineChars="200"/>
        <w:rPr>
          <w:rFonts w:ascii="仿宋_GB2312" w:eastAsia="仿宋_GB2312" w:cs="ArialUnicodeMS"/>
          <w:kern w:val="0"/>
          <w:sz w:val="32"/>
          <w:szCs w:val="32"/>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从决算编报单位构成看，纳入2019年度部门决算汇编范围的独立核算单位（以下简称“单位”）共1个，具体情况如下：</w:t>
      </w:r>
    </w:p>
    <w:tbl>
      <w:tblPr>
        <w:tblStyle w:val="9"/>
        <w:tblpPr w:leftFromText="180" w:rightFromText="180" w:vertAnchor="page" w:horzAnchor="page" w:tblpX="1419" w:tblpY="5862"/>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河北雄安新区管理委员会</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6" w:type="first"/>
          <w:headerReference r:id="rId14" w:type="default"/>
          <w:footerReference r:id="rId15"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7"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年初结转和结余226428.77万元，本年收入2538628.77万元，本年支出2743995.85万元，年末结转结余21061.69万元。与2018年度决算相比，2019年收入比上年减少1600747.80万元，同比下降38.67%；2019年支出比上年减少1168210.76万元，同比下降29.86%。</w:t>
      </w:r>
    </w:p>
    <w:p>
      <w:pPr>
        <w:keepNext/>
        <w:keepLines/>
        <w:snapToGrid w:val="0"/>
        <w:spacing w:line="600" w:lineRule="exact"/>
        <w:ind w:firstLine="640" w:firstLineChars="200"/>
        <w:outlineLvl w:val="1"/>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收支变化较大的原因是</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2018年项目建设资金主要是通过部门进行核算，其金额反</w:t>
      </w:r>
      <w:r>
        <w:rPr>
          <w:rFonts w:hint="eastAsia" w:ascii="仿宋_GB2312" w:hAnsi="Times New Roman" w:eastAsia="仿宋_GB2312" w:cs="DengXian-Regular"/>
          <w:sz w:val="32"/>
          <w:szCs w:val="32"/>
          <w:lang w:val="en-US" w:eastAsia="zh-CN"/>
        </w:rPr>
        <w:t>映</w:t>
      </w:r>
      <w:r>
        <w:rPr>
          <w:rFonts w:hint="eastAsia" w:ascii="仿宋_GB2312" w:hAnsi="Times New Roman" w:eastAsia="仿宋_GB2312" w:cs="DengXian-Regular"/>
          <w:sz w:val="32"/>
          <w:szCs w:val="32"/>
        </w:rPr>
        <w:t>在部门决算数据中</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2019年项目建设资金大部分通过财政直接列支方式进行拨付，不需部门进行核算，因此导致2019年部门决算收支数额与上年相比减少较多。</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本部门2019年度本年收入合计2538628.77万元，其中：财政拨款收入2538628.60万元，约占100%；其他收入0.17万元，所占不足0.01%。</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本部门2019年度本年支出合计2743995.85万元，其中：基本支出5592.82万元，占0.20%；项目支出2738403.03万元，占99.80%</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如图所示：</w:t>
      </w:r>
    </w:p>
    <w:p>
      <w:pPr>
        <w:adjustRightInd w:val="0"/>
        <w:snapToGrid w:val="0"/>
        <w:jc w:val="center"/>
        <w:rPr>
          <w:rFonts w:ascii="仿宋_GB2312" w:hAnsi="Times New Roman" w:eastAsia="仿宋_GB2312" w:cs="DengXian-Regular"/>
          <w:sz w:val="32"/>
          <w:szCs w:val="32"/>
        </w:rPr>
      </w:pPr>
      <w:r>
        <w:rPr>
          <w:rFonts w:ascii="仿宋_GB2312" w:hAnsi="Times New Roman" w:eastAsia="仿宋_GB2312" w:cs="DengXian-Regular"/>
          <w:sz w:val="32"/>
          <w:szCs w:val="32"/>
        </w:rPr>
        <w:drawing>
          <wp:inline distT="0" distB="0" distL="0" distR="0">
            <wp:extent cx="3694430" cy="2301240"/>
            <wp:effectExtent l="9525" t="9525" r="17145" b="13335"/>
            <wp:docPr id="42"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8"/>
                    <pic:cNvPicPr>
                      <a:picLocks noChangeAspect="1" noChangeArrowheads="1"/>
                    </pic:cNvPicPr>
                  </pic:nvPicPr>
                  <pic:blipFill>
                    <a:blip r:embed="rId29"/>
                    <a:srcRect r="-231" b="7362"/>
                    <a:stretch>
                      <a:fillRect/>
                    </a:stretch>
                  </pic:blipFill>
                  <pic:spPr>
                    <a:xfrm>
                      <a:off x="0" y="0"/>
                      <a:ext cx="3694685" cy="2301240"/>
                    </a:xfrm>
                    <a:prstGeom prst="rect">
                      <a:avLst/>
                    </a:prstGeom>
                    <a:ln>
                      <a:solidFill>
                        <a:schemeClr val="tx1"/>
                      </a:solidFill>
                    </a:ln>
                    <a:effectLst>
                      <a:softEdge rad="112500"/>
                    </a:effectLst>
                  </pic:spPr>
                </pic:pic>
              </a:graphicData>
            </a:graphic>
          </wp:inline>
        </w:drawing>
      </w:r>
    </w:p>
    <w:p>
      <w:pPr>
        <w:keepNext/>
        <w:keepLines/>
        <w:snapToGrid w:val="0"/>
        <w:jc w:val="center"/>
        <w:outlineLvl w:val="1"/>
        <w:rPr>
          <w:rFonts w:ascii="宋体" w:hAnsi="宋体" w:eastAsia="宋体" w:cs="Times New Roman"/>
          <w:b/>
          <w:bCs/>
          <w:szCs w:val="21"/>
        </w:rPr>
      </w:pPr>
      <w:r>
        <w:rPr>
          <w:rFonts w:hint="eastAsia" w:ascii="楷体" w:hAnsi="楷体" w:eastAsia="楷体" w:cs="楷体"/>
          <w:b/>
          <w:bCs/>
          <w:szCs w:val="21"/>
        </w:rPr>
        <w:t>图1：支出构成情况（按支出性质）</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本部门2019年度财政拨款本年收入2538628.60万元,比2018年度减少1600747.77万元，同比下降38.67%；本年支出2743995.85万元，比2018年度减少1168210.76万元，同比下降29.86%。具体情况如下：</w:t>
      </w:r>
    </w:p>
    <w:p>
      <w:pPr>
        <w:numPr>
          <w:ilvl w:val="-1"/>
          <w:numId w:val="0"/>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一般公共预算财政拨款本年收入1194792.20万元，比上年减少1444584.17万元，同比下降54.73%；本年支出1400159.44万元，比上年减少1012033.69万元，同比下降41.95%。</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收支变化较大的原因是</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2019年城乡社区支出大部分通过财政直接列支方式进行核算，导致部门决算数额较上年减少较多。</w:t>
      </w:r>
    </w:p>
    <w:p>
      <w:pPr>
        <w:numPr>
          <w:ilvl w:val="-1"/>
          <w:numId w:val="0"/>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政府性基金预算财政拨款本年收入1343836.40万元，比上年减少156163.60万元，同比下降10.41%；本年支出1343836.40万元，比上年减少156163.60万元，同比下降10.41%。</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收支变化较大的原因是</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受部分项目支出由财政直接列</w:t>
      </w:r>
      <w:r>
        <w:rPr>
          <w:rFonts w:hint="eastAsia" w:ascii="仿宋_GB2312" w:hAnsi="Times New Roman" w:eastAsia="仿宋_GB2312" w:cs="DengXian-Regular"/>
          <w:sz w:val="32"/>
          <w:szCs w:val="32"/>
          <w:lang w:val="en-US" w:eastAsia="zh-CN"/>
        </w:rPr>
        <w:t>支</w:t>
      </w:r>
      <w:r>
        <w:rPr>
          <w:rFonts w:hint="eastAsia" w:ascii="仿宋_GB2312" w:hAnsi="Times New Roman" w:eastAsia="仿宋_GB2312" w:cs="DengXian-Regular"/>
          <w:sz w:val="32"/>
          <w:szCs w:val="32"/>
        </w:rPr>
        <w:t>的影响，导致2019年列入部门核算的收入支出减少。</w:t>
      </w:r>
    </w:p>
    <w:p>
      <w:pPr>
        <w:snapToGrid w:val="0"/>
        <w:jc w:val="center"/>
        <w:rPr>
          <w:rFonts w:ascii="楷体_GB2312" w:hAnsi="Times New Roman" w:eastAsia="楷体_GB2312" w:cs="DengXian-Bold"/>
          <w:b/>
          <w:bCs/>
          <w:sz w:val="32"/>
          <w:szCs w:val="32"/>
        </w:rPr>
      </w:pPr>
      <w:r>
        <w:rPr>
          <w:rFonts w:ascii="楷体_GB2312" w:hAnsi="Times New Roman" w:eastAsia="楷体_GB2312" w:cs="DengXian-Bold"/>
          <w:b/>
          <w:bCs/>
          <w:sz w:val="32"/>
          <w:szCs w:val="32"/>
        </w:rPr>
        <w:drawing>
          <wp:inline distT="0" distB="0" distL="0" distR="0">
            <wp:extent cx="5309235" cy="3276600"/>
            <wp:effectExtent l="0" t="0" r="12065" b="0"/>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noChangeArrowheads="1"/>
                    </pic:cNvPicPr>
                  </pic:nvPicPr>
                  <pic:blipFill>
                    <a:blip r:embed="rId30"/>
                    <a:srcRect l="1228" t="1687" r="1660" b="3107"/>
                    <a:stretch>
                      <a:fillRect/>
                    </a:stretch>
                  </pic:blipFill>
                  <pic:spPr>
                    <a:xfrm>
                      <a:off x="0" y="0"/>
                      <a:ext cx="5309235" cy="3277464"/>
                    </a:xfrm>
                    <a:prstGeom prst="rect">
                      <a:avLst/>
                    </a:prstGeom>
                    <a:noFill/>
                    <a:ln w="9525">
                      <a:noFill/>
                      <a:miter lim="800000"/>
                      <a:headEnd/>
                      <a:tailEnd/>
                    </a:ln>
                  </pic:spPr>
                </pic:pic>
              </a:graphicData>
            </a:graphic>
          </wp:inline>
        </w:drawing>
      </w:r>
    </w:p>
    <w:p>
      <w:pPr>
        <w:snapToGrid w:val="0"/>
        <w:jc w:val="center"/>
        <w:rPr>
          <w:rFonts w:ascii="楷体_GB2312" w:hAnsi="Times New Roman" w:eastAsia="楷体_GB2312" w:cs="DengXian-Bold"/>
          <w:b/>
          <w:bCs/>
          <w:szCs w:val="21"/>
        </w:rPr>
      </w:pPr>
      <w:r>
        <w:rPr>
          <w:rFonts w:ascii="楷体_GB2312" w:hAnsi="Times New Roman" w:eastAsia="楷体_GB2312" w:cs="DengXian-Bold"/>
          <w:b/>
          <w:bCs/>
          <w:szCs w:val="21"/>
        </w:rPr>
        <w:t>图</w:t>
      </w:r>
      <w:r>
        <w:rPr>
          <w:rFonts w:hint="eastAsia" w:ascii="楷体_GB2312" w:hAnsi="Times New Roman" w:eastAsia="楷体_GB2312" w:cs="DengXian-Bold"/>
          <w:b/>
          <w:bCs/>
          <w:szCs w:val="21"/>
        </w:rPr>
        <w:t>2</w:t>
      </w:r>
      <w:r>
        <w:rPr>
          <w:rFonts w:hint="eastAsia" w:ascii="楷体_GB2312" w:hAnsi="Times New Roman" w:eastAsia="楷体_GB2312" w:cs="DengXian-Bold"/>
          <w:b/>
          <w:bCs/>
          <w:szCs w:val="21"/>
          <w:lang w:eastAsia="zh-CN"/>
        </w:rPr>
        <w:t>：</w:t>
      </w:r>
      <w:r>
        <w:rPr>
          <w:rFonts w:hint="eastAsia" w:ascii="楷体_GB2312" w:hAnsi="Times New Roman" w:eastAsia="楷体_GB2312" w:cs="DengXian-Bold"/>
          <w:b/>
          <w:bCs/>
          <w:szCs w:val="21"/>
        </w:rPr>
        <w:t>2018</w:t>
      </w:r>
      <w:r>
        <w:rPr>
          <w:rFonts w:hint="eastAsia" w:ascii="楷体_GB2312" w:hAnsi="Times New Roman" w:eastAsia="楷体_GB2312" w:cs="DengXian-Bold"/>
          <w:b/>
          <w:bCs/>
          <w:szCs w:val="21"/>
          <w:lang w:val="en-US" w:eastAsia="zh-CN"/>
        </w:rPr>
        <w:t>-</w:t>
      </w:r>
      <w:r>
        <w:rPr>
          <w:rFonts w:hint="eastAsia" w:ascii="楷体_GB2312" w:hAnsi="Times New Roman" w:eastAsia="楷体_GB2312" w:cs="DengXian-Bold"/>
          <w:b/>
          <w:bCs/>
          <w:szCs w:val="21"/>
        </w:rPr>
        <w:t>2019年财政拨款收支情况</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2538628.60万元，年初预算数317668.55万元，完成年初预算的799.14%,比年初预算增加2220960.05万元；本年支出2743955.85万元，年初预算数317688.55万元，完成年初预算的863.73%,比年初预算增加2426267.30万元。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一般公共预算财政拨款本年收入1194792.20万元，年初预算数254356.57万元，完成年初预算</w:t>
      </w:r>
      <w:r>
        <w:rPr>
          <w:rFonts w:hint="eastAsia" w:ascii="仿宋_GB2312" w:hAnsi="Times New Roman" w:eastAsia="仿宋_GB2312" w:cs="DengXian-Regular"/>
          <w:sz w:val="32"/>
          <w:szCs w:val="32"/>
          <w:lang w:val="en-US" w:eastAsia="zh-CN"/>
        </w:rPr>
        <w:t>的</w:t>
      </w:r>
      <w:r>
        <w:rPr>
          <w:rFonts w:hint="eastAsia" w:ascii="仿宋_GB2312" w:hAnsi="Times New Roman" w:eastAsia="仿宋_GB2312" w:cs="DengXian-Regular"/>
          <w:sz w:val="32"/>
          <w:szCs w:val="32"/>
        </w:rPr>
        <w:t>469.73%，比年初预算增加940435.63万元，主要是追加征迁资金、建设项目资金等；本年支出1400159.44万元，年初预算数254356.57</w:t>
      </w:r>
      <w:r>
        <w:rPr>
          <w:rFonts w:hint="eastAsia" w:ascii="仿宋_GB2312" w:hAnsi="Times New Roman" w:eastAsia="仿宋_GB2312" w:cs="DengXian-Regular"/>
          <w:sz w:val="32"/>
          <w:szCs w:val="32"/>
          <w:lang w:val="en-US" w:eastAsia="zh-CN"/>
        </w:rPr>
        <w:t>万元</w:t>
      </w:r>
      <w:r>
        <w:rPr>
          <w:rFonts w:hint="eastAsia" w:ascii="仿宋_GB2312" w:hAnsi="Times New Roman" w:eastAsia="仿宋_GB2312" w:cs="DengXian-Regular"/>
          <w:sz w:val="32"/>
          <w:szCs w:val="32"/>
        </w:rPr>
        <w:t>，完成年初预算</w:t>
      </w:r>
      <w:r>
        <w:rPr>
          <w:rFonts w:hint="eastAsia" w:ascii="仿宋_GB2312" w:hAnsi="Times New Roman" w:eastAsia="仿宋_GB2312" w:cs="DengXian-Regular"/>
          <w:sz w:val="32"/>
          <w:szCs w:val="32"/>
          <w:lang w:val="en-US" w:eastAsia="zh-CN"/>
        </w:rPr>
        <w:t>的</w:t>
      </w:r>
      <w:r>
        <w:rPr>
          <w:rFonts w:hint="eastAsia" w:ascii="仿宋_GB2312" w:hAnsi="Times New Roman" w:eastAsia="仿宋_GB2312" w:cs="DengXian-Regular"/>
          <w:sz w:val="32"/>
          <w:szCs w:val="32"/>
        </w:rPr>
        <w:t>550.47%，比年初预算增加1145802.87万元，主要是追加征迁资金、建设项目资金等。</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政府性基金预算财政拨款本年收入1343836.40万元，年初预算数63311.98万元，完成年初预算</w:t>
      </w:r>
      <w:r>
        <w:rPr>
          <w:rFonts w:hint="eastAsia" w:ascii="仿宋_GB2312" w:hAnsi="Times New Roman" w:eastAsia="仿宋_GB2312" w:cs="DengXian-Regular"/>
          <w:sz w:val="32"/>
          <w:szCs w:val="32"/>
          <w:lang w:val="en-US" w:eastAsia="zh-CN"/>
        </w:rPr>
        <w:t>的</w:t>
      </w:r>
      <w:r>
        <w:rPr>
          <w:rFonts w:hint="eastAsia" w:ascii="仿宋_GB2312" w:hAnsi="Times New Roman" w:eastAsia="仿宋_GB2312" w:cs="DengXian-Regular"/>
          <w:sz w:val="32"/>
          <w:szCs w:val="32"/>
        </w:rPr>
        <w:t>2122.56%，比年初预算增加1280524.42万元，主要是追加征迁资金、片区配套建设项目资金、高铁站项目资金；本年支出1343836.40万元，年初预算数63311.98万元，完成年初预算</w:t>
      </w:r>
      <w:r>
        <w:rPr>
          <w:rFonts w:hint="eastAsia" w:ascii="仿宋_GB2312" w:hAnsi="Times New Roman" w:eastAsia="仿宋_GB2312" w:cs="DengXian-Regular"/>
          <w:sz w:val="32"/>
          <w:szCs w:val="32"/>
          <w:lang w:val="en-US" w:eastAsia="zh-CN"/>
        </w:rPr>
        <w:t>的</w:t>
      </w:r>
      <w:r>
        <w:rPr>
          <w:rFonts w:hint="eastAsia" w:ascii="仿宋_GB2312" w:hAnsi="Times New Roman" w:eastAsia="仿宋_GB2312" w:cs="DengXian-Regular"/>
          <w:sz w:val="32"/>
          <w:szCs w:val="32"/>
        </w:rPr>
        <w:t>2122.56%，比年初预算增加1280524.42万元，主要是追加征迁资金、片区配套建设项目资金、高铁项目资金。</w:t>
      </w:r>
    </w:p>
    <w:p>
      <w:pPr>
        <w:adjustRightInd w:val="0"/>
        <w:snapToGrid w:val="0"/>
        <w:jc w:val="center"/>
        <w:rPr>
          <w:rFonts w:ascii="宋体" w:hAnsi="宋体" w:eastAsia="宋体" w:cs="DengXian-Regular"/>
          <w:b/>
          <w:szCs w:val="21"/>
        </w:rPr>
      </w:pPr>
      <w:r>
        <w:rPr>
          <w:rFonts w:ascii="仿宋_GB2312" w:hAnsi="Times New Roman" w:eastAsia="仿宋_GB2312" w:cs="DengXian-Regular"/>
          <w:sz w:val="32"/>
          <w:szCs w:val="32"/>
        </w:rPr>
        <w:drawing>
          <wp:inline distT="0" distB="0" distL="0" distR="0">
            <wp:extent cx="4963160" cy="2607945"/>
            <wp:effectExtent l="0" t="0" r="2540" b="8255"/>
            <wp:docPr id="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pic:cNvPicPr>
                      <a:picLocks noChangeAspect="1" noChangeArrowheads="1"/>
                    </pic:cNvPicPr>
                  </pic:nvPicPr>
                  <pic:blipFill>
                    <a:blip r:embed="rId31"/>
                    <a:srcRect l="1744" t="2486" r="2243" b="2486"/>
                    <a:stretch>
                      <a:fillRect/>
                    </a:stretch>
                  </pic:blipFill>
                  <pic:spPr>
                    <a:xfrm>
                      <a:off x="0" y="0"/>
                      <a:ext cx="4963160" cy="2607945"/>
                    </a:xfrm>
                    <a:prstGeom prst="rect">
                      <a:avLst/>
                    </a:prstGeom>
                    <a:noFill/>
                    <a:ln w="9525">
                      <a:noFill/>
                      <a:miter lim="800000"/>
                      <a:headEnd/>
                      <a:tailEnd/>
                    </a:ln>
                  </pic:spPr>
                </pic:pic>
              </a:graphicData>
            </a:graphic>
          </wp:inline>
        </w:drawing>
      </w:r>
    </w:p>
    <w:p>
      <w:pPr>
        <w:adjustRightInd w:val="0"/>
        <w:snapToGrid w:val="0"/>
        <w:jc w:val="center"/>
        <w:rPr>
          <w:rFonts w:ascii="宋体" w:hAnsi="宋体" w:eastAsia="宋体" w:cs="DengXian-Regular"/>
          <w:b/>
          <w:szCs w:val="21"/>
        </w:rPr>
      </w:pPr>
      <w:r>
        <w:rPr>
          <w:rFonts w:hint="eastAsia" w:ascii="宋体" w:hAnsi="宋体" w:eastAsia="宋体" w:cs="DengXian-Regular"/>
          <w:b/>
          <w:szCs w:val="21"/>
        </w:rPr>
        <w:t>图3：财政拨款收支预决算对比情况</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年度财政拨款支出2743995.85万元，主要用于以下方面：一般公共服务支出351727.22万元，占支出总额12.82%；国防支出10.00万元，占支出总额不足0.01%；公共安全支出70.87万元，占支出总额不足0.01%；教育支出159.38万元，占支出总额0.01%；科学技术支出70万元，占支出总额不足0.01%；文化旅游体育与传媒支出810.95万元，占支出总额0.03%；社会保障和就业支出558.98万元，占支出总额0.02%；卫生健康支出354.85万元，占支出总额0.01%</w:t>
      </w:r>
      <w:r>
        <w:rPr>
          <w:rFonts w:hint="eastAsia" w:ascii="仿宋_GB2312" w:hAnsi="Times New Roman" w:eastAsia="仿宋_GB2312" w:cs="DengXian-Regular"/>
          <w:sz w:val="32"/>
          <w:szCs w:val="32"/>
          <w:highlight w:val="none"/>
          <w:lang w:eastAsia="zh-CN"/>
        </w:rPr>
        <w:t>；</w:t>
      </w:r>
      <w:r>
        <w:rPr>
          <w:rFonts w:hint="eastAsia" w:ascii="仿宋_GB2312" w:hAnsi="Times New Roman" w:eastAsia="仿宋_GB2312" w:cs="DengXian-Regular"/>
          <w:sz w:val="32"/>
          <w:szCs w:val="32"/>
        </w:rPr>
        <w:t>节能环保支出30374.05万元，占支出总额1.11%</w:t>
      </w:r>
      <w:r>
        <w:rPr>
          <w:rFonts w:hint="eastAsia" w:ascii="仿宋_GB2312" w:hAnsi="Times New Roman" w:eastAsia="仿宋_GB2312" w:cs="DengXian-Regular"/>
          <w:sz w:val="32"/>
          <w:szCs w:val="32"/>
          <w:highlight w:val="none"/>
          <w:lang w:eastAsia="zh-CN"/>
        </w:rPr>
        <w:t>；</w:t>
      </w:r>
      <w:r>
        <w:rPr>
          <w:rFonts w:hint="eastAsia" w:ascii="仿宋_GB2312" w:hAnsi="Times New Roman" w:eastAsia="仿宋_GB2312" w:cs="DengXian-Regular"/>
          <w:sz w:val="32"/>
          <w:szCs w:val="32"/>
        </w:rPr>
        <w:t>城乡社区支出677746.35万元，占支出总额24.70%</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农林水支出18921.70万元，占支出总额0.69%</w:t>
      </w:r>
      <w:r>
        <w:rPr>
          <w:rFonts w:hint="eastAsia" w:ascii="仿宋_GB2312" w:hAnsi="Times New Roman" w:eastAsia="仿宋_GB2312" w:cs="DengXian-Regular"/>
          <w:sz w:val="32"/>
          <w:szCs w:val="32"/>
          <w:highlight w:val="none"/>
          <w:lang w:eastAsia="zh-CN"/>
        </w:rPr>
        <w:t>；</w:t>
      </w:r>
      <w:r>
        <w:rPr>
          <w:rFonts w:hint="eastAsia" w:ascii="仿宋_GB2312" w:hAnsi="Times New Roman" w:eastAsia="仿宋_GB2312" w:cs="DengXian-Regular"/>
          <w:sz w:val="32"/>
          <w:szCs w:val="32"/>
        </w:rPr>
        <w:t>交通运输支出944.26万元，占支出总额0.03%；资源勘探信息等支出1838.28万元，占支出总额0.07%</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商业服务业等支出1019.18万元，占支出总额0.04%</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金融支出38.62万元，占支出总额不足0.01%</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自然资源海洋气象支出45825.75万元，占支出总额1.67%</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住房保障支出215626.90万元，占支出总额7.86%</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灾害防治及应急管理支出2170.10万元，占支出总额0.08%</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其他支出1284076.40万元，占支出总额46.80%</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债务付息支出111652.00万元，占支出总额4.07%。如下图所示：</w:t>
      </w:r>
    </w:p>
    <w:p>
      <w:pPr>
        <w:adjustRightInd w:val="0"/>
        <w:snapToGrid w:val="0"/>
        <w:spacing w:line="60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jc w:val="center"/>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drawing>
          <wp:inline distT="0" distB="0" distL="0" distR="0">
            <wp:extent cx="5471160" cy="3459480"/>
            <wp:effectExtent l="0" t="0" r="2540" b="7620"/>
            <wp:docPr id="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pic:cNvPicPr>
                      <a:picLocks noChangeAspect="1" noChangeArrowheads="1"/>
                    </pic:cNvPicPr>
                  </pic:nvPicPr>
                  <pic:blipFill>
                    <a:blip r:embed="rId32"/>
                    <a:srcRect l="1695" t="1688" r="956" b="2532"/>
                    <a:stretch>
                      <a:fillRect/>
                    </a:stretch>
                  </pic:blipFill>
                  <pic:spPr>
                    <a:xfrm>
                      <a:off x="0" y="0"/>
                      <a:ext cx="5471160" cy="3459480"/>
                    </a:xfrm>
                    <a:prstGeom prst="rect">
                      <a:avLst/>
                    </a:prstGeom>
                    <a:noFill/>
                    <a:ln w="9525">
                      <a:noFill/>
                      <a:miter lim="800000"/>
                      <a:headEnd/>
                      <a:tailEnd/>
                    </a:ln>
                  </pic:spPr>
                </pic:pic>
              </a:graphicData>
            </a:graphic>
          </wp:inline>
        </w:drawing>
      </w:r>
    </w:p>
    <w:p>
      <w:pPr>
        <w:adjustRightInd w:val="0"/>
        <w:snapToGrid w:val="0"/>
        <w:spacing w:line="580" w:lineRule="exact"/>
        <w:ind w:left="420" w:leftChars="200"/>
        <w:jc w:val="center"/>
        <w:rPr>
          <w:rFonts w:ascii="楷体_GB2312" w:hAnsi="Times New Roman" w:eastAsia="楷体_GB2312" w:cs="DengXian-Bold"/>
          <w:b/>
          <w:bCs/>
          <w:szCs w:val="21"/>
        </w:rPr>
      </w:pPr>
      <w:r>
        <w:rPr>
          <w:rFonts w:hint="eastAsia" w:ascii="楷体_GB2312" w:hAnsi="Times New Roman" w:eastAsia="楷体_GB2312" w:cs="DengXian-Bold"/>
          <w:b/>
          <w:bCs/>
          <w:szCs w:val="21"/>
        </w:rPr>
        <w:t>图4：财政拨款支出预算结构（按功能分类）</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年度财政拨款基本支出5592.81万元，其中：人员经费3189.55万元，主要包括基本工资、奖金、机关事业单位基本养老保险缴费、职工基本医疗保险缴费、住房公积金、其他社会保障缴费；公用经费2403.26万元，主要包括办公费、印刷费、水费、电费、邮电费、差旅费、因公出国（境）费用、维修（护）费、租赁费、会议费、培训费、公务接待费、劳务费、工会经费、福利费、公务用车运行维护费、其他交通费用、其他商品和服务支出、办公设备购置。</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黑体" w:hAnsi="Calibri" w:eastAsia="黑体" w:cs="Times New Roman"/>
          <w:sz w:val="32"/>
          <w:szCs w:val="32"/>
        </w:rPr>
        <w:t>五、一般公共预算“三公”经费支出决算情况说明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本部门2019年度“三公”经费支出共计583.11万元，完成预算的86.13%</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分项目支出均未突破年初预算安排金额，较2018年度决算减少277.92万元，同比下降32.28%。2019年新区管委会认真贯彻落实中央“八项规定”和厉行节约要求，严格按照预算和出国计划安排加强资金审批管理，从严控制“三公经费”支出规模，实现了“三公经费”规范化管理。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（一）因公出国（境）费支出259.55万元。</w:t>
      </w:r>
      <w:r>
        <w:rPr>
          <w:rFonts w:hint="eastAsia" w:ascii="仿宋_GB2312" w:hAnsi="Times New Roman" w:eastAsia="仿宋_GB2312" w:cs="DengXian-Regular"/>
          <w:sz w:val="32"/>
          <w:szCs w:val="32"/>
        </w:rPr>
        <w:t>新区管委会2019年度因公出国（境）团组18个</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共116人，较上年决算增加139.03万元，同比增长115.36%</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eastAsia="仿宋_GB2312"/>
          <w:sz w:val="32"/>
          <w:szCs w:val="32"/>
        </w:rPr>
        <w:t>随着新区规划建设工作的快速推进，需出国考察学习国外先进经验</w:t>
      </w:r>
      <w:r>
        <w:rPr>
          <w:rFonts w:hint="eastAsia" w:eastAsia="仿宋_GB2312"/>
          <w:sz w:val="32"/>
          <w:szCs w:val="32"/>
        </w:rPr>
        <w:t>，导致出国经费增长快。</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（二）公务用车购置及运行维护费支出76.96万元。</w:t>
      </w:r>
      <w:r>
        <w:rPr>
          <w:rFonts w:hint="eastAsia" w:ascii="仿宋_GB2312" w:hAnsi="Times New Roman" w:eastAsia="仿宋_GB2312" w:cs="DengXian-Regular"/>
          <w:sz w:val="32"/>
          <w:szCs w:val="32"/>
        </w:rPr>
        <w:t>新区管委会较上年决算减少660.46万元，同比下降89.56%。</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公务用车购置费0万元：</w:t>
      </w:r>
      <w:r>
        <w:rPr>
          <w:rFonts w:hint="eastAsia" w:ascii="仿宋_GB2312" w:hAnsi="Times New Roman" w:eastAsia="仿宋_GB2312" w:cs="DengXian-Regular"/>
          <w:sz w:val="32"/>
          <w:szCs w:val="32"/>
        </w:rPr>
        <w:t>新区管委会2019年度公务用车购置量0辆，发生“公务用车购置”经费支出0万元，较上年减少681.31万元。</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公务用车运行维护费76.79万元：</w:t>
      </w:r>
      <w:r>
        <w:rPr>
          <w:rFonts w:hint="eastAsia" w:ascii="仿宋_GB2312" w:hAnsi="Times New Roman" w:eastAsia="仿宋_GB2312" w:cs="DengXian-Regular"/>
          <w:sz w:val="32"/>
          <w:szCs w:val="32"/>
        </w:rPr>
        <w:t>新区管委会较上年决算增加20.85万元，同比增长37.16%，主要是2019年随着新区大规模征迁和建设的快速推进，工作任务进一步加大，导致公车运行维护费较去年增长较多。</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（三）公务接待费支出246.60万元。</w:t>
      </w:r>
      <w:r>
        <w:rPr>
          <w:rFonts w:hint="eastAsia" w:ascii="仿宋_GB2312" w:hAnsi="Times New Roman" w:eastAsia="仿宋_GB2312" w:cs="DengXian-Regular"/>
          <w:sz w:val="32"/>
          <w:szCs w:val="32"/>
        </w:rPr>
        <w:t>新区管委会2019年度公务接待共839批次、14517人次。2019年实际支出较上年决算增加243.51万元，同比增长7880.58%</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仿宋" w:eastAsia="仿宋_GB2312"/>
          <w:sz w:val="32"/>
          <w:szCs w:val="32"/>
        </w:rPr>
        <w:t>各地来访调研团体及人员较上年剧增导致</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2019年新区改革发展局深入贯彻落实党中央、国务院、省委省政府、新区党工委管委会决策部署，有力有序有效推动预算绩效管理工作开展。</w:t>
      </w:r>
    </w:p>
    <w:p>
      <w:pPr>
        <w:ind w:firstLine="640" w:firstLineChars="200"/>
        <w:rPr>
          <w:rFonts w:ascii="仿宋_GB2312" w:hAnsi="Calibri" w:eastAsia="仿宋_GB2312" w:cs="Times New Roman"/>
          <w:sz w:val="32"/>
          <w:szCs w:val="32"/>
        </w:rPr>
      </w:pPr>
      <w:r>
        <w:rPr>
          <w:rFonts w:hint="eastAsia" w:ascii="仿宋_GB2312" w:hAnsi="仿宋" w:eastAsia="仿宋_GB2312" w:cs="仿宋"/>
          <w:sz w:val="32"/>
          <w:szCs w:val="32"/>
        </w:rPr>
        <w:t>1.绩效管理工作开展情况。一是</w:t>
      </w:r>
      <w:r>
        <w:rPr>
          <w:rFonts w:hint="eastAsia" w:ascii="仿宋_GB2312" w:eastAsia="仿宋_GB2312"/>
          <w:bCs/>
          <w:sz w:val="32"/>
          <w:szCs w:val="32"/>
        </w:rPr>
        <w:t>研究制定新区本级预算绩效管理制度文件，</w:t>
      </w:r>
      <w:r>
        <w:rPr>
          <w:rFonts w:hint="eastAsia" w:ascii="仿宋_GB2312" w:hAnsi="仿宋" w:eastAsia="仿宋_GB2312" w:cs="仿宋"/>
          <w:sz w:val="32"/>
          <w:szCs w:val="32"/>
        </w:rPr>
        <w:t>推动预算绩效管理覆盖到所有财政资金，贯穿预算管理全过程。</w:t>
      </w:r>
      <w:r>
        <w:rPr>
          <w:rFonts w:hint="eastAsia" w:ascii="仿宋_GB2312" w:eastAsia="仿宋_GB2312"/>
          <w:sz w:val="32"/>
          <w:szCs w:val="32"/>
        </w:rPr>
        <w:t>二是</w:t>
      </w:r>
      <w:r>
        <w:rPr>
          <w:rFonts w:hint="eastAsia" w:ascii="仿宋_GB2312" w:hAnsi="仿宋" w:eastAsia="仿宋_GB2312" w:cs="仿宋"/>
          <w:sz w:val="32"/>
          <w:szCs w:val="32"/>
        </w:rPr>
        <w:t>以绩效目标管理为突破口，促进提升绩效目标的源头控制和基础管理作用。把绩效目标设定作为预算安排的前置条件，加强对部门报送的绩效目标审核，提高绩效目标设定的科学性和规范性。三是组织开展</w:t>
      </w:r>
      <w:r>
        <w:rPr>
          <w:rFonts w:hint="eastAsia" w:ascii="仿宋_GB2312" w:eastAsia="仿宋_GB2312"/>
          <w:sz w:val="32"/>
          <w:szCs w:val="32"/>
        </w:rPr>
        <w:t>重点绩效评价工作，</w:t>
      </w:r>
      <w:r>
        <w:rPr>
          <w:rFonts w:hint="eastAsia" w:ascii="仿宋_GB2312" w:hAnsi="Calibri" w:eastAsia="仿宋_GB2312" w:cs="Times New Roman"/>
          <w:sz w:val="32"/>
          <w:szCs w:val="32"/>
        </w:rPr>
        <w:t>围绕年初设定的绩效目标，对预算安排和执行情况的经济性、效率性、效益性和公平性等进行客观、公正评价，进一步提高预算管理水平和财政资金使用效益。</w:t>
      </w:r>
    </w:p>
    <w:p>
      <w:pPr>
        <w:ind w:firstLine="640" w:firstLineChars="200"/>
        <w:rPr>
          <w:rFonts w:ascii="仿宋_GB2312" w:hAnsi="黑体" w:eastAsia="仿宋_GB2312"/>
          <w:sz w:val="32"/>
          <w:szCs w:val="32"/>
        </w:rPr>
      </w:pPr>
      <w:r>
        <w:rPr>
          <w:rFonts w:hint="eastAsia" w:ascii="仿宋_GB2312" w:hAnsi="黑体" w:eastAsia="仿宋_GB2312"/>
          <w:sz w:val="32"/>
          <w:szCs w:val="32"/>
        </w:rPr>
        <w:t>2.重点项目绩效评价情况。根据绩效管理工作要求，</w:t>
      </w:r>
      <w:r>
        <w:rPr>
          <w:rFonts w:hint="eastAsia" w:ascii="仿宋_GB2312" w:hAnsi="仿宋" w:eastAsia="仿宋_GB2312" w:cs="仿宋"/>
          <w:sz w:val="32"/>
          <w:szCs w:val="32"/>
        </w:rPr>
        <w:t>新区改革发展局</w:t>
      </w:r>
      <w:r>
        <w:rPr>
          <w:rFonts w:hint="eastAsia" w:ascii="仿宋_GB2312" w:hAnsi="仿宋" w:eastAsia="仿宋_GB2312" w:cs="Times New Roman"/>
          <w:sz w:val="32"/>
          <w:szCs w:val="32"/>
        </w:rPr>
        <w:t>对</w:t>
      </w:r>
      <w:r>
        <w:rPr>
          <w:rFonts w:hint="eastAsia" w:ascii="仿宋_GB2312" w:hAnsi="Calibri" w:eastAsia="仿宋_GB2312" w:cs="Times New Roman"/>
          <w:sz w:val="32"/>
          <w:szCs w:val="32"/>
        </w:rPr>
        <w:t>教育提升、医疗卫生帮扶、</w:t>
      </w:r>
      <w:r>
        <w:rPr>
          <w:rFonts w:hint="eastAsia" w:ascii="仿宋_GB2312" w:hAnsi="仿宋" w:eastAsia="仿宋_GB2312" w:cs="Times New Roman"/>
          <w:sz w:val="32"/>
          <w:szCs w:val="32"/>
        </w:rPr>
        <w:t>传统产业转型升级</w:t>
      </w:r>
      <w:r>
        <w:rPr>
          <w:rFonts w:hint="eastAsia" w:ascii="仿宋_GB2312" w:hAnsi="仿宋" w:eastAsia="仿宋_GB2312"/>
          <w:sz w:val="32"/>
          <w:szCs w:val="32"/>
        </w:rPr>
        <w:t>、清除围堤围埝及网围沟壕</w:t>
      </w:r>
      <w:r>
        <w:rPr>
          <w:rFonts w:hint="eastAsia" w:ascii="仿宋_GB2312" w:hAnsi="仿宋" w:eastAsia="仿宋_GB2312" w:cs="Times New Roman"/>
          <w:sz w:val="32"/>
          <w:szCs w:val="32"/>
        </w:rPr>
        <w:t>四个项目开展重点绩效评价。四个项目绩效评价平均得分70.89分，评价等级均为“中”。针对绩效评价发现的问题，</w:t>
      </w:r>
      <w:r>
        <w:rPr>
          <w:rFonts w:hint="eastAsia" w:ascii="仿宋_GB2312" w:hAnsi="仿宋" w:eastAsia="仿宋_GB2312" w:cs="仿宋"/>
          <w:sz w:val="32"/>
          <w:szCs w:val="32"/>
        </w:rPr>
        <w:t>新区改革发展局要求项目单位加强整改落实，并</w:t>
      </w:r>
      <w:r>
        <w:rPr>
          <w:rFonts w:hint="eastAsia" w:ascii="仿宋_GB2312" w:hAnsi="仿宋" w:eastAsia="仿宋_GB2312" w:cs="Times New Roman"/>
          <w:sz w:val="32"/>
          <w:szCs w:val="32"/>
        </w:rPr>
        <w:t>将重点评价结果作为安排预算、完善政策和改进管理的重要依据。</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2403.26万元，比2018年度决算增加901.04万元，同比增长59.98%。主要原因是2019年新增人员入编及管委会各项工作步入正轨，导致公务接待费、公车运行维护费、会议费、培训费、办公设备购置费均有增加。</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本部门2019年度政府采购支出总额12219.94万元，从采购类型来看，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204.09</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12015.84</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4663.82</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38.17%，</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2610.15</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21.36</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26辆，比上年增加0辆，主要是2019年未采购新车。其中，副部（省）级及以上领导用车0辆，主要领导干部用车0辆，机要通信用车1辆，应急保障用车9辆，执法执勤用车6辆，特种专业技术用车0辆，离退休干部用车0辆，其他用车10辆，其他用车主要是用于调研接待。</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1.本部门2019年度国有资本经营无收支及结转结余情况，故公开09表以空表列示。</w:t>
      </w:r>
    </w:p>
    <w:p>
      <w:pPr>
        <w:adjustRightInd w:val="0"/>
        <w:snapToGrid w:val="0"/>
        <w:spacing w:line="580" w:lineRule="exact"/>
        <w:ind w:firstLine="640" w:firstLineChars="200"/>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r>
        <w:rPr>
          <w:rFonts w:hint="eastAsia" w:ascii="仿宋_GB2312" w:hAnsi="Times New Roman" w:eastAsia="仿宋_GB2312" w:cs="DengXian-Regular"/>
          <w:sz w:val="32"/>
          <w:szCs w:val="32"/>
        </w:rPr>
        <w:t>2.由于决算公开表格中金额数值应当保留两位小数，公开数据为四舍五入计算结果，个别数据合计项与分项之和存在小数点后差额，特此说明。</w:t>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
    <w:p>
      <w:pPr>
        <w:tabs>
          <w:tab w:val="left" w:pos="886"/>
        </w:tabs>
        <w:jc w:val="left"/>
        <w:sectPr>
          <w:headerReference r:id="rId19" w:type="first"/>
          <w:footerReference r:id="rId21" w:type="first"/>
          <w:headerReference r:id="rId18" w:type="default"/>
          <w:footerReference r:id="rId20" w:type="defaul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r>
        <w:rPr>
          <w:rFonts w:hint="eastAsia" w:ascii="仿宋_GB2312" w:hAnsi="宋体" w:eastAsia="仿宋_GB2312" w:cs="ArialUnicodeMS"/>
          <w:sz w:val="32"/>
          <w:szCs w:val="32"/>
          <w:highlight w:val="yellow"/>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b/>
          <w:bCs/>
          <w:color w:val="000000"/>
          <w:kern w:val="0"/>
          <w:sz w:val="32"/>
          <w:szCs w:val="32"/>
          <w:lang w:eastAsia="zh-CN"/>
        </w:rPr>
        <w:t>：</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
    <w:p/>
    <w:p>
      <w:pPr>
        <w:jc w:val="left"/>
        <w:sectPr>
          <w:headerReference r:id="rId2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35.85pt;height:263.1pt;width:613.65pt;z-index:437281792;v-text-anchor:middle;mso-width-relative:page;mso-height-relative:page;" fillcolor="#FFD966" filled="t" stroked="t" coordsize="21600,21600"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GGoOK3AAAAA0BAAAPAAAAAAAAAAEAIAAAACIAAABkcnMvZG93bnJldi54bWxQSwECFAAUAAAA&#10;CACHTuJAew5iW1wCAAC6BAAADgAAAAAAAAABACAAAAArAQAAZHJzL2Uyb0RvYy54bWxQSwUGAAAA&#10;AAYABgBZAQAA+QU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jc w:val="left"/>
      </w:pPr>
    </w:p>
    <w:tbl>
      <w:tblPr>
        <w:tblStyle w:val="8"/>
        <w:tblpPr w:leftFromText="180" w:rightFromText="180" w:vertAnchor="text" w:horzAnchor="page" w:tblpX="596" w:tblpY="233"/>
        <w:tblOverlap w:val="never"/>
        <w:tblW w:w="10452" w:type="dxa"/>
        <w:jc w:val="center"/>
        <w:tblLayout w:type="fixed"/>
        <w:tblCellMar>
          <w:top w:w="0" w:type="dxa"/>
          <w:left w:w="0" w:type="dxa"/>
          <w:bottom w:w="0" w:type="dxa"/>
          <w:right w:w="0" w:type="dxa"/>
        </w:tblCellMar>
      </w:tblPr>
      <w:tblGrid>
        <w:gridCol w:w="3522"/>
        <w:gridCol w:w="550"/>
        <w:gridCol w:w="1584"/>
        <w:gridCol w:w="2762"/>
        <w:gridCol w:w="541"/>
        <w:gridCol w:w="1493"/>
      </w:tblGrid>
      <w:tr>
        <w:trPr>
          <w:trHeight w:val="489" w:hRule="atLeast"/>
          <w:jc w:val="center"/>
        </w:trPr>
        <w:tc>
          <w:tcPr>
            <w:tcW w:w="10452"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CellMar>
            <w:top w:w="0" w:type="dxa"/>
            <w:left w:w="0" w:type="dxa"/>
            <w:bottom w:w="0" w:type="dxa"/>
            <w:right w:w="0" w:type="dxa"/>
          </w:tblCellMar>
        </w:tblPrEx>
        <w:trPr>
          <w:trHeight w:val="205" w:hRule="atLeast"/>
          <w:jc w:val="center"/>
        </w:trPr>
        <w:tc>
          <w:tcPr>
            <w:tcW w:w="35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796"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CellMar>
            <w:top w:w="0" w:type="dxa"/>
            <w:left w:w="0" w:type="dxa"/>
            <w:bottom w:w="0" w:type="dxa"/>
            <w:right w:w="0" w:type="dxa"/>
          </w:tblCellMar>
        </w:tblPrEx>
        <w:trPr>
          <w:trHeight w:val="421" w:hRule="atLeast"/>
          <w:jc w:val="center"/>
        </w:trPr>
        <w:tc>
          <w:tcPr>
            <w:tcW w:w="352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部门：河北雄安新区管理委员会</w:t>
            </w:r>
          </w:p>
        </w:tc>
        <w:tc>
          <w:tcPr>
            <w:tcW w:w="5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796"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67" w:hRule="atLeast"/>
          <w:jc w:val="center"/>
        </w:trPr>
        <w:tc>
          <w:tcPr>
            <w:tcW w:w="565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收入</w:t>
            </w:r>
          </w:p>
        </w:tc>
        <w:tc>
          <w:tcPr>
            <w:tcW w:w="4796"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支出</w:t>
            </w:r>
          </w:p>
        </w:tc>
      </w:tr>
      <w:tr>
        <w:tblPrEx>
          <w:tblCellMar>
            <w:top w:w="0" w:type="dxa"/>
            <w:left w:w="0" w:type="dxa"/>
            <w:bottom w:w="0" w:type="dxa"/>
            <w:right w:w="0" w:type="dxa"/>
          </w:tblCellMar>
        </w:tblPrEx>
        <w:trPr>
          <w:trHeight w:val="770"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w:t>
            </w: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一、一般公共预算财政拨款收入</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1,194,792.20</w:t>
            </w: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351,727.22</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二、政府性基金预算财政拨款收入</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1,343,836.40</w:t>
            </w: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rPr>
          <w:trHeight w:val="182"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三、上级补助收入</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10.00</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四、事业收入</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70.87</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五、经营收入</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159.38</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六、附属单位上缴收入</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70.00</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七、其他收入</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0.17</w:t>
            </w: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810.95</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558.98</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354.85</w:t>
            </w:r>
          </w:p>
        </w:tc>
      </w:tr>
      <w:tr>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30,374.05</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677,746.35</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18,921.70</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944.26</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1,838.28</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1,019.18</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38.62</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45,825.75</w:t>
            </w:r>
          </w:p>
        </w:tc>
      </w:tr>
      <w:tr>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215,626.90</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49</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2,170.10</w:t>
            </w:r>
          </w:p>
        </w:tc>
      </w:tr>
      <w:tr>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1,284,076.40</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51</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111,652.00</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本年收入合计</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2,538,628.77</w:t>
            </w: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2,743,995.85</w:t>
            </w:r>
          </w:p>
        </w:tc>
      </w:tr>
      <w:tr>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用事业基金弥补收支差额</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0.00</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年初结转和结余</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226,428.77</w:t>
            </w: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21,061.69</w:t>
            </w: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szCs w:val="20"/>
              </w:rPr>
            </w:pPr>
          </w:p>
        </w:tc>
      </w:tr>
      <w:tr>
        <w:tblPrEx>
          <w:tblCellMar>
            <w:top w:w="0" w:type="dxa"/>
            <w:left w:w="0" w:type="dxa"/>
            <w:bottom w:w="0" w:type="dxa"/>
            <w:right w:w="0" w:type="dxa"/>
          </w:tblCellMar>
        </w:tblPrEx>
        <w:trPr>
          <w:trHeight w:val="213" w:hRule="atLeast"/>
          <w:jc w:val="center"/>
        </w:trPr>
        <w:tc>
          <w:tcPr>
            <w:tcW w:w="35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总计</w:t>
            </w:r>
          </w:p>
        </w:tc>
        <w:tc>
          <w:tcPr>
            <w:tcW w:w="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1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2,765,057.54</w:t>
            </w:r>
          </w:p>
        </w:tc>
        <w:tc>
          <w:tcPr>
            <w:tcW w:w="2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1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2,765,057.54</w:t>
            </w:r>
          </w:p>
        </w:tc>
      </w:tr>
      <w:tr>
        <w:tblPrEx>
          <w:tblCellMar>
            <w:top w:w="0" w:type="dxa"/>
            <w:left w:w="0" w:type="dxa"/>
            <w:bottom w:w="0" w:type="dxa"/>
            <w:right w:w="0" w:type="dxa"/>
          </w:tblCellMar>
        </w:tblPrEx>
        <w:trPr>
          <w:trHeight w:val="213" w:hRule="atLeast"/>
          <w:jc w:val="center"/>
        </w:trPr>
        <w:tc>
          <w:tcPr>
            <w:tcW w:w="10452"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注：本表反映部门本年度的总收支和年末结转结余情况。</w:t>
            </w:r>
          </w:p>
          <w:p>
            <w:pPr>
              <w:widowControl/>
              <w:jc w:val="left"/>
              <w:textAlignment w:val="center"/>
              <w:rPr>
                <w:rFonts w:ascii="宋体" w:hAnsi="宋体" w:eastAsia="宋体" w:cs="宋体"/>
                <w:color w:val="000000"/>
                <w:kern w:val="0"/>
                <w:sz w:val="20"/>
                <w:szCs w:val="20"/>
                <w:lang w:bidi="ar"/>
              </w:rPr>
            </w:pPr>
          </w:p>
        </w:tc>
      </w:tr>
    </w:tbl>
    <w:p>
      <w:pPr>
        <w:jc w:val="left"/>
      </w:pPr>
    </w:p>
    <w:p>
      <w:pPr>
        <w:jc w:val="left"/>
      </w:pPr>
    </w:p>
    <w:tbl>
      <w:tblPr>
        <w:tblStyle w:val="8"/>
        <w:tblpPr w:leftFromText="180" w:rightFromText="180" w:vertAnchor="text" w:horzAnchor="page" w:tblpX="584" w:tblpY="311"/>
        <w:tblOverlap w:val="never"/>
        <w:tblW w:w="10804" w:type="dxa"/>
        <w:tblInd w:w="0" w:type="dxa"/>
        <w:tblLayout w:type="fixed"/>
        <w:tblCellMar>
          <w:top w:w="0" w:type="dxa"/>
          <w:left w:w="0" w:type="dxa"/>
          <w:bottom w:w="0" w:type="dxa"/>
          <w:right w:w="0" w:type="dxa"/>
        </w:tblCellMar>
      </w:tblPr>
      <w:tblGrid>
        <w:gridCol w:w="1005"/>
        <w:gridCol w:w="1304"/>
        <w:gridCol w:w="240"/>
        <w:gridCol w:w="1330"/>
        <w:gridCol w:w="1620"/>
        <w:gridCol w:w="1060"/>
        <w:gridCol w:w="457"/>
        <w:gridCol w:w="391"/>
        <w:gridCol w:w="567"/>
        <w:gridCol w:w="550"/>
        <w:gridCol w:w="579"/>
        <w:gridCol w:w="1063"/>
        <w:gridCol w:w="638"/>
      </w:tblGrid>
      <w:tr>
        <w:tblPrEx>
          <w:tblCellMar>
            <w:top w:w="0" w:type="dxa"/>
            <w:left w:w="0" w:type="dxa"/>
            <w:bottom w:w="0" w:type="dxa"/>
            <w:right w:w="0" w:type="dxa"/>
          </w:tblCellMar>
        </w:tblPrEx>
        <w:trPr>
          <w:cantSplit/>
          <w:trHeight w:val="669" w:hRule="atLeast"/>
          <w:tblHeader/>
        </w:trPr>
        <w:tc>
          <w:tcPr>
            <w:tcW w:w="10804" w:type="dxa"/>
            <w:gridSpan w:val="13"/>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cantSplit/>
          <w:trHeight w:val="90" w:hRule="atLeast"/>
          <w:tblHeader/>
        </w:trPr>
        <w:tc>
          <w:tcPr>
            <w:tcW w:w="10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0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cantSplit/>
          <w:trHeight w:val="357" w:hRule="atLeast"/>
          <w:tblHeader/>
        </w:trPr>
        <w:tc>
          <w:tcPr>
            <w:tcW w:w="3879"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8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6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51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58"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5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5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63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cantSplit/>
          <w:trHeight w:val="380" w:hRule="atLeast"/>
          <w:tblHeader/>
        </w:trPr>
        <w:tc>
          <w:tcPr>
            <w:tcW w:w="10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874"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5" w:hRule="atLeast"/>
          <w:tblHeader/>
        </w:trPr>
        <w:tc>
          <w:tcPr>
            <w:tcW w:w="3879" w:type="dxa"/>
            <w:gridSpan w:val="4"/>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62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517"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5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5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57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6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3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2,538,628.77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0.17</w:t>
            </w: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一般公共服务支出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151,620.37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151,620.20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0.17</w:t>
            </w: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20103</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政府办公厅（室）及相关机构事务</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9,189.21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9,189.04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0.17</w:t>
            </w: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2010301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行政运行</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7,306.61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7,306.44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0.17</w:t>
            </w: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2010302</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一般行政管理事务</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247.80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247.80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2010303</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机关服务</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524.65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524.65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2010306</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政务公开审批</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569.22</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569.22</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729"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2010399</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其他政府办公厅（室）及相关机构事务支出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540.93</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540.93</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1"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发展与改革事务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131,357.92</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131,357.92</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2010402</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一般行政管理事务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477.13</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477.13</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2010404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战略规划与实施</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819.27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819.27</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2010407</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经济体制改革研究</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60.11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60.11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2010499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其他发展与改革事务支出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130,001.41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130,001.41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20106</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财政事务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3,770.36</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3,770.36</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2010604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预算改革业务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195.77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195.77</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23"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2010608</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财政委托业务支出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3,574.58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3,574.58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20108</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审计事务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37.90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37.90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2010801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行政运行</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37.90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37.90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20110</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人力资源事务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21.35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21.35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2011002</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一般行政管理事务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21.35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21.35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20111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纪检监察事务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298.36</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298.36</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2011105</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派驻派出机构</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231.86</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231.86</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2011199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其他纪检监察事务支出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66.50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66.50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bl>
    <w:p>
      <w:pPr>
        <w:jc w:val="left"/>
      </w:pPr>
    </w:p>
    <w:p>
      <w:pPr>
        <w:jc w:val="left"/>
      </w:pPr>
    </w:p>
    <w:tbl>
      <w:tblPr>
        <w:tblStyle w:val="8"/>
        <w:tblpPr w:leftFromText="180" w:rightFromText="180" w:vertAnchor="text" w:horzAnchor="page" w:tblpX="584" w:tblpY="311"/>
        <w:tblOverlap w:val="never"/>
        <w:tblW w:w="10804" w:type="dxa"/>
        <w:tblInd w:w="0" w:type="dxa"/>
        <w:tblLayout w:type="fixed"/>
        <w:tblCellMar>
          <w:top w:w="0" w:type="dxa"/>
          <w:left w:w="0" w:type="dxa"/>
          <w:bottom w:w="0" w:type="dxa"/>
          <w:right w:w="0" w:type="dxa"/>
        </w:tblCellMar>
      </w:tblPr>
      <w:tblGrid>
        <w:gridCol w:w="1005"/>
        <w:gridCol w:w="1304"/>
        <w:gridCol w:w="240"/>
        <w:gridCol w:w="1330"/>
        <w:gridCol w:w="1620"/>
        <w:gridCol w:w="1060"/>
        <w:gridCol w:w="457"/>
        <w:gridCol w:w="391"/>
        <w:gridCol w:w="567"/>
        <w:gridCol w:w="550"/>
        <w:gridCol w:w="579"/>
        <w:gridCol w:w="1063"/>
        <w:gridCol w:w="638"/>
      </w:tblGrid>
      <w:tr>
        <w:tblPrEx>
          <w:tblCellMar>
            <w:top w:w="0" w:type="dxa"/>
            <w:left w:w="0" w:type="dxa"/>
            <w:bottom w:w="0" w:type="dxa"/>
            <w:right w:w="0" w:type="dxa"/>
          </w:tblCellMar>
        </w:tblPrEx>
        <w:trPr>
          <w:cantSplit/>
          <w:trHeight w:val="669" w:hRule="atLeast"/>
          <w:tblHeader/>
        </w:trPr>
        <w:tc>
          <w:tcPr>
            <w:tcW w:w="10804" w:type="dxa"/>
            <w:gridSpan w:val="13"/>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cantSplit/>
          <w:trHeight w:val="90" w:hRule="atLeast"/>
          <w:tblHeader/>
        </w:trPr>
        <w:tc>
          <w:tcPr>
            <w:tcW w:w="10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0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cantSplit/>
          <w:trHeight w:val="357" w:hRule="atLeast"/>
          <w:tblHeader/>
        </w:trPr>
        <w:tc>
          <w:tcPr>
            <w:tcW w:w="3879"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8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6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51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58"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5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5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63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cantSplit/>
          <w:trHeight w:val="380" w:hRule="atLeast"/>
          <w:tblHeader/>
        </w:trPr>
        <w:tc>
          <w:tcPr>
            <w:tcW w:w="10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874"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5" w:hRule="atLeast"/>
          <w:tblHeader/>
        </w:trPr>
        <w:tc>
          <w:tcPr>
            <w:tcW w:w="3879" w:type="dxa"/>
            <w:gridSpan w:val="4"/>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62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517"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5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5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57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6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3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2,538,628.77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0.17</w:t>
            </w: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20126</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档案事务</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17.90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17.90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2012601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行政运行</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17.90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17.90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20129</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群众团体事务</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41.54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41.54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2012901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行政运行</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41.54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41.54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20132</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组织事务</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5,205.90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5,205.90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2013201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行政运行</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67.70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67.70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98"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2013299</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其他组织事务支出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5,138.20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5,138.20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1"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20133</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宣传事务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955.34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955.34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2013350</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事业运行</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131.84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131.84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56"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2013399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其他宣传事务支出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823.51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823.51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统战事务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24.45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24.45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2013404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宗教事务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2.55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2.55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2013499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其他统战事务支出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21.90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21.90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20136</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其他共产党事务支出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360.88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360.88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23"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2013601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行政运行</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360.88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360.88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20137</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网信事务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83.75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83.75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2013799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其他网信事务支出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83.75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83.75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20138</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市场监督管理事务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208.03</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208.03</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2013802</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一般行政管理事务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87.90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87.90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2013804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市场监督管理专项</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76.89</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76.89</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2013899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其他市场监督管理事务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43.24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43.24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其他一般公共服务支出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47.48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47.48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2019999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其他一般公共服务支出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47.48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47.48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203</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国防支出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bl>
    <w:p>
      <w:pPr>
        <w:jc w:val="left"/>
      </w:pPr>
    </w:p>
    <w:p>
      <w:pPr>
        <w:jc w:val="left"/>
      </w:pPr>
    </w:p>
    <w:tbl>
      <w:tblPr>
        <w:tblStyle w:val="8"/>
        <w:tblpPr w:leftFromText="180" w:rightFromText="180" w:vertAnchor="text" w:horzAnchor="page" w:tblpX="584" w:tblpY="311"/>
        <w:tblOverlap w:val="never"/>
        <w:tblW w:w="10804" w:type="dxa"/>
        <w:tblInd w:w="0" w:type="dxa"/>
        <w:tblLayout w:type="fixed"/>
        <w:tblCellMar>
          <w:top w:w="0" w:type="dxa"/>
          <w:left w:w="0" w:type="dxa"/>
          <w:bottom w:w="0" w:type="dxa"/>
          <w:right w:w="0" w:type="dxa"/>
        </w:tblCellMar>
      </w:tblPr>
      <w:tblGrid>
        <w:gridCol w:w="1005"/>
        <w:gridCol w:w="1304"/>
        <w:gridCol w:w="240"/>
        <w:gridCol w:w="1330"/>
        <w:gridCol w:w="1620"/>
        <w:gridCol w:w="1060"/>
        <w:gridCol w:w="457"/>
        <w:gridCol w:w="391"/>
        <w:gridCol w:w="567"/>
        <w:gridCol w:w="550"/>
        <w:gridCol w:w="579"/>
        <w:gridCol w:w="1063"/>
        <w:gridCol w:w="638"/>
      </w:tblGrid>
      <w:tr>
        <w:tblPrEx>
          <w:tblCellMar>
            <w:top w:w="0" w:type="dxa"/>
            <w:left w:w="0" w:type="dxa"/>
            <w:bottom w:w="0" w:type="dxa"/>
            <w:right w:w="0" w:type="dxa"/>
          </w:tblCellMar>
        </w:tblPrEx>
        <w:trPr>
          <w:cantSplit/>
          <w:trHeight w:val="669" w:hRule="atLeast"/>
          <w:tblHeader/>
        </w:trPr>
        <w:tc>
          <w:tcPr>
            <w:tcW w:w="10804" w:type="dxa"/>
            <w:gridSpan w:val="13"/>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cantSplit/>
          <w:trHeight w:val="90" w:hRule="atLeast"/>
          <w:tblHeader/>
        </w:trPr>
        <w:tc>
          <w:tcPr>
            <w:tcW w:w="10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0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cantSplit/>
          <w:trHeight w:val="357" w:hRule="atLeast"/>
          <w:tblHeader/>
        </w:trPr>
        <w:tc>
          <w:tcPr>
            <w:tcW w:w="3879"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8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6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51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58"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5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5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63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cantSplit/>
          <w:trHeight w:val="380" w:hRule="atLeast"/>
          <w:tblHeader/>
        </w:trPr>
        <w:tc>
          <w:tcPr>
            <w:tcW w:w="10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874"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5" w:hRule="atLeast"/>
          <w:tblHeader/>
        </w:trPr>
        <w:tc>
          <w:tcPr>
            <w:tcW w:w="3879" w:type="dxa"/>
            <w:gridSpan w:val="4"/>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62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517"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5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5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57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6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3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2,538,628.77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0.17</w:t>
            </w: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20306</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国防动员</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2030603</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人民防空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204</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公共安全支出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70.87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70.87</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20402</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公安</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56.37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56.37</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2040299</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其他公安支出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56.37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56.37</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20406</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司法</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14.49</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14.49</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98"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2040601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行政运行</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14.49</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14.49</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1"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205</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教育支出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161.26</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161.26</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20501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教育管理事务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12.40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12.40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56"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2050199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其他教育管理事务支出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12.40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12.40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20502</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普通教育</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2050205</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高等教育</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20508</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进修及培训</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86.12</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86.12</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2050801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教师进修</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69.39</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69.39</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23"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2050803</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培训支出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16.73</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16.73</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20599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其他教育支出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60.94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60.94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2059999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其他教育支出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60.94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60.94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206</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科学技术支出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20604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技术研究与开发</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2060402</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应用技术研究与开发</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文化旅游体育与传媒支出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810.96</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810.96</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文化和旅游</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657.30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657.30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2070102</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一般行政管理事务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65.60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65.60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bl>
    <w:p>
      <w:pPr>
        <w:jc w:val="left"/>
      </w:pPr>
    </w:p>
    <w:p>
      <w:pPr>
        <w:jc w:val="left"/>
      </w:pPr>
    </w:p>
    <w:tbl>
      <w:tblPr>
        <w:tblStyle w:val="8"/>
        <w:tblpPr w:leftFromText="180" w:rightFromText="180" w:vertAnchor="text" w:horzAnchor="page" w:tblpX="584" w:tblpY="311"/>
        <w:tblOverlap w:val="never"/>
        <w:tblW w:w="10804" w:type="dxa"/>
        <w:tblInd w:w="0" w:type="dxa"/>
        <w:tblLayout w:type="fixed"/>
        <w:tblCellMar>
          <w:top w:w="0" w:type="dxa"/>
          <w:left w:w="0" w:type="dxa"/>
          <w:bottom w:w="0" w:type="dxa"/>
          <w:right w:w="0" w:type="dxa"/>
        </w:tblCellMar>
      </w:tblPr>
      <w:tblGrid>
        <w:gridCol w:w="1005"/>
        <w:gridCol w:w="1304"/>
        <w:gridCol w:w="240"/>
        <w:gridCol w:w="1330"/>
        <w:gridCol w:w="1620"/>
        <w:gridCol w:w="1060"/>
        <w:gridCol w:w="457"/>
        <w:gridCol w:w="391"/>
        <w:gridCol w:w="567"/>
        <w:gridCol w:w="550"/>
        <w:gridCol w:w="579"/>
        <w:gridCol w:w="1063"/>
        <w:gridCol w:w="638"/>
      </w:tblGrid>
      <w:tr>
        <w:trPr>
          <w:cantSplit/>
          <w:trHeight w:val="669" w:hRule="atLeast"/>
          <w:tblHeader/>
        </w:trPr>
        <w:tc>
          <w:tcPr>
            <w:tcW w:w="10804" w:type="dxa"/>
            <w:gridSpan w:val="13"/>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cantSplit/>
          <w:trHeight w:val="90" w:hRule="atLeast"/>
          <w:tblHeader/>
        </w:trPr>
        <w:tc>
          <w:tcPr>
            <w:tcW w:w="10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0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cantSplit/>
          <w:trHeight w:val="357" w:hRule="atLeast"/>
          <w:tblHeader/>
        </w:trPr>
        <w:tc>
          <w:tcPr>
            <w:tcW w:w="3879"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8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6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51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58"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5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5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63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cantSplit/>
          <w:trHeight w:val="380" w:hRule="atLeast"/>
          <w:tblHeader/>
        </w:trPr>
        <w:tc>
          <w:tcPr>
            <w:tcW w:w="10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874"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5" w:hRule="atLeast"/>
          <w:tblHeader/>
        </w:trPr>
        <w:tc>
          <w:tcPr>
            <w:tcW w:w="3879" w:type="dxa"/>
            <w:gridSpan w:val="4"/>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62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517"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5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5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57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6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3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2,538,628.77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0.17</w:t>
            </w: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2070108</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文化活动</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8.50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8.50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2070114</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旅游行业业务管理</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76.60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76.60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2070199</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其他文化和旅游支出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506.60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506.60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20702</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文物</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16.95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16.95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2070204</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文物保护</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16.95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16.95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20703</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体育</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3.02</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3.02</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98"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2070305</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体育竞赛</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3.02</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3.02</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1"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20706</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新闻出版电影</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101.40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101.40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2070605</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出版发行</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101.40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101.40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56"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其他文化体育与传媒支出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32.30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32.30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2079902</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宣传文化发展专项支出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32.30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32.30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社会保障和就业支出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558.98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558.98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人力资源和社会保障管理事务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114.40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114.40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2080109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社会保险经办机构</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114.40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114.40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23"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20805</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行政事业单位离退休</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262.95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262.95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2080505</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机关事业单位基本养老保险缴费支出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262.95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262.95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20807</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就业补助</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120.71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120.71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2080701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就业创业服务补贴</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120.71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120.71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20808</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抚恤</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38.80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38.80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2080899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其他优抚支出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38.80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38.80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20809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退役安置</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12.19</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12.19</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2080905</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军队转业干部安置</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12.19</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12.19</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bl>
    <w:p>
      <w:pPr>
        <w:jc w:val="left"/>
      </w:pPr>
    </w:p>
    <w:p>
      <w:pPr>
        <w:jc w:val="left"/>
      </w:pPr>
    </w:p>
    <w:tbl>
      <w:tblPr>
        <w:tblStyle w:val="8"/>
        <w:tblpPr w:leftFromText="180" w:rightFromText="180" w:vertAnchor="text" w:horzAnchor="page" w:tblpX="584" w:tblpY="311"/>
        <w:tblOverlap w:val="never"/>
        <w:tblW w:w="10804" w:type="dxa"/>
        <w:tblInd w:w="0" w:type="dxa"/>
        <w:tblLayout w:type="fixed"/>
        <w:tblCellMar>
          <w:top w:w="0" w:type="dxa"/>
          <w:left w:w="0" w:type="dxa"/>
          <w:bottom w:w="0" w:type="dxa"/>
          <w:right w:w="0" w:type="dxa"/>
        </w:tblCellMar>
      </w:tblPr>
      <w:tblGrid>
        <w:gridCol w:w="1005"/>
        <w:gridCol w:w="1304"/>
        <w:gridCol w:w="240"/>
        <w:gridCol w:w="1330"/>
        <w:gridCol w:w="1620"/>
        <w:gridCol w:w="1060"/>
        <w:gridCol w:w="457"/>
        <w:gridCol w:w="391"/>
        <w:gridCol w:w="567"/>
        <w:gridCol w:w="550"/>
        <w:gridCol w:w="579"/>
        <w:gridCol w:w="1063"/>
        <w:gridCol w:w="638"/>
      </w:tblGrid>
      <w:tr>
        <w:trPr>
          <w:cantSplit/>
          <w:trHeight w:val="669" w:hRule="atLeast"/>
          <w:tblHeader/>
        </w:trPr>
        <w:tc>
          <w:tcPr>
            <w:tcW w:w="10804" w:type="dxa"/>
            <w:gridSpan w:val="13"/>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cantSplit/>
          <w:trHeight w:val="90" w:hRule="atLeast"/>
          <w:tblHeader/>
        </w:trPr>
        <w:tc>
          <w:tcPr>
            <w:tcW w:w="10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0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cantSplit/>
          <w:trHeight w:val="357" w:hRule="atLeast"/>
          <w:tblHeader/>
        </w:trPr>
        <w:tc>
          <w:tcPr>
            <w:tcW w:w="3879"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8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6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51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58"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5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5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63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cantSplit/>
          <w:trHeight w:val="380" w:hRule="atLeast"/>
          <w:tblHeader/>
        </w:trPr>
        <w:tc>
          <w:tcPr>
            <w:tcW w:w="10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874"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5" w:hRule="atLeast"/>
          <w:tblHeader/>
        </w:trPr>
        <w:tc>
          <w:tcPr>
            <w:tcW w:w="3879" w:type="dxa"/>
            <w:gridSpan w:val="4"/>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62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517"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5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5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57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6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3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2,538,628.77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0.17</w:t>
            </w: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20811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残疾人事业</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9.94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9.94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2081101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行政运行</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0.84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0.84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2081107</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残疾人生活和护理补贴</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9.10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9.10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210</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卫生健康支出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355.22</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355.22</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21001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卫生健康管理事务</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146.73</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146.73</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2100199</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其他卫生健康管理事务支出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146.73</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146.73</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98"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21002</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公立医院</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1"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2100201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综合医院</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21004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公共卫生</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10.69</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10.69</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56"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2100408</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基本公共卫生服务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10.69</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10.69</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21011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行政事业单位医疗</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97.80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97.80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2101101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行政单位医疗</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97.60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97.60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2101199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其他行政事业单位医疗支出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0.20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0.20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节能环保支出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30,374.05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30,374.05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23"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21104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自然生态保护</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30,000.00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30,000.00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2110499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其他自然生态保护支出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30,000.00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30,000.00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21114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能源管理事务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374.05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374.05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2111402</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一般行政管理事务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374.05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374.05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城乡社区支出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651,729.47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651,729.47</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城乡社区管理事务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7,706.04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7,706.04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2120101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行政运行</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6,838.84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6,838.84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2120102</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一般行政管理事务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24.00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24.00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2120104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城管执法</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372.11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372.11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bl>
    <w:p>
      <w:pPr>
        <w:jc w:val="left"/>
      </w:pPr>
    </w:p>
    <w:p>
      <w:pPr>
        <w:jc w:val="left"/>
      </w:pPr>
    </w:p>
    <w:p>
      <w:pPr>
        <w:jc w:val="left"/>
      </w:pPr>
    </w:p>
    <w:tbl>
      <w:tblPr>
        <w:tblStyle w:val="8"/>
        <w:tblpPr w:leftFromText="180" w:rightFromText="180" w:vertAnchor="page" w:horzAnchor="page" w:tblpX="630" w:tblpY="1615"/>
        <w:tblOverlap w:val="never"/>
        <w:tblW w:w="10804" w:type="dxa"/>
        <w:tblInd w:w="0" w:type="dxa"/>
        <w:tblLayout w:type="fixed"/>
        <w:tblCellMar>
          <w:top w:w="0" w:type="dxa"/>
          <w:left w:w="0" w:type="dxa"/>
          <w:bottom w:w="0" w:type="dxa"/>
          <w:right w:w="0" w:type="dxa"/>
        </w:tblCellMar>
      </w:tblPr>
      <w:tblGrid>
        <w:gridCol w:w="1005"/>
        <w:gridCol w:w="1304"/>
        <w:gridCol w:w="240"/>
        <w:gridCol w:w="1330"/>
        <w:gridCol w:w="1620"/>
        <w:gridCol w:w="1060"/>
        <w:gridCol w:w="457"/>
        <w:gridCol w:w="391"/>
        <w:gridCol w:w="567"/>
        <w:gridCol w:w="550"/>
        <w:gridCol w:w="579"/>
        <w:gridCol w:w="1063"/>
        <w:gridCol w:w="638"/>
      </w:tblGrid>
      <w:tr>
        <w:tblPrEx>
          <w:tblCellMar>
            <w:top w:w="0" w:type="dxa"/>
            <w:left w:w="0" w:type="dxa"/>
            <w:bottom w:w="0" w:type="dxa"/>
            <w:right w:w="0" w:type="dxa"/>
          </w:tblCellMar>
        </w:tblPrEx>
        <w:trPr>
          <w:cantSplit/>
          <w:trHeight w:val="669" w:hRule="atLeast"/>
          <w:tblHeader/>
        </w:trPr>
        <w:tc>
          <w:tcPr>
            <w:tcW w:w="10804" w:type="dxa"/>
            <w:gridSpan w:val="13"/>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cantSplit/>
          <w:trHeight w:val="90" w:hRule="atLeast"/>
          <w:tblHeader/>
        </w:trPr>
        <w:tc>
          <w:tcPr>
            <w:tcW w:w="10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0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cantSplit/>
          <w:trHeight w:val="357" w:hRule="atLeast"/>
          <w:tblHeader/>
        </w:trPr>
        <w:tc>
          <w:tcPr>
            <w:tcW w:w="3879"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8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6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51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58"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5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5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63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cantSplit/>
          <w:trHeight w:val="380" w:hRule="atLeast"/>
          <w:tblHeader/>
        </w:trPr>
        <w:tc>
          <w:tcPr>
            <w:tcW w:w="10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874"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5" w:hRule="atLeast"/>
          <w:tblHeader/>
        </w:trPr>
        <w:tc>
          <w:tcPr>
            <w:tcW w:w="3879" w:type="dxa"/>
            <w:gridSpan w:val="4"/>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62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517"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5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5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57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6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3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2,538,628.77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0.17</w:t>
            </w: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2120106</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工程建设管理</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361.00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361.00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2120199</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其他城乡社区管理事务支出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110.09</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110.09</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21202</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城乡社区规划与管理</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24,198.81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24,198.81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2120201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城乡社区规划与管理</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24,198.81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24,198.81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21203</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城乡社区公共设施</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616,048.65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616,048.65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2120303</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小城镇基础设施建设</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570,048.65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570,048.65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98"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2120399</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其他城乡社区公共设施支出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46,000.00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46,000.00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1"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其他城乡社区支出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3,775.98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3,775.98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2129901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其他城乡社区支出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3,775.98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3,775.98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56"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农林水支出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18,921.71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18,921.71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农业</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170.56</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170.56</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2130106</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科技转化与推广服务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116.91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116.91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2130135</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农业资源保护修复与利用</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48.65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48.65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2130199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其他农业支出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23"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21302</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林业和草原</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17,600.00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17,600.00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2130205</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森林培育</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17,600.00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17,600.00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21303</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水利</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1,132.59</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1,132.59</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2130311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水资源节约管理与保护</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1,111.69</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1,111.69</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2130399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其他水利支出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20.90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20.90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21305</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扶贫</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9.96</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9.96</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2130501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行政运行</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9.96</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9.96</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其他农林水支出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8.60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2139999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其他农林水支出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8.60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8.60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bl>
    <w:tbl>
      <w:tblPr>
        <w:tblStyle w:val="8"/>
        <w:tblpPr w:leftFromText="180" w:rightFromText="180" w:vertAnchor="page" w:horzAnchor="page" w:tblpX="605" w:tblpY="1566"/>
        <w:tblOverlap w:val="never"/>
        <w:tblW w:w="10804" w:type="dxa"/>
        <w:tblInd w:w="0" w:type="dxa"/>
        <w:tblLayout w:type="fixed"/>
        <w:tblCellMar>
          <w:top w:w="0" w:type="dxa"/>
          <w:left w:w="0" w:type="dxa"/>
          <w:bottom w:w="0" w:type="dxa"/>
          <w:right w:w="0" w:type="dxa"/>
        </w:tblCellMar>
      </w:tblPr>
      <w:tblGrid>
        <w:gridCol w:w="1005"/>
        <w:gridCol w:w="1304"/>
        <w:gridCol w:w="240"/>
        <w:gridCol w:w="1330"/>
        <w:gridCol w:w="1620"/>
        <w:gridCol w:w="1060"/>
        <w:gridCol w:w="457"/>
        <w:gridCol w:w="391"/>
        <w:gridCol w:w="567"/>
        <w:gridCol w:w="550"/>
        <w:gridCol w:w="579"/>
        <w:gridCol w:w="1063"/>
        <w:gridCol w:w="638"/>
      </w:tblGrid>
      <w:tr>
        <w:tblPrEx>
          <w:tblCellMar>
            <w:top w:w="0" w:type="dxa"/>
            <w:left w:w="0" w:type="dxa"/>
            <w:bottom w:w="0" w:type="dxa"/>
            <w:right w:w="0" w:type="dxa"/>
          </w:tblCellMar>
        </w:tblPrEx>
        <w:trPr>
          <w:cantSplit/>
          <w:trHeight w:val="669" w:hRule="atLeast"/>
          <w:tblHeader/>
        </w:trPr>
        <w:tc>
          <w:tcPr>
            <w:tcW w:w="10804" w:type="dxa"/>
            <w:gridSpan w:val="13"/>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cantSplit/>
          <w:trHeight w:val="90" w:hRule="atLeast"/>
          <w:tblHeader/>
        </w:trPr>
        <w:tc>
          <w:tcPr>
            <w:tcW w:w="10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0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cantSplit/>
          <w:trHeight w:val="357" w:hRule="atLeast"/>
          <w:tblHeader/>
        </w:trPr>
        <w:tc>
          <w:tcPr>
            <w:tcW w:w="3879"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8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6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51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58"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5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5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63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cantSplit/>
          <w:trHeight w:val="380" w:hRule="atLeast"/>
          <w:tblHeader/>
        </w:trPr>
        <w:tc>
          <w:tcPr>
            <w:tcW w:w="10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874"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5" w:hRule="atLeast"/>
          <w:tblHeader/>
        </w:trPr>
        <w:tc>
          <w:tcPr>
            <w:tcW w:w="3879" w:type="dxa"/>
            <w:gridSpan w:val="4"/>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62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517"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5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5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57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6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3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2,538,628.77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0.17</w:t>
            </w: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214</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交通运输支出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697.58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697.58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21401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公路水路运输</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457.77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457.77</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2140109</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交通运输信息化建设</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275.00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275.00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2140199</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其他公路水路运输支出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182.77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182.77</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21499</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其他交通运输支出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239.81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239.81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2149999</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其他交通运输支出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239.81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239.81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98"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215</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资源勘探信息等支出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1,839.34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1,839.34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1"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21505</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工业和信息产业监管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1,839.34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1,839.34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2150509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工业和信息产业战略研究与标准制定</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7.32</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7.32</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56"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2150510</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工业和信息产业支持</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1,832.02</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1,832.02</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216</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商业服务业等支出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1,019.18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1,019.18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21602</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商业流通事务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2160299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其他商业流通事务支出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21606</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涉外发展服务支出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14.18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14.18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23"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2160699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其他涉外发展服务支出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14.18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14.18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21699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其他商业服务业等支出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1,000.00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1,000.00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2169999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其他商业服务业等支出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1,000.00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1,000.00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217</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金融支出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38.62</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38.62</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21799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其他金融支出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38.62</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38.62</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2179901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其他金融支出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38.62</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38.62</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220</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自然资源海洋气象等支出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66,825.75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66,825.75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22001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自然资源事务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151.35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151.35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2200105</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土地资源调查</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82.85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82.85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bl>
    <w:p>
      <w:pPr>
        <w:jc w:val="left"/>
      </w:pPr>
    </w:p>
    <w:p>
      <w:pPr>
        <w:jc w:val="left"/>
      </w:pPr>
    </w:p>
    <w:tbl>
      <w:tblPr>
        <w:tblStyle w:val="8"/>
        <w:tblpPr w:leftFromText="180" w:rightFromText="180" w:vertAnchor="page" w:horzAnchor="page" w:tblpX="580" w:tblpY="1519"/>
        <w:tblOverlap w:val="never"/>
        <w:tblW w:w="10804" w:type="dxa"/>
        <w:tblInd w:w="0" w:type="dxa"/>
        <w:tblLayout w:type="fixed"/>
        <w:tblCellMar>
          <w:top w:w="0" w:type="dxa"/>
          <w:left w:w="0" w:type="dxa"/>
          <w:bottom w:w="0" w:type="dxa"/>
          <w:right w:w="0" w:type="dxa"/>
        </w:tblCellMar>
      </w:tblPr>
      <w:tblGrid>
        <w:gridCol w:w="1005"/>
        <w:gridCol w:w="1304"/>
        <w:gridCol w:w="240"/>
        <w:gridCol w:w="1330"/>
        <w:gridCol w:w="1620"/>
        <w:gridCol w:w="1060"/>
        <w:gridCol w:w="457"/>
        <w:gridCol w:w="391"/>
        <w:gridCol w:w="567"/>
        <w:gridCol w:w="550"/>
        <w:gridCol w:w="579"/>
        <w:gridCol w:w="1063"/>
        <w:gridCol w:w="638"/>
      </w:tblGrid>
      <w:tr>
        <w:trPr>
          <w:cantSplit/>
          <w:trHeight w:val="669" w:hRule="atLeast"/>
          <w:tblHeader/>
        </w:trPr>
        <w:tc>
          <w:tcPr>
            <w:tcW w:w="10804" w:type="dxa"/>
            <w:gridSpan w:val="13"/>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cantSplit/>
          <w:trHeight w:val="90" w:hRule="atLeast"/>
          <w:tblHeader/>
        </w:trPr>
        <w:tc>
          <w:tcPr>
            <w:tcW w:w="10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0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cantSplit/>
          <w:trHeight w:val="357" w:hRule="atLeast"/>
          <w:tblHeader/>
        </w:trPr>
        <w:tc>
          <w:tcPr>
            <w:tcW w:w="3879"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8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6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51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58"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5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5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63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rPr>
          <w:cantSplit/>
          <w:trHeight w:val="380" w:hRule="atLeast"/>
          <w:tblHeader/>
        </w:trPr>
        <w:tc>
          <w:tcPr>
            <w:tcW w:w="10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874"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5" w:hRule="atLeast"/>
          <w:tblHeader/>
        </w:trPr>
        <w:tc>
          <w:tcPr>
            <w:tcW w:w="3879" w:type="dxa"/>
            <w:gridSpan w:val="4"/>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62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517"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5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5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57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6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3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2,538,628.77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0.17</w:t>
            </w: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2200114</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地质矿产资源利用与保护</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68.50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68.50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22003</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测绘事务</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674.40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674.40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2200304</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基础测绘</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674.40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674.40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22099</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其他自然资源海洋气象等支出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66,000.00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66,000.00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2209901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其他自然资源海洋气象等支出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66,000.00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66,000.00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住房保障支出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215,626.90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215,626.90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98"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22101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保障性安居工程支出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215,377.00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215,377.00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1"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2210103</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棚户区改造</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215,377.00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215,377.00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22102</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住房改革支出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166.41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166.41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56"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2210201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住房公积金</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166.41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166.41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22103</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城乡社区住宅</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83.49</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83.49</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2210399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其他城乡社区住宅支出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83.49</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83.49</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灾害防治及应急管理支出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2,170.10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2,170.10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22401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应急管理事务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733.08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733.08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423"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2240106</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安全监管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504.88</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504.88</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2240107</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安全生产基础</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150.94</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150.94</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2240108</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应急救援</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3.45</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3.45</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2240199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其他应急管理支出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73.81</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73.81</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22403</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森林消防事务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1,437.02</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1,437.02</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2240304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森林消防应急救援</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1,437.02</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1,437.02</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229</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1,284,076.40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1,284,076.40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22904</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其他政府性基金及对应专项债务收入安排的支出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1,284,000.00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1,284,000.00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bl>
    <w:p>
      <w:pPr>
        <w:jc w:val="left"/>
      </w:pPr>
    </w:p>
    <w:p>
      <w:pPr>
        <w:jc w:val="left"/>
      </w:pPr>
    </w:p>
    <w:p>
      <w:pPr>
        <w:jc w:val="left"/>
      </w:pPr>
    </w:p>
    <w:p>
      <w:pPr>
        <w:jc w:val="left"/>
      </w:pPr>
      <w:r>
        <w:t>注：本表反映部门本年度取得的各项收入情况。</w:t>
      </w:r>
    </w:p>
    <w:tbl>
      <w:tblPr>
        <w:tblStyle w:val="8"/>
        <w:tblpPr w:leftFromText="180" w:rightFromText="180" w:vertAnchor="page" w:horzAnchor="page" w:tblpX="596" w:tblpY="1531"/>
        <w:tblOverlap w:val="never"/>
        <w:tblW w:w="10804" w:type="dxa"/>
        <w:tblInd w:w="0" w:type="dxa"/>
        <w:tblLayout w:type="fixed"/>
        <w:tblCellMar>
          <w:top w:w="0" w:type="dxa"/>
          <w:left w:w="0" w:type="dxa"/>
          <w:bottom w:w="0" w:type="dxa"/>
          <w:right w:w="0" w:type="dxa"/>
        </w:tblCellMar>
      </w:tblPr>
      <w:tblGrid>
        <w:gridCol w:w="1005"/>
        <w:gridCol w:w="1304"/>
        <w:gridCol w:w="240"/>
        <w:gridCol w:w="1330"/>
        <w:gridCol w:w="1620"/>
        <w:gridCol w:w="1060"/>
        <w:gridCol w:w="457"/>
        <w:gridCol w:w="391"/>
        <w:gridCol w:w="567"/>
        <w:gridCol w:w="550"/>
        <w:gridCol w:w="579"/>
        <w:gridCol w:w="1063"/>
        <w:gridCol w:w="638"/>
      </w:tblGrid>
      <w:tr>
        <w:trPr>
          <w:cantSplit/>
          <w:trHeight w:val="669" w:hRule="atLeast"/>
          <w:tblHeader/>
        </w:trPr>
        <w:tc>
          <w:tcPr>
            <w:tcW w:w="10804" w:type="dxa"/>
            <w:gridSpan w:val="13"/>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cantSplit/>
          <w:trHeight w:val="90" w:hRule="atLeast"/>
          <w:tblHeader/>
        </w:trPr>
        <w:tc>
          <w:tcPr>
            <w:tcW w:w="10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0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cantSplit/>
          <w:trHeight w:val="357" w:hRule="atLeast"/>
          <w:tblHeader/>
        </w:trPr>
        <w:tc>
          <w:tcPr>
            <w:tcW w:w="3879"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6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8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6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51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58"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5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5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63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cantSplit/>
          <w:trHeight w:val="380" w:hRule="atLeast"/>
          <w:tblHeader/>
        </w:trPr>
        <w:tc>
          <w:tcPr>
            <w:tcW w:w="10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874"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0" w:hRule="atLeast"/>
          <w:tblHeader/>
        </w:trPr>
        <w:tc>
          <w:tcPr>
            <w:tcW w:w="10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74"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385" w:hRule="atLeast"/>
          <w:tblHeader/>
        </w:trPr>
        <w:tc>
          <w:tcPr>
            <w:tcW w:w="3879" w:type="dxa"/>
            <w:gridSpan w:val="4"/>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62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517"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5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5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57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6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3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cantSplit/>
          <w:trHeight w:val="385" w:hRule="atLeast"/>
          <w:tblHeader/>
        </w:trPr>
        <w:tc>
          <w:tcPr>
            <w:tcW w:w="3879" w:type="dxa"/>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2,538,628.77</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2,538,628.60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0.17</w:t>
            </w: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2290402</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其他地方自行试点项目收益专项债券收入安排的支出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1,284,000.00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1,284,000.00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22960</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彩票公益金安排的支出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76.40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76.40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2296003</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用于体育事业的彩票公益金支出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76.40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76.40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232</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债务付息支出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111,652.00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111,652.00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23203</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地方政府一般债务付息支出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51,892.00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51,892.00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5"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2320301</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地方政府一般债券付息支出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51,892.00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51,892.00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98" w:hRule="atLeast"/>
          <w:tblHeader/>
        </w:trPr>
        <w:tc>
          <w:tcPr>
            <w:tcW w:w="1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23204</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地方政府专项债务付息支出</w:t>
            </w:r>
          </w:p>
        </w:tc>
        <w:tc>
          <w:tcPr>
            <w:tcW w:w="162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59,760.00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59,760.00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r>
        <w:tblPrEx>
          <w:tblCellMar>
            <w:top w:w="0" w:type="dxa"/>
            <w:left w:w="0" w:type="dxa"/>
            <w:bottom w:w="0" w:type="dxa"/>
            <w:right w:w="0" w:type="dxa"/>
          </w:tblCellMar>
        </w:tblPrEx>
        <w:trPr>
          <w:cantSplit/>
          <w:trHeight w:val="381" w:hRule="atLeast"/>
          <w:tblHeader/>
        </w:trPr>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2320411</w:t>
            </w:r>
          </w:p>
        </w:tc>
        <w:tc>
          <w:tcPr>
            <w:tcW w:w="2874" w:type="dxa"/>
            <w:gridSpan w:val="3"/>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highlight w:val="none"/>
                <w:lang w:bidi="ar"/>
              </w:rPr>
              <w:t>国有土地使用权出让</w:t>
            </w:r>
            <w:r>
              <w:rPr>
                <w:rFonts w:hint="eastAsia" w:ascii="宋体" w:hAnsi="宋体" w:eastAsia="宋体" w:cs="宋体"/>
                <w:color w:val="000000"/>
                <w:kern w:val="0"/>
                <w:sz w:val="22"/>
                <w:lang w:bidi="ar"/>
              </w:rPr>
              <w:t>金债务付息支出</w:t>
            </w:r>
          </w:p>
        </w:tc>
        <w:tc>
          <w:tcPr>
            <w:tcW w:w="162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59,760.00</w:t>
            </w:r>
          </w:p>
        </w:tc>
        <w:tc>
          <w:tcPr>
            <w:tcW w:w="1517"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kern w:val="0"/>
                <w:sz w:val="22"/>
                <w:lang w:bidi="ar"/>
              </w:rPr>
            </w:pPr>
            <w:r>
              <w:rPr>
                <w:rFonts w:hint="eastAsia" w:ascii="宋体" w:hAnsi="宋体" w:eastAsia="宋体" w:cs="宋体"/>
                <w:color w:val="000000"/>
                <w:kern w:val="0"/>
                <w:sz w:val="22"/>
                <w:lang w:bidi="ar"/>
              </w:rPr>
              <w:t>59,760.00</w:t>
            </w:r>
          </w:p>
        </w:tc>
        <w:tc>
          <w:tcPr>
            <w:tcW w:w="95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79"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63"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8"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kern w:val="0"/>
                <w:sz w:val="22"/>
                <w:lang w:bidi="ar"/>
              </w:rPr>
            </w:pPr>
          </w:p>
        </w:tc>
      </w:tr>
    </w:tbl>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r>
        <w:br w:type="page"/>
      </w:r>
    </w:p>
    <w:p/>
    <w:tbl>
      <w:tblPr>
        <w:tblStyle w:val="8"/>
        <w:tblpPr w:leftFromText="180" w:rightFromText="180" w:vertAnchor="text" w:horzAnchor="page" w:tblpX="591" w:tblpY="275"/>
        <w:tblOverlap w:val="never"/>
        <w:tblW w:w="10775" w:type="dxa"/>
        <w:tblInd w:w="0" w:type="dxa"/>
        <w:tblLayout w:type="fixed"/>
        <w:tblCellMar>
          <w:top w:w="0" w:type="dxa"/>
          <w:left w:w="0" w:type="dxa"/>
          <w:bottom w:w="0" w:type="dxa"/>
          <w:right w:w="0" w:type="dxa"/>
        </w:tblCellMar>
      </w:tblPr>
      <w:tblGrid>
        <w:gridCol w:w="1076"/>
        <w:gridCol w:w="340"/>
        <w:gridCol w:w="53"/>
        <w:gridCol w:w="240"/>
        <w:gridCol w:w="2459"/>
        <w:gridCol w:w="1474"/>
        <w:gridCol w:w="1075"/>
        <w:gridCol w:w="1516"/>
        <w:gridCol w:w="975"/>
        <w:gridCol w:w="659"/>
        <w:gridCol w:w="908"/>
      </w:tblGrid>
      <w:tr>
        <w:tblPrEx>
          <w:tblCellMar>
            <w:top w:w="0" w:type="dxa"/>
            <w:left w:w="0" w:type="dxa"/>
            <w:bottom w:w="0" w:type="dxa"/>
            <w:right w:w="0" w:type="dxa"/>
          </w:tblCellMar>
        </w:tblPrEx>
        <w:trPr>
          <w:trHeight w:val="612" w:hRule="atLeast"/>
        </w:trPr>
        <w:tc>
          <w:tcPr>
            <w:tcW w:w="10775"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trPr>
        <w:tc>
          <w:tcPr>
            <w:tcW w:w="141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8"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trPr>
        <w:tc>
          <w:tcPr>
            <w:tcW w:w="4168"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trPr>
        <w:tc>
          <w:tcPr>
            <w:tcW w:w="41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4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0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51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6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9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trPr>
        <w:tc>
          <w:tcPr>
            <w:tcW w:w="10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092"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2,743,995.85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5,592.82</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2,738,403.03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一般公共服务支出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351,727.22</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5,065.66</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346,661.56</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政府办公厅（室）及相关机构事务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9,301.95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5,065.66</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4,236.29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7,419.35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5,031.80</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2,387.55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247.80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247.80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机关服务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524.65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524.65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2010306</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政务公开审批</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569.22</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569.22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其他政府办公厅（室）及相关机构事务支出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540.93</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33.86</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507.07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发展与改革事务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331,357.07</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331,357.07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2010402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476.28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476.28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2010404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战略规划与实施</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819.27</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819.27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2010407</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经济体制改革研究</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60.11</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60.11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2010499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其他发展与改革事务支出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330,001.41</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330,001.41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20106</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3,770.36</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3,770.36</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2010604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预算改革业务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195.77</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195.77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2010608</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财政委托业务支出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3,574.58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3,574.58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20108</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审计事务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37.90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37.90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2010801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37.90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37.90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20110</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人力资源事务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21.35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21.35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2011002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21.35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21.35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纪检监察事务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298.24</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298.24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2011105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派驻派出机构</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231.74</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231.74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2011199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其他纪检监察事务支出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66.50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66.50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20126</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档案事务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17.90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17.90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
    <w:tbl>
      <w:tblPr>
        <w:tblStyle w:val="8"/>
        <w:tblpPr w:leftFromText="180" w:rightFromText="180" w:vertAnchor="text" w:horzAnchor="page" w:tblpX="591" w:tblpY="275"/>
        <w:tblOverlap w:val="never"/>
        <w:tblW w:w="10775" w:type="dxa"/>
        <w:tblInd w:w="0" w:type="dxa"/>
        <w:tblLayout w:type="fixed"/>
        <w:tblCellMar>
          <w:top w:w="0" w:type="dxa"/>
          <w:left w:w="0" w:type="dxa"/>
          <w:bottom w:w="0" w:type="dxa"/>
          <w:right w:w="0" w:type="dxa"/>
        </w:tblCellMar>
      </w:tblPr>
      <w:tblGrid>
        <w:gridCol w:w="1076"/>
        <w:gridCol w:w="340"/>
        <w:gridCol w:w="53"/>
        <w:gridCol w:w="240"/>
        <w:gridCol w:w="2459"/>
        <w:gridCol w:w="1474"/>
        <w:gridCol w:w="1075"/>
        <w:gridCol w:w="1516"/>
        <w:gridCol w:w="975"/>
        <w:gridCol w:w="659"/>
        <w:gridCol w:w="908"/>
      </w:tblGrid>
      <w:tr>
        <w:tblPrEx>
          <w:tblCellMar>
            <w:top w:w="0" w:type="dxa"/>
            <w:left w:w="0" w:type="dxa"/>
            <w:bottom w:w="0" w:type="dxa"/>
            <w:right w:w="0" w:type="dxa"/>
          </w:tblCellMar>
        </w:tblPrEx>
        <w:trPr>
          <w:trHeight w:val="612" w:hRule="atLeast"/>
        </w:trPr>
        <w:tc>
          <w:tcPr>
            <w:tcW w:w="10775"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trPr>
        <w:tc>
          <w:tcPr>
            <w:tcW w:w="141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8"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trPr>
        <w:tc>
          <w:tcPr>
            <w:tcW w:w="4168"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trPr>
        <w:tc>
          <w:tcPr>
            <w:tcW w:w="41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4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0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51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6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9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trPr>
        <w:tc>
          <w:tcPr>
            <w:tcW w:w="10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092"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2,743,995.85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5,592.82</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2,738,403.03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2012601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17.90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17.90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群众团体事务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41.54</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41.54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2012901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41.54</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41.54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组织事务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5,205.90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5,205.90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2013201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67.70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67.70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2013299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其他组织事务支出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5,138.20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5,138.20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宣传事务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955.19</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955.19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2013350</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事业运行</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131.84</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131.84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2013399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其他宣传事务支出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823.35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823.35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统战事务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24.45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24.45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2013404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宗教事务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2.55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2.55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2013499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其他统战事务支出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21.90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21.90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20136</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其他共产党事务支出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356.68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356.68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2013601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356.68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356.68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20137</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网信事务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83.75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83.75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2013799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其他网信事务支出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83.75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83.75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20138</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市场监督管理事务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208.03</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2013802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87.90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87.90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2013804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市场监督管理专项</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76.89</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76.89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2013899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其他市场监督管理事务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43.24</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43.24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其他一般公共服务支出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46.92</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46.92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2019999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其他一般公共服务支出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46.92</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46.92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203</w:t>
            </w:r>
          </w:p>
        </w:tc>
        <w:tc>
          <w:tcPr>
            <w:tcW w:w="3092" w:type="dxa"/>
            <w:gridSpan w:val="4"/>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国防支出</w:t>
            </w:r>
          </w:p>
        </w:tc>
        <w:tc>
          <w:tcPr>
            <w:tcW w:w="147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0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9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20306</w:t>
            </w:r>
          </w:p>
        </w:tc>
        <w:tc>
          <w:tcPr>
            <w:tcW w:w="309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国防动员</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10.00</w:t>
            </w:r>
          </w:p>
        </w:tc>
        <w:tc>
          <w:tcPr>
            <w:tcW w:w="1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p>
        </w:tc>
        <w:tc>
          <w:tcPr>
            <w:tcW w:w="15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10.00</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
    <w:tbl>
      <w:tblPr>
        <w:tblStyle w:val="8"/>
        <w:tblpPr w:leftFromText="180" w:rightFromText="180" w:vertAnchor="text" w:horzAnchor="page" w:tblpX="591" w:tblpY="275"/>
        <w:tblOverlap w:val="never"/>
        <w:tblW w:w="10775" w:type="dxa"/>
        <w:tblInd w:w="0" w:type="dxa"/>
        <w:tblLayout w:type="fixed"/>
        <w:tblCellMar>
          <w:top w:w="0" w:type="dxa"/>
          <w:left w:w="0" w:type="dxa"/>
          <w:bottom w:w="0" w:type="dxa"/>
          <w:right w:w="0" w:type="dxa"/>
        </w:tblCellMar>
      </w:tblPr>
      <w:tblGrid>
        <w:gridCol w:w="1076"/>
        <w:gridCol w:w="340"/>
        <w:gridCol w:w="53"/>
        <w:gridCol w:w="240"/>
        <w:gridCol w:w="2459"/>
        <w:gridCol w:w="1474"/>
        <w:gridCol w:w="1075"/>
        <w:gridCol w:w="1516"/>
        <w:gridCol w:w="975"/>
        <w:gridCol w:w="659"/>
        <w:gridCol w:w="908"/>
      </w:tblGrid>
      <w:tr>
        <w:tblPrEx>
          <w:tblCellMar>
            <w:top w:w="0" w:type="dxa"/>
            <w:left w:w="0" w:type="dxa"/>
            <w:bottom w:w="0" w:type="dxa"/>
            <w:right w:w="0" w:type="dxa"/>
          </w:tblCellMar>
        </w:tblPrEx>
        <w:trPr>
          <w:trHeight w:val="612" w:hRule="atLeast"/>
        </w:trPr>
        <w:tc>
          <w:tcPr>
            <w:tcW w:w="10775"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trPr>
        <w:tc>
          <w:tcPr>
            <w:tcW w:w="141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8"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trPr>
        <w:tc>
          <w:tcPr>
            <w:tcW w:w="4168"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trPr>
        <w:tc>
          <w:tcPr>
            <w:tcW w:w="41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4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0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51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6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9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trPr>
        <w:tc>
          <w:tcPr>
            <w:tcW w:w="10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092"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2,743,995.85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5,592.82</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2,738,403.03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公共安全支出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70.87</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70.87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20402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公安</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56.37</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56.37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2040299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其他公安支出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56.37</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56.37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20406</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司法</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14.49</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14.49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2040601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14.49</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14.49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教育支出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159.38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159.38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教育管理事务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2050199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其他教育管理事务支出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普通教育</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2050205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高等教育</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20508</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进修及培训</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84.24</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84.24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2050801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教师进修</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69.39</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69.39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2050803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培训支出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14.85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14.85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其他教育支出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60.94</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60.94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2059999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其他教育支出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60.94</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60.94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206</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科学技术支出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20604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技术研究与开发</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2060402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应用技术研究与开发</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文化旅游体育与传媒支出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810.95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810.95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文化和旅游</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657.29</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657.29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65.60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65.60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2070108</w:t>
            </w:r>
          </w:p>
        </w:tc>
        <w:tc>
          <w:tcPr>
            <w:tcW w:w="3092" w:type="dxa"/>
            <w:gridSpan w:val="4"/>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文化活动</w:t>
            </w:r>
          </w:p>
        </w:tc>
        <w:tc>
          <w:tcPr>
            <w:tcW w:w="147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8.50</w:t>
            </w:r>
          </w:p>
        </w:tc>
        <w:tc>
          <w:tcPr>
            <w:tcW w:w="10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8.50</w:t>
            </w:r>
          </w:p>
        </w:tc>
        <w:tc>
          <w:tcPr>
            <w:tcW w:w="9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2070114</w:t>
            </w:r>
          </w:p>
        </w:tc>
        <w:tc>
          <w:tcPr>
            <w:tcW w:w="309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旅游行业业务管理</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76.59</w:t>
            </w:r>
          </w:p>
        </w:tc>
        <w:tc>
          <w:tcPr>
            <w:tcW w:w="1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76.59</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2070199</w:t>
            </w:r>
          </w:p>
        </w:tc>
        <w:tc>
          <w:tcPr>
            <w:tcW w:w="309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其他文化和旅游支出</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506.60</w:t>
            </w:r>
          </w:p>
        </w:tc>
        <w:tc>
          <w:tcPr>
            <w:tcW w:w="1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p>
        </w:tc>
        <w:tc>
          <w:tcPr>
            <w:tcW w:w="15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506.60</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
    <w:tbl>
      <w:tblPr>
        <w:tblStyle w:val="8"/>
        <w:tblpPr w:leftFromText="180" w:rightFromText="180" w:vertAnchor="text" w:horzAnchor="page" w:tblpX="591" w:tblpY="275"/>
        <w:tblOverlap w:val="never"/>
        <w:tblW w:w="10775" w:type="dxa"/>
        <w:tblInd w:w="0" w:type="dxa"/>
        <w:tblLayout w:type="fixed"/>
        <w:tblCellMar>
          <w:top w:w="0" w:type="dxa"/>
          <w:left w:w="0" w:type="dxa"/>
          <w:bottom w:w="0" w:type="dxa"/>
          <w:right w:w="0" w:type="dxa"/>
        </w:tblCellMar>
      </w:tblPr>
      <w:tblGrid>
        <w:gridCol w:w="1076"/>
        <w:gridCol w:w="340"/>
        <w:gridCol w:w="53"/>
        <w:gridCol w:w="240"/>
        <w:gridCol w:w="2459"/>
        <w:gridCol w:w="1474"/>
        <w:gridCol w:w="1075"/>
        <w:gridCol w:w="1516"/>
        <w:gridCol w:w="975"/>
        <w:gridCol w:w="659"/>
        <w:gridCol w:w="908"/>
      </w:tblGrid>
      <w:tr>
        <w:tblPrEx>
          <w:tblCellMar>
            <w:top w:w="0" w:type="dxa"/>
            <w:left w:w="0" w:type="dxa"/>
            <w:bottom w:w="0" w:type="dxa"/>
            <w:right w:w="0" w:type="dxa"/>
          </w:tblCellMar>
        </w:tblPrEx>
        <w:trPr>
          <w:trHeight w:val="612" w:hRule="atLeast"/>
        </w:trPr>
        <w:tc>
          <w:tcPr>
            <w:tcW w:w="10775"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trPr>
        <w:tc>
          <w:tcPr>
            <w:tcW w:w="141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8"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trPr>
        <w:tc>
          <w:tcPr>
            <w:tcW w:w="4168"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trPr>
        <w:tc>
          <w:tcPr>
            <w:tcW w:w="41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4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0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51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6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9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trPr>
        <w:tc>
          <w:tcPr>
            <w:tcW w:w="10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092"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97"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2,743,995.85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5,592.82</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2,738,403.03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文物</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16.95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16.95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2070204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文物保护</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16.95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16.95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体育</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2070305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体育竞赛</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20706</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新闻出版电影</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101.40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101.40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2070605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出版发行</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101.40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101.40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其他文化体育与传媒支出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32.30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32.30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2079902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宣传文化发展专项支出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32.30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32.30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社会保障和就业支出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558.98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262.95</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296.03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人力资源和社会保障管理事务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114.40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114.40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2080109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社会保险经办机构</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114.40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114.40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行政事业单位离退休</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262.95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262.95</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2080505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机关事业单位基本养老保险缴费支出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262.95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262.95</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20807</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就业补助</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120.71</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120.71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2080701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就业创业服务补贴</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120.71</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120.71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20808</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抚恤</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38.80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38.80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2080899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其他优抚支出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38.80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38.80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退役安置</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12.19</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12.19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2080905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军队转业干部安置</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12.19</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12.19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20811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残疾人事业</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9.94</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9.94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2081101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0.84</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0.84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2081107</w:t>
            </w:r>
          </w:p>
        </w:tc>
        <w:tc>
          <w:tcPr>
            <w:tcW w:w="3092" w:type="dxa"/>
            <w:gridSpan w:val="4"/>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残疾人生活和护理补贴</w:t>
            </w:r>
          </w:p>
        </w:tc>
        <w:tc>
          <w:tcPr>
            <w:tcW w:w="147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9.10</w:t>
            </w:r>
          </w:p>
        </w:tc>
        <w:tc>
          <w:tcPr>
            <w:tcW w:w="10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9.10</w:t>
            </w:r>
          </w:p>
        </w:tc>
        <w:tc>
          <w:tcPr>
            <w:tcW w:w="9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w:t>
            </w:r>
          </w:p>
        </w:tc>
        <w:tc>
          <w:tcPr>
            <w:tcW w:w="309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卫生健康支出</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354.85</w:t>
            </w:r>
          </w:p>
        </w:tc>
        <w:tc>
          <w:tcPr>
            <w:tcW w:w="1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97.80</w:t>
            </w:r>
          </w:p>
        </w:tc>
        <w:tc>
          <w:tcPr>
            <w:tcW w:w="15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257.06</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
    <w:tbl>
      <w:tblPr>
        <w:tblStyle w:val="8"/>
        <w:tblpPr w:leftFromText="180" w:rightFromText="180" w:vertAnchor="text" w:horzAnchor="page" w:tblpX="591" w:tblpY="275"/>
        <w:tblOverlap w:val="never"/>
        <w:tblW w:w="10775" w:type="dxa"/>
        <w:tblInd w:w="0" w:type="dxa"/>
        <w:tblLayout w:type="fixed"/>
        <w:tblCellMar>
          <w:top w:w="0" w:type="dxa"/>
          <w:left w:w="0" w:type="dxa"/>
          <w:bottom w:w="0" w:type="dxa"/>
          <w:right w:w="0" w:type="dxa"/>
        </w:tblCellMar>
      </w:tblPr>
      <w:tblGrid>
        <w:gridCol w:w="1076"/>
        <w:gridCol w:w="340"/>
        <w:gridCol w:w="53"/>
        <w:gridCol w:w="240"/>
        <w:gridCol w:w="2459"/>
        <w:gridCol w:w="1474"/>
        <w:gridCol w:w="1075"/>
        <w:gridCol w:w="1516"/>
        <w:gridCol w:w="975"/>
        <w:gridCol w:w="659"/>
        <w:gridCol w:w="908"/>
      </w:tblGrid>
      <w:tr>
        <w:tblPrEx>
          <w:tblCellMar>
            <w:top w:w="0" w:type="dxa"/>
            <w:left w:w="0" w:type="dxa"/>
            <w:bottom w:w="0" w:type="dxa"/>
            <w:right w:w="0" w:type="dxa"/>
          </w:tblCellMar>
        </w:tblPrEx>
        <w:trPr>
          <w:trHeight w:val="612" w:hRule="atLeast"/>
        </w:trPr>
        <w:tc>
          <w:tcPr>
            <w:tcW w:w="10775"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trPr>
        <w:tc>
          <w:tcPr>
            <w:tcW w:w="141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8"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trPr>
        <w:tc>
          <w:tcPr>
            <w:tcW w:w="4168"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rPr>
          <w:trHeight w:val="323" w:hRule="atLeast"/>
        </w:trPr>
        <w:tc>
          <w:tcPr>
            <w:tcW w:w="41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4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0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51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6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9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trPr>
        <w:tc>
          <w:tcPr>
            <w:tcW w:w="10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092"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2,743,995.85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5,592.82</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2,738,403.03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卫生健康管理事务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146.41</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146.41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2100199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其他卫生健康管理事务支出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146.41</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146.41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公立医院</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2100201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综合医院</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公共卫生</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10.65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10.65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2100408</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基本公共卫生服务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10.65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10.65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21011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行政事业单位医疗</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97.80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97.80</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2101101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行政单位医疗</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97.60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97.60</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2101199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其他行政事业单位医疗支出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0.20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0.20</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节能环保支出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30,374.05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30,374.05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21104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自然生态保护</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30,000.00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30,000.00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2110499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其他自然生态保护支出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30,000.00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30,000.00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21114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能源管理事务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374.05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374.05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2111402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374.05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374.05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677,746.35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677,746.35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7,705.30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7,705.30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2120101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6,838.84</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6,838.84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2120102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2120104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城管执法</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371.37</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371.37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2120106</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工程建设管理</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361.00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361.00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2120199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其他城乡社区管理事务支出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110.09</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110.09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21202</w:t>
            </w:r>
          </w:p>
        </w:tc>
        <w:tc>
          <w:tcPr>
            <w:tcW w:w="3092" w:type="dxa"/>
            <w:gridSpan w:val="4"/>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城乡社区规划与管理</w:t>
            </w:r>
          </w:p>
        </w:tc>
        <w:tc>
          <w:tcPr>
            <w:tcW w:w="147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50,216.43</w:t>
            </w:r>
          </w:p>
        </w:tc>
        <w:tc>
          <w:tcPr>
            <w:tcW w:w="10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50,216.43</w:t>
            </w:r>
          </w:p>
        </w:tc>
        <w:tc>
          <w:tcPr>
            <w:tcW w:w="9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2120201</w:t>
            </w:r>
          </w:p>
        </w:tc>
        <w:tc>
          <w:tcPr>
            <w:tcW w:w="309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城乡社区规划与管理</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50,216.43</w:t>
            </w:r>
          </w:p>
        </w:tc>
        <w:tc>
          <w:tcPr>
            <w:tcW w:w="1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50,216.43</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21203</w:t>
            </w:r>
          </w:p>
        </w:tc>
        <w:tc>
          <w:tcPr>
            <w:tcW w:w="309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城乡社区公共设施</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616,048.65</w:t>
            </w:r>
          </w:p>
        </w:tc>
        <w:tc>
          <w:tcPr>
            <w:tcW w:w="1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p>
        </w:tc>
        <w:tc>
          <w:tcPr>
            <w:tcW w:w="15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616,048.65</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
    <w:tbl>
      <w:tblPr>
        <w:tblStyle w:val="8"/>
        <w:tblpPr w:leftFromText="180" w:rightFromText="180" w:vertAnchor="text" w:horzAnchor="page" w:tblpX="591" w:tblpY="275"/>
        <w:tblOverlap w:val="never"/>
        <w:tblW w:w="10775" w:type="dxa"/>
        <w:tblInd w:w="0" w:type="dxa"/>
        <w:tblLayout w:type="fixed"/>
        <w:tblCellMar>
          <w:top w:w="0" w:type="dxa"/>
          <w:left w:w="0" w:type="dxa"/>
          <w:bottom w:w="0" w:type="dxa"/>
          <w:right w:w="0" w:type="dxa"/>
        </w:tblCellMar>
      </w:tblPr>
      <w:tblGrid>
        <w:gridCol w:w="1076"/>
        <w:gridCol w:w="340"/>
        <w:gridCol w:w="53"/>
        <w:gridCol w:w="240"/>
        <w:gridCol w:w="2459"/>
        <w:gridCol w:w="1474"/>
        <w:gridCol w:w="1075"/>
        <w:gridCol w:w="1516"/>
        <w:gridCol w:w="975"/>
        <w:gridCol w:w="659"/>
        <w:gridCol w:w="908"/>
      </w:tblGrid>
      <w:tr>
        <w:tblPrEx>
          <w:tblCellMar>
            <w:top w:w="0" w:type="dxa"/>
            <w:left w:w="0" w:type="dxa"/>
            <w:bottom w:w="0" w:type="dxa"/>
            <w:right w:w="0" w:type="dxa"/>
          </w:tblCellMar>
        </w:tblPrEx>
        <w:trPr>
          <w:trHeight w:val="612" w:hRule="atLeast"/>
        </w:trPr>
        <w:tc>
          <w:tcPr>
            <w:tcW w:w="10775"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trPr>
        <w:tc>
          <w:tcPr>
            <w:tcW w:w="141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8"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trPr>
        <w:tc>
          <w:tcPr>
            <w:tcW w:w="4168"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trPr>
        <w:tc>
          <w:tcPr>
            <w:tcW w:w="41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4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0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51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6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9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trPr>
        <w:tc>
          <w:tcPr>
            <w:tcW w:w="10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092"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2,743,995.85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5,592.82</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2,738,403.03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2120303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小城镇基础设施建设</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570,048.65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570,048.65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2120399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其他城乡社区公共设施支出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46,000.00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46,000.00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其他城乡社区支出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3,775.98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3,775.98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2129901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其他城乡社区支出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3,775.98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3,775.98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农林水支出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18,921.70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18,921.70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农业</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170.56</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170.56</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2130106</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科技转化与推广服务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116.91</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116.91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2130135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农业资源保护修复与利用</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48.65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48.65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2130199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其他农业支出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林业和草原</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17,600.00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17,600.00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2130205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森林培育</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17,600.00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17,600.00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水利</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1,132.59</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1,132.59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2130311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水资源节约管理与保护</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1,111.69</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1,111.69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2130399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其他水利支出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20.90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20.90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扶贫</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9.95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9.95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2130501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9.95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9.95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其他农林水支出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8.60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8.60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2139999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其他农林水支出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8.60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8.60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交通运输支出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944.26</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944.26</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21401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公路水路运输</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704.45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704.45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2140109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交通运输信息化建设</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2140199</w:t>
            </w:r>
          </w:p>
        </w:tc>
        <w:tc>
          <w:tcPr>
            <w:tcW w:w="3092" w:type="dxa"/>
            <w:gridSpan w:val="4"/>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其他公路水路运输支出</w:t>
            </w:r>
          </w:p>
        </w:tc>
        <w:tc>
          <w:tcPr>
            <w:tcW w:w="147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154.45</w:t>
            </w:r>
          </w:p>
        </w:tc>
        <w:tc>
          <w:tcPr>
            <w:tcW w:w="10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154.45</w:t>
            </w:r>
          </w:p>
        </w:tc>
        <w:tc>
          <w:tcPr>
            <w:tcW w:w="9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21499</w:t>
            </w:r>
          </w:p>
        </w:tc>
        <w:tc>
          <w:tcPr>
            <w:tcW w:w="309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其他交通运输支出</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239.81</w:t>
            </w:r>
          </w:p>
        </w:tc>
        <w:tc>
          <w:tcPr>
            <w:tcW w:w="1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239.81</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2149999</w:t>
            </w:r>
          </w:p>
        </w:tc>
        <w:tc>
          <w:tcPr>
            <w:tcW w:w="309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其他交通运输支出</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239.81</w:t>
            </w:r>
          </w:p>
        </w:tc>
        <w:tc>
          <w:tcPr>
            <w:tcW w:w="1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p>
        </w:tc>
        <w:tc>
          <w:tcPr>
            <w:tcW w:w="15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239.81</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
    <w:tbl>
      <w:tblPr>
        <w:tblStyle w:val="8"/>
        <w:tblpPr w:leftFromText="180" w:rightFromText="180" w:vertAnchor="text" w:horzAnchor="page" w:tblpX="591" w:tblpY="275"/>
        <w:tblOverlap w:val="never"/>
        <w:tblW w:w="10775" w:type="dxa"/>
        <w:tblInd w:w="0" w:type="dxa"/>
        <w:tblLayout w:type="fixed"/>
        <w:tblCellMar>
          <w:top w:w="0" w:type="dxa"/>
          <w:left w:w="0" w:type="dxa"/>
          <w:bottom w:w="0" w:type="dxa"/>
          <w:right w:w="0" w:type="dxa"/>
        </w:tblCellMar>
      </w:tblPr>
      <w:tblGrid>
        <w:gridCol w:w="1076"/>
        <w:gridCol w:w="340"/>
        <w:gridCol w:w="53"/>
        <w:gridCol w:w="240"/>
        <w:gridCol w:w="2459"/>
        <w:gridCol w:w="1474"/>
        <w:gridCol w:w="1075"/>
        <w:gridCol w:w="1516"/>
        <w:gridCol w:w="975"/>
        <w:gridCol w:w="659"/>
        <w:gridCol w:w="908"/>
      </w:tblGrid>
      <w:tr>
        <w:trPr>
          <w:trHeight w:val="612" w:hRule="atLeast"/>
        </w:trPr>
        <w:tc>
          <w:tcPr>
            <w:tcW w:w="10775"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trPr>
        <w:tc>
          <w:tcPr>
            <w:tcW w:w="141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8"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trPr>
        <w:tc>
          <w:tcPr>
            <w:tcW w:w="4168"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trPr>
        <w:tc>
          <w:tcPr>
            <w:tcW w:w="41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4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0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51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6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9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trPr>
        <w:tc>
          <w:tcPr>
            <w:tcW w:w="10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092"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2,743,995.85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5,592.82</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2,738,403.03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资源勘探信息等支出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1,838.28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1,838.28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21505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工业和信息产业监管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1,838.28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1,838.28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2150509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工业和信息产业战略研究与标准制定</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6.26</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6.26</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2150510</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工业和信息产业支持</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1,832.02</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1,832.02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商业服务业等支出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1,019.18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1,019.18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商业流通事务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2160299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其他商业流通事务支出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21606</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涉外发展服务支出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14.18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14.18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2160699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其他涉外发展服务支出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14.18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14.18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其他商业服务业等支出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2169999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其他商业服务业等支出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217</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金融支出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38.62</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38.62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21799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其他金融支出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38.62</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38.62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2179901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其他金融支出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38.62</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38.62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自然资源海洋气象等支出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45,825.75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45,825.75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自然资源事务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151.35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151.35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2200105</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土地资源调查</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82.85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82.85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2200114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地质矿产资源利用与保护</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68.50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68.50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22003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测绘事务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674.40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674.40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2200304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基础测绘</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674.40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674.40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其他自然资源海洋气象等支出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45,000.00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45,000.00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2209901</w:t>
            </w:r>
          </w:p>
        </w:tc>
        <w:tc>
          <w:tcPr>
            <w:tcW w:w="3092" w:type="dxa"/>
            <w:gridSpan w:val="4"/>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其他自然资源海洋气象等支出</w:t>
            </w:r>
          </w:p>
        </w:tc>
        <w:tc>
          <w:tcPr>
            <w:tcW w:w="147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45,000.00</w:t>
            </w:r>
          </w:p>
        </w:tc>
        <w:tc>
          <w:tcPr>
            <w:tcW w:w="10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45,000.00</w:t>
            </w:r>
          </w:p>
        </w:tc>
        <w:tc>
          <w:tcPr>
            <w:tcW w:w="9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w:t>
            </w:r>
          </w:p>
        </w:tc>
        <w:tc>
          <w:tcPr>
            <w:tcW w:w="309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住房保障支出</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215,626.90</w:t>
            </w:r>
          </w:p>
        </w:tc>
        <w:tc>
          <w:tcPr>
            <w:tcW w:w="1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166.41</w:t>
            </w:r>
          </w:p>
        </w:tc>
        <w:tc>
          <w:tcPr>
            <w:tcW w:w="15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215,460.49</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
    <w:tbl>
      <w:tblPr>
        <w:tblStyle w:val="8"/>
        <w:tblpPr w:leftFromText="180" w:rightFromText="180" w:vertAnchor="text" w:horzAnchor="page" w:tblpX="591" w:tblpY="275"/>
        <w:tblOverlap w:val="never"/>
        <w:tblW w:w="10775" w:type="dxa"/>
        <w:tblInd w:w="0" w:type="dxa"/>
        <w:tblLayout w:type="fixed"/>
        <w:tblCellMar>
          <w:top w:w="0" w:type="dxa"/>
          <w:left w:w="0" w:type="dxa"/>
          <w:bottom w:w="0" w:type="dxa"/>
          <w:right w:w="0" w:type="dxa"/>
        </w:tblCellMar>
      </w:tblPr>
      <w:tblGrid>
        <w:gridCol w:w="1076"/>
        <w:gridCol w:w="340"/>
        <w:gridCol w:w="53"/>
        <w:gridCol w:w="240"/>
        <w:gridCol w:w="2459"/>
        <w:gridCol w:w="1474"/>
        <w:gridCol w:w="1075"/>
        <w:gridCol w:w="1516"/>
        <w:gridCol w:w="975"/>
        <w:gridCol w:w="659"/>
        <w:gridCol w:w="908"/>
      </w:tblGrid>
      <w:tr>
        <w:tblPrEx>
          <w:tblCellMar>
            <w:top w:w="0" w:type="dxa"/>
            <w:left w:w="0" w:type="dxa"/>
            <w:bottom w:w="0" w:type="dxa"/>
            <w:right w:w="0" w:type="dxa"/>
          </w:tblCellMar>
        </w:tblPrEx>
        <w:trPr>
          <w:trHeight w:val="612" w:hRule="atLeast"/>
        </w:trPr>
        <w:tc>
          <w:tcPr>
            <w:tcW w:w="10775"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trPr>
        <w:tc>
          <w:tcPr>
            <w:tcW w:w="141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8"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trPr>
        <w:tc>
          <w:tcPr>
            <w:tcW w:w="4168"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trPr>
        <w:tc>
          <w:tcPr>
            <w:tcW w:w="41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4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0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51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6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9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trPr>
        <w:tc>
          <w:tcPr>
            <w:tcW w:w="10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092"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2,743,995.85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5,592.82</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2,738,403.03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保障性安居工程支出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215,377.00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215,377.00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2210103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棚户区改造</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215,377.00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215,377.00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住房改革支出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166.41</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166.41</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2210201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住房公积金</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166.41</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166.41</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城乡社区住宅</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83.49</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83.49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2210399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其他城乡社区住宅支出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83.49</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83.49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灾害防治及应急管理支出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2,170.10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2,170.10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应急管理事务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733.08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733.08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2240106</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安全监管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504.88</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504.88</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2240107</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安全生产基础</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150.94</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150.94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2240108</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应急救援</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3.45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3.45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2240199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其他应急管理支出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73.81</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73.81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森林消防事务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1,437.02</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1,437.02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2240304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森林消防应急救援</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1,437.02</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1,437.02</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1,284,076.40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1,284,076.40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其他政府性基金及对应专项债务收入安排的支出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1,284,000.00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1,284,000.00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2290402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其他地方自行试点项目收益专项债券收入安排的支出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1,284,000.00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1,284,000.00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22960</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彩票公益金安排的支出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76.40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76.40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2296003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用于体育事业的彩票公益金支出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76.40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76.40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232</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债务付息支出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111,652.00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111,652.00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23203</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地方政府一般债务付息支出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51,892.00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51,892.00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2320301</w:t>
            </w:r>
          </w:p>
        </w:tc>
        <w:tc>
          <w:tcPr>
            <w:tcW w:w="3092" w:type="dxa"/>
            <w:gridSpan w:val="4"/>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地方政府一般债券付息支出</w:t>
            </w:r>
          </w:p>
        </w:tc>
        <w:tc>
          <w:tcPr>
            <w:tcW w:w="147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51,892.00</w:t>
            </w:r>
          </w:p>
        </w:tc>
        <w:tc>
          <w:tcPr>
            <w:tcW w:w="10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51,892.00</w:t>
            </w:r>
          </w:p>
        </w:tc>
        <w:tc>
          <w:tcPr>
            <w:tcW w:w="9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
    <w:tbl>
      <w:tblPr>
        <w:tblStyle w:val="8"/>
        <w:tblpPr w:leftFromText="180" w:rightFromText="180" w:vertAnchor="text" w:horzAnchor="page" w:tblpX="591" w:tblpY="275"/>
        <w:tblOverlap w:val="never"/>
        <w:tblW w:w="10775" w:type="dxa"/>
        <w:tblInd w:w="0" w:type="dxa"/>
        <w:tblLayout w:type="fixed"/>
        <w:tblCellMar>
          <w:top w:w="0" w:type="dxa"/>
          <w:left w:w="0" w:type="dxa"/>
          <w:bottom w:w="0" w:type="dxa"/>
          <w:right w:w="0" w:type="dxa"/>
        </w:tblCellMar>
      </w:tblPr>
      <w:tblGrid>
        <w:gridCol w:w="1076"/>
        <w:gridCol w:w="340"/>
        <w:gridCol w:w="53"/>
        <w:gridCol w:w="240"/>
        <w:gridCol w:w="2459"/>
        <w:gridCol w:w="1474"/>
        <w:gridCol w:w="1075"/>
        <w:gridCol w:w="1516"/>
        <w:gridCol w:w="975"/>
        <w:gridCol w:w="659"/>
        <w:gridCol w:w="908"/>
      </w:tblGrid>
      <w:tr>
        <w:tblPrEx>
          <w:tblCellMar>
            <w:top w:w="0" w:type="dxa"/>
            <w:left w:w="0" w:type="dxa"/>
            <w:bottom w:w="0" w:type="dxa"/>
            <w:right w:w="0" w:type="dxa"/>
          </w:tblCellMar>
        </w:tblPrEx>
        <w:trPr>
          <w:trHeight w:val="612" w:hRule="atLeast"/>
        </w:trPr>
        <w:tc>
          <w:tcPr>
            <w:tcW w:w="10775"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trPr>
        <w:tc>
          <w:tcPr>
            <w:tcW w:w="141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8"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trPr>
        <w:tc>
          <w:tcPr>
            <w:tcW w:w="4168"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trPr>
        <w:tc>
          <w:tcPr>
            <w:tcW w:w="41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4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0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51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6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9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trPr>
        <w:tc>
          <w:tcPr>
            <w:tcW w:w="10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092"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rPr>
          <w:trHeight w:val="319" w:hRule="atLeast"/>
        </w:trPr>
        <w:tc>
          <w:tcPr>
            <w:tcW w:w="10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09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40" w:hRule="atLeast"/>
        </w:trPr>
        <w:tc>
          <w:tcPr>
            <w:tcW w:w="41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2,743,995.85</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5,592.82</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2,738,403.03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23204</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地方政府专项债务付息支出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59,760.00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59,760.00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397" w:hRule="atLeast"/>
        </w:trPr>
        <w:tc>
          <w:tcPr>
            <w:tcW w:w="10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2320411</w:t>
            </w:r>
          </w:p>
        </w:tc>
        <w:tc>
          <w:tcPr>
            <w:tcW w:w="30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highlight w:val="none"/>
                <w:lang w:bidi="ar"/>
              </w:rPr>
              <w:t>国有土地使用权出让</w:t>
            </w:r>
            <w:r>
              <w:rPr>
                <w:rFonts w:hint="eastAsia" w:ascii="宋体" w:hAnsi="宋体" w:eastAsia="宋体" w:cs="宋体"/>
                <w:color w:val="000000"/>
                <w:kern w:val="0"/>
                <w:sz w:val="22"/>
                <w:lang w:bidi="ar"/>
              </w:rPr>
              <w:t>金债务付息支出</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59,760.00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59,760.00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t>注：本表反映部门本年度各项支出情况。</w:t>
      </w:r>
    </w:p>
    <w:p/>
    <w:p/>
    <w:p/>
    <w:p/>
    <w:p/>
    <w:p/>
    <w:p/>
    <w:p/>
    <w:p/>
    <w:p/>
    <w:p/>
    <w:p/>
    <w:p/>
    <w:p/>
    <w:p/>
    <w:p/>
    <w:p/>
    <w:p/>
    <w:p/>
    <w:p/>
    <w:p/>
    <w:p/>
    <w:p/>
    <w:p/>
    <w:p/>
    <w:p/>
    <w:p/>
    <w:p/>
    <w:p/>
    <w:p>
      <w:r>
        <w:br w:type="page"/>
      </w:r>
    </w:p>
    <w:p/>
    <w:p/>
    <w:tbl>
      <w:tblPr>
        <w:tblStyle w:val="8"/>
        <w:tblW w:w="10717" w:type="dxa"/>
        <w:jc w:val="center"/>
        <w:tblLayout w:type="fixed"/>
        <w:tblCellMar>
          <w:top w:w="0" w:type="dxa"/>
          <w:left w:w="0" w:type="dxa"/>
          <w:bottom w:w="0" w:type="dxa"/>
          <w:right w:w="0" w:type="dxa"/>
        </w:tblCellMar>
      </w:tblPr>
      <w:tblGrid>
        <w:gridCol w:w="2355"/>
        <w:gridCol w:w="589"/>
        <w:gridCol w:w="1225"/>
        <w:gridCol w:w="2302"/>
        <w:gridCol w:w="600"/>
        <w:gridCol w:w="1191"/>
        <w:gridCol w:w="1246"/>
        <w:gridCol w:w="1209"/>
      </w:tblGrid>
      <w:tr>
        <w:tblPrEx>
          <w:tblCellMar>
            <w:top w:w="0" w:type="dxa"/>
            <w:left w:w="0" w:type="dxa"/>
            <w:bottom w:w="0" w:type="dxa"/>
            <w:right w:w="0" w:type="dxa"/>
          </w:tblCellMar>
        </w:tblPrEx>
        <w:trPr>
          <w:trHeight w:val="406" w:hRule="atLeast"/>
          <w:jc w:val="center"/>
        </w:trPr>
        <w:tc>
          <w:tcPr>
            <w:tcW w:w="10717"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90" w:hRule="atLeast"/>
          <w:jc w:val="center"/>
        </w:trPr>
        <w:tc>
          <w:tcPr>
            <w:tcW w:w="23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46"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90" w:hRule="atLeast"/>
          <w:jc w:val="center"/>
        </w:trPr>
        <w:tc>
          <w:tcPr>
            <w:tcW w:w="4169"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lang w:val="en-US" w:eastAsia="zh-CN"/>
              </w:rPr>
              <w:t>河北雄安新区管理委员会</w:t>
            </w:r>
          </w:p>
        </w:tc>
        <w:tc>
          <w:tcPr>
            <w:tcW w:w="23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46"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90" w:hRule="atLeast"/>
          <w:jc w:val="center"/>
        </w:trPr>
        <w:tc>
          <w:tcPr>
            <w:tcW w:w="416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6548"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CellMar>
            <w:top w:w="0" w:type="dxa"/>
            <w:left w:w="0" w:type="dxa"/>
            <w:bottom w:w="0" w:type="dxa"/>
            <w:right w:w="0" w:type="dxa"/>
          </w:tblCellMar>
        </w:tblPrEx>
        <w:trPr>
          <w:trHeight w:val="312" w:hRule="atLeast"/>
          <w:jc w:val="center"/>
        </w:trPr>
        <w:tc>
          <w:tcPr>
            <w:tcW w:w="235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12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30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1191"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2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12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CellMar>
            <w:top w:w="0" w:type="dxa"/>
            <w:left w:w="0" w:type="dxa"/>
            <w:bottom w:w="0" w:type="dxa"/>
            <w:right w:w="0" w:type="dxa"/>
          </w:tblCellMar>
        </w:tblPrEx>
        <w:trPr>
          <w:trHeight w:val="454" w:hRule="atLeast"/>
          <w:jc w:val="center"/>
        </w:trPr>
        <w:tc>
          <w:tcPr>
            <w:tcW w:w="235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0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9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2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一、一般公共预算财政拨款</w:t>
            </w: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1,194,792.20</w:t>
            </w: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一、一般公共服务支出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351,727.21</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351,727.21</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二、政府性基金预算财政拨款</w:t>
            </w: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1,343,836.40</w:t>
            </w: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二、外交支出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三、国防支出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10.00</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10.00</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四、公共安全支出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70.87</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70.87</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五、教育支出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159.38</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159.38</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六、科学技术支出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70.00</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70.00</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七、文化旅游体育与传媒支出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810.95</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810.95</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八、社会保障和就业支出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558.98</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558.98</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九、卫生健康支出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354.85</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354.85</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十、节能环保支出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30,374.05</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30,374.05</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十一、城乡社区支出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677,746.35</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677,746.35</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十二、农林水支出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18,921.70</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18,921.70</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十三、交通运输支出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944.26</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944.26</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十四、资源勘探信息等支出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1,838.28</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1,838.28</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十五、商业服务业等支出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1,019.18</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1,019.18</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十六、金融支出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38.62</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38.62</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十七、援助其他地区支出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十八、自然资源海洋气象等支出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45,825.75</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45,825.75</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十九、住房保障支出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215,626.90</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215,626.90</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二十、粮油物资储备支出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二十一、灾害防治及应急管理支出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2,170.10</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2,170.10</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二十二、其他支出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1,284,076.40</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1,284,076.40</w:t>
            </w: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二十四、债务付息支出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111,652.00</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51,892.00</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59,760.00</w:t>
            </w: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本年收入合计</w:t>
            </w: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2,538,628.60</w:t>
            </w: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本年支出合计</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2,743,995.84</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1,400,159.44</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1,343,836.40</w:t>
            </w: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年初财政拨款结转和结余</w:t>
            </w: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226,428.56</w:t>
            </w: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年末财政拨款结转和结余</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21,061.32</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21,061.32</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一、一般公共预算财政拨款</w:t>
            </w: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226,428.56</w:t>
            </w: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二、政府性基金预算财政拨款</w:t>
            </w: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57</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5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2,765,057.16</w:t>
            </w:r>
          </w:p>
        </w:tc>
        <w:tc>
          <w:tcPr>
            <w:tcW w:w="2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58</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2,765,057.16</w:t>
            </w:r>
          </w:p>
        </w:tc>
        <w:tc>
          <w:tcPr>
            <w:tcW w:w="12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1,421,220.77</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1,343,836.40</w:t>
            </w:r>
          </w:p>
        </w:tc>
      </w:tr>
      <w:tr>
        <w:tblPrEx>
          <w:tblCellMar>
            <w:top w:w="0" w:type="dxa"/>
            <w:left w:w="0" w:type="dxa"/>
            <w:bottom w:w="0" w:type="dxa"/>
            <w:right w:w="0" w:type="dxa"/>
          </w:tblCellMar>
        </w:tblPrEx>
        <w:trPr>
          <w:trHeight w:val="90" w:hRule="atLeast"/>
          <w:jc w:val="center"/>
        </w:trPr>
        <w:tc>
          <w:tcPr>
            <w:tcW w:w="10717"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注：本表反映部门本年度一般公共预算财政拨款和政府性基金预算财政拨款的总收支和年末结转结余情况。</w:t>
            </w:r>
          </w:p>
        </w:tc>
      </w:tr>
    </w:tbl>
    <w:p/>
    <w:p>
      <w:r>
        <w:br w:type="page"/>
      </w:r>
    </w:p>
    <w:p/>
    <w:tbl>
      <w:tblPr>
        <w:tblStyle w:val="8"/>
        <w:tblpPr w:leftFromText="180" w:rightFromText="180" w:vertAnchor="page" w:horzAnchor="page" w:tblpX="930" w:tblpY="1718"/>
        <w:tblOverlap w:val="never"/>
        <w:tblW w:w="10053" w:type="dxa"/>
        <w:tblInd w:w="0" w:type="dxa"/>
        <w:tblLayout w:type="fixed"/>
        <w:tblCellMar>
          <w:top w:w="0" w:type="dxa"/>
          <w:left w:w="0" w:type="dxa"/>
          <w:bottom w:w="0" w:type="dxa"/>
          <w:right w:w="0" w:type="dxa"/>
        </w:tblCellMar>
      </w:tblPr>
      <w:tblGrid>
        <w:gridCol w:w="656"/>
        <w:gridCol w:w="50"/>
        <w:gridCol w:w="303"/>
        <w:gridCol w:w="3138"/>
        <w:gridCol w:w="1980"/>
        <w:gridCol w:w="1955"/>
        <w:gridCol w:w="1971"/>
      </w:tblGrid>
      <w:tr>
        <w:tblPrEx>
          <w:tblCellMar>
            <w:top w:w="0" w:type="dxa"/>
            <w:left w:w="0" w:type="dxa"/>
            <w:bottom w:w="0" w:type="dxa"/>
            <w:right w:w="0" w:type="dxa"/>
          </w:tblCellMar>
        </w:tblPrEx>
        <w:trPr>
          <w:trHeight w:val="600" w:hRule="atLeast"/>
        </w:trPr>
        <w:tc>
          <w:tcPr>
            <w:tcW w:w="10053"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trPr>
        <w:tc>
          <w:tcPr>
            <w:tcW w:w="6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trPr>
        <w:tc>
          <w:tcPr>
            <w:tcW w:w="4138"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413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91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trPr>
        <w:tc>
          <w:tcPr>
            <w:tcW w:w="99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14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9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95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9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1,400,159.44</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5,592.81</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1,394,566.63</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一般公共服务支出</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351,727.21</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5,065.65</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346,661.56</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政府办公厅（室）及相关机构事务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9,301.94</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5,065.65</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4,236.29</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2010301</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7,419.34</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5,031.79</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2,387.55</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2010302</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247.80</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247.80</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2010303</w:t>
            </w:r>
          </w:p>
        </w:tc>
        <w:tc>
          <w:tcPr>
            <w:tcW w:w="314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机关服务</w:t>
            </w:r>
          </w:p>
        </w:tc>
        <w:tc>
          <w:tcPr>
            <w:tcW w:w="19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524.65</w:t>
            </w:r>
          </w:p>
        </w:tc>
        <w:tc>
          <w:tcPr>
            <w:tcW w:w="195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524.65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2010306</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政务公开审批</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569.22</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569.22</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其他政府办公厅（室）及相关机构事务支出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540.93</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33.86</w:t>
            </w: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507.07</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发展与改革事务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331,357.07</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331,357.07</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2010402</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476.28</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476.28</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2010404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战略规划与实施</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819.27</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819.27</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2010407</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经济体制改革研究</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60.11</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60.11</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2010499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其他发展与改革事务支出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330,001.41</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330,001.41</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20106</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3,770.36</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3,770.36</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2010604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预算改革业务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195.77</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195.77</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2010608</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财政委托业务支出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3,574.58</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3,574.58</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20108</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审计事务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37.90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37.90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2010801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37.90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37.90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20110</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人力资源事务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21.35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21.35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2011002</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21.35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21.35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纪检监察事务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298.24</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298.24</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2011105</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派驻派出机构</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231.74</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231.74</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2011199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其他纪检监察事务支出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66.50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66.50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20126</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档案事务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17.90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17.90</w:t>
            </w:r>
          </w:p>
        </w:tc>
      </w:tr>
    </w:tbl>
    <w:p/>
    <w:tbl>
      <w:tblPr>
        <w:tblStyle w:val="8"/>
        <w:tblpPr w:leftFromText="180" w:rightFromText="180" w:vertAnchor="text" w:horzAnchor="page" w:tblpX="930" w:tblpY="604"/>
        <w:tblOverlap w:val="never"/>
        <w:tblW w:w="10053" w:type="dxa"/>
        <w:tblInd w:w="0" w:type="dxa"/>
        <w:tblLayout w:type="fixed"/>
        <w:tblCellMar>
          <w:top w:w="0" w:type="dxa"/>
          <w:left w:w="0" w:type="dxa"/>
          <w:bottom w:w="0" w:type="dxa"/>
          <w:right w:w="0" w:type="dxa"/>
        </w:tblCellMar>
      </w:tblPr>
      <w:tblGrid>
        <w:gridCol w:w="656"/>
        <w:gridCol w:w="50"/>
        <w:gridCol w:w="303"/>
        <w:gridCol w:w="3138"/>
        <w:gridCol w:w="1980"/>
        <w:gridCol w:w="1955"/>
        <w:gridCol w:w="1971"/>
      </w:tblGrid>
      <w:tr>
        <w:tblPrEx>
          <w:tblCellMar>
            <w:top w:w="0" w:type="dxa"/>
            <w:left w:w="0" w:type="dxa"/>
            <w:bottom w:w="0" w:type="dxa"/>
            <w:right w:w="0" w:type="dxa"/>
          </w:tblCellMar>
        </w:tblPrEx>
        <w:trPr>
          <w:trHeight w:val="600" w:hRule="atLeast"/>
        </w:trPr>
        <w:tc>
          <w:tcPr>
            <w:tcW w:w="10053"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trPr>
        <w:tc>
          <w:tcPr>
            <w:tcW w:w="6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trPr>
        <w:tc>
          <w:tcPr>
            <w:tcW w:w="4138"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413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91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trPr>
        <w:tc>
          <w:tcPr>
            <w:tcW w:w="99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14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9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95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9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1,400,159.44</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5,592.81</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1,394,566.63</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2012601</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17.90</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17.90</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20129</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群众团体事务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41.54</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41.54</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2012901</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41.54</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41.54</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20132</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组织事务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5,205.90</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5,205.90</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2013201</w:t>
            </w:r>
          </w:p>
        </w:tc>
        <w:tc>
          <w:tcPr>
            <w:tcW w:w="314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9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67.70</w:t>
            </w:r>
          </w:p>
        </w:tc>
        <w:tc>
          <w:tcPr>
            <w:tcW w:w="195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67.70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2013299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其他组织事务支出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5,138.20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5,138.20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20133</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宣传事务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955.19</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955.19</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2013350</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事业运行</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131.84</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131.84</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2013399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其他宣传事务支出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823.35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823.35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统战事务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24.45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24.45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2013404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宗教事务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2.55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2.55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2013499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其他统战事务支出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21.90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21.90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20136</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其他共产党事务支出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356.68</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356.68</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2013601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356.68</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356.68</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20137</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网信事务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83.75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83.75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2013799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其他网信事务支出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83.75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83.75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20138</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市场监督管理事务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208.03</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208.03</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2013802</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87.90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87.90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2013804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市场监督管理专项</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76.89</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76.89</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2013899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其他市场监督管理事务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43.24</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43.24</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其他一般公共服务支出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46.92</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46.92</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2019999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其他一般公共服务支出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46.92</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46.92</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203</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国防支出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20306</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国防动员</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r>
    </w:tbl>
    <w:p/>
    <w:p/>
    <w:p/>
    <w:p/>
    <w:tbl>
      <w:tblPr>
        <w:tblStyle w:val="8"/>
        <w:tblpPr w:leftFromText="180" w:rightFromText="180" w:vertAnchor="page" w:horzAnchor="page" w:tblpX="933" w:tblpY="1664"/>
        <w:tblOverlap w:val="never"/>
        <w:tblW w:w="10053" w:type="dxa"/>
        <w:tblInd w:w="0" w:type="dxa"/>
        <w:tblLayout w:type="fixed"/>
        <w:tblCellMar>
          <w:top w:w="0" w:type="dxa"/>
          <w:left w:w="0" w:type="dxa"/>
          <w:bottom w:w="0" w:type="dxa"/>
          <w:right w:w="0" w:type="dxa"/>
        </w:tblCellMar>
      </w:tblPr>
      <w:tblGrid>
        <w:gridCol w:w="656"/>
        <w:gridCol w:w="50"/>
        <w:gridCol w:w="303"/>
        <w:gridCol w:w="3138"/>
        <w:gridCol w:w="1980"/>
        <w:gridCol w:w="1955"/>
        <w:gridCol w:w="1971"/>
      </w:tblGrid>
      <w:tr>
        <w:tblPrEx>
          <w:tblCellMar>
            <w:top w:w="0" w:type="dxa"/>
            <w:left w:w="0" w:type="dxa"/>
            <w:bottom w:w="0" w:type="dxa"/>
            <w:right w:w="0" w:type="dxa"/>
          </w:tblCellMar>
        </w:tblPrEx>
        <w:trPr>
          <w:trHeight w:val="600" w:hRule="atLeast"/>
        </w:trPr>
        <w:tc>
          <w:tcPr>
            <w:tcW w:w="10053"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trPr>
        <w:tc>
          <w:tcPr>
            <w:tcW w:w="6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trPr>
        <w:tc>
          <w:tcPr>
            <w:tcW w:w="4138"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413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91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trPr>
        <w:tc>
          <w:tcPr>
            <w:tcW w:w="99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14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9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95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9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1,400,159.44</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5,592.81</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1,394,566.63</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2030603</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人民防空</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204</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公共安全支出</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70.87</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70.87</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20402</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公安</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56.37</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56.37</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2040299</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其他公安支出</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56.37</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56.37</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20406</w:t>
            </w:r>
          </w:p>
        </w:tc>
        <w:tc>
          <w:tcPr>
            <w:tcW w:w="314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司法</w:t>
            </w:r>
          </w:p>
        </w:tc>
        <w:tc>
          <w:tcPr>
            <w:tcW w:w="19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14.49</w:t>
            </w:r>
          </w:p>
        </w:tc>
        <w:tc>
          <w:tcPr>
            <w:tcW w:w="195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14.49</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2040601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14.49</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14.49</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教育支出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159.38</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159.38</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教育管理事务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2050199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其他教育管理事务支出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20502</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普通教育</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2050205</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高等教育</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20508</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进修及培训</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84.24</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84.24</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2050801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教师进修</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69.39</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69.39</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2050803</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培训支出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14.85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14.85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其他教育支出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60.94</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60.94</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2059999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其他教育支出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60.94</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60.94</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206</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科学技术支出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20604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技术研究与开发</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2060402</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应用技术研究与开发</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文化旅游体育与传媒支出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810.95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810.95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文化和旅游</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657.29</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657.29</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2070102</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65.60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65.60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2070108</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文化活动</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8.50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8.50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2070114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旅游行业业务管理</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76.59</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76.59</w:t>
            </w:r>
          </w:p>
        </w:tc>
      </w:tr>
    </w:tbl>
    <w:tbl>
      <w:tblPr>
        <w:tblStyle w:val="8"/>
        <w:tblpPr w:leftFromText="180" w:rightFromText="180" w:vertAnchor="page" w:horzAnchor="page" w:tblpX="979" w:tblpY="1590"/>
        <w:tblOverlap w:val="never"/>
        <w:tblW w:w="10053" w:type="dxa"/>
        <w:tblInd w:w="0" w:type="dxa"/>
        <w:tblLayout w:type="fixed"/>
        <w:tblCellMar>
          <w:top w:w="0" w:type="dxa"/>
          <w:left w:w="0" w:type="dxa"/>
          <w:bottom w:w="0" w:type="dxa"/>
          <w:right w:w="0" w:type="dxa"/>
        </w:tblCellMar>
      </w:tblPr>
      <w:tblGrid>
        <w:gridCol w:w="655"/>
        <w:gridCol w:w="50"/>
        <w:gridCol w:w="303"/>
        <w:gridCol w:w="3138"/>
        <w:gridCol w:w="1980"/>
        <w:gridCol w:w="1912"/>
        <w:gridCol w:w="2015"/>
      </w:tblGrid>
      <w:tr>
        <w:tblPrEx>
          <w:tblCellMar>
            <w:top w:w="0" w:type="dxa"/>
            <w:left w:w="0" w:type="dxa"/>
            <w:bottom w:w="0" w:type="dxa"/>
            <w:right w:w="0" w:type="dxa"/>
          </w:tblCellMar>
        </w:tblPrEx>
        <w:trPr>
          <w:trHeight w:val="600" w:hRule="atLeast"/>
        </w:trPr>
        <w:tc>
          <w:tcPr>
            <w:tcW w:w="10053"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trPr>
        <w:tc>
          <w:tcPr>
            <w:tcW w:w="6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trPr>
        <w:tc>
          <w:tcPr>
            <w:tcW w:w="4138"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413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91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trPr>
        <w:tc>
          <w:tcPr>
            <w:tcW w:w="99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14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9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9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01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0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1,400,159.44</w:t>
            </w:r>
          </w:p>
        </w:tc>
        <w:tc>
          <w:tcPr>
            <w:tcW w:w="1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5,592.81</w:t>
            </w:r>
          </w:p>
        </w:tc>
        <w:tc>
          <w:tcPr>
            <w:tcW w:w="20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1,394,566.63</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2070199</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其他文化和旅游支出</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506.60</w:t>
            </w:r>
          </w:p>
        </w:tc>
        <w:tc>
          <w:tcPr>
            <w:tcW w:w="1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506.60</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20702</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文物</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16.95</w:t>
            </w:r>
          </w:p>
        </w:tc>
        <w:tc>
          <w:tcPr>
            <w:tcW w:w="1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16.95</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2070204</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文物保护</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16.95</w:t>
            </w:r>
          </w:p>
        </w:tc>
        <w:tc>
          <w:tcPr>
            <w:tcW w:w="1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16.95</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20703</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体育</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1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2070305</w:t>
            </w:r>
          </w:p>
        </w:tc>
        <w:tc>
          <w:tcPr>
            <w:tcW w:w="314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体育竞赛</w:t>
            </w:r>
          </w:p>
        </w:tc>
        <w:tc>
          <w:tcPr>
            <w:tcW w:w="19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191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20706</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新闻出版电影</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101.40</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101.40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2070605</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出版发行</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101.40</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101.40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其他文化体育与传媒支出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32.30</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32.30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2079902</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宣传文化发展专项支出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32.30</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32.30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社会保障和就业支出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558.98</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262.95</w:t>
            </w: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296.03</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人力资源和社会保障管理事务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114.40</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114.40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2080109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社会保险经办机构</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114.40</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114.40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行政事业单位离退休</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262.95</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262.95</w:t>
            </w: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2080505</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机关事业单位基本养老保险缴费支出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262.95</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262.95</w:t>
            </w: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20807</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就业补助</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120.71</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120.71</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2080701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就业创业服务补贴</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120.71</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120.71</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20808</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抚恤</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38.80</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38.80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2080899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其他优抚支出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38.80</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38.80</w:t>
            </w:r>
          </w:p>
        </w:tc>
      </w:tr>
      <w:tr>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退役安置</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12.19</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12.19</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2080905</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军队转业干部安置</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12.19</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12.19</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20811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残疾人事业</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9.94</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9.94</w:t>
            </w:r>
          </w:p>
        </w:tc>
      </w:tr>
      <w:tr>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2081101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0.84</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0.84</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2081107</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残疾人生活和护理补贴</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9.10</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9.10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210</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卫生健康支出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354.85</w:t>
            </w:r>
          </w:p>
        </w:tc>
        <w:tc>
          <w:tcPr>
            <w:tcW w:w="1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97.80</w:t>
            </w:r>
          </w:p>
        </w:tc>
        <w:tc>
          <w:tcPr>
            <w:tcW w:w="20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257.06</w:t>
            </w:r>
          </w:p>
        </w:tc>
      </w:tr>
    </w:tbl>
    <w:p/>
    <w:p/>
    <w:p/>
    <w:tbl>
      <w:tblPr>
        <w:tblStyle w:val="8"/>
        <w:tblpPr w:leftFromText="180" w:rightFromText="180" w:vertAnchor="page" w:horzAnchor="page" w:tblpX="933" w:tblpY="1664"/>
        <w:tblOverlap w:val="never"/>
        <w:tblW w:w="10053" w:type="dxa"/>
        <w:tblInd w:w="0" w:type="dxa"/>
        <w:tblLayout w:type="fixed"/>
        <w:tblCellMar>
          <w:top w:w="0" w:type="dxa"/>
          <w:left w:w="0" w:type="dxa"/>
          <w:bottom w:w="0" w:type="dxa"/>
          <w:right w:w="0" w:type="dxa"/>
        </w:tblCellMar>
      </w:tblPr>
      <w:tblGrid>
        <w:gridCol w:w="656"/>
        <w:gridCol w:w="50"/>
        <w:gridCol w:w="303"/>
        <w:gridCol w:w="3138"/>
        <w:gridCol w:w="1980"/>
        <w:gridCol w:w="1955"/>
        <w:gridCol w:w="1971"/>
      </w:tblGrid>
      <w:tr>
        <w:tblPrEx>
          <w:tblCellMar>
            <w:top w:w="0" w:type="dxa"/>
            <w:left w:w="0" w:type="dxa"/>
            <w:bottom w:w="0" w:type="dxa"/>
            <w:right w:w="0" w:type="dxa"/>
          </w:tblCellMar>
        </w:tblPrEx>
        <w:trPr>
          <w:trHeight w:val="600" w:hRule="atLeast"/>
        </w:trPr>
        <w:tc>
          <w:tcPr>
            <w:tcW w:w="10053"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trPr>
        <w:tc>
          <w:tcPr>
            <w:tcW w:w="6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trPr>
        <w:tc>
          <w:tcPr>
            <w:tcW w:w="4138"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413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91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trPr>
        <w:tc>
          <w:tcPr>
            <w:tcW w:w="99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14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9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95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9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1,400,159.44</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5,592.81</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1,394,566.63</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21001</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卫生健康管理事务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146.41</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146.41</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2100199</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其他卫生健康管理事务支出</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146.41</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146.41</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21002</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公立医院</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2100201</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综合医院</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21004</w:t>
            </w:r>
          </w:p>
        </w:tc>
        <w:tc>
          <w:tcPr>
            <w:tcW w:w="314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公共卫生</w:t>
            </w:r>
          </w:p>
        </w:tc>
        <w:tc>
          <w:tcPr>
            <w:tcW w:w="19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10.65</w:t>
            </w:r>
          </w:p>
        </w:tc>
        <w:tc>
          <w:tcPr>
            <w:tcW w:w="195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10.65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2100408</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基本公共卫生服务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10.65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10.65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21011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行政事业单位医疗</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97.80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97.80</w:t>
            </w: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2101101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行政单位医疗</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97.60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97.60</w:t>
            </w: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2101199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其他行政事业单位医疗支出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0.20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0.20</w:t>
            </w: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节能环保支出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30,374.05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30,374.05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21104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自然生态保护</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30,000.00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30,000.00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2110499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其他自然生态保护支出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30,000.00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30,000.00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21114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能源管理事务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374.05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374.05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2111402</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374.05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374.05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677,746.35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677,746.35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城乡社区管理事务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7,705.30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7,705.30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2120101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6,838.84</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6,838.84</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2120102</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一般行政管理事务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2120104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城管执法</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371.37</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371.37</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2120106</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工程建设管理</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361.00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361.00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2120199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其他城乡社区管理事务支出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110.09</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110.09</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21202</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城乡社区规划与管理</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50,216.43</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50,216.43</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2120201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城乡社区规划与管理</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50,216.43</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50,216.43</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21203</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城乡社区公共设施</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616,048.65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616,048.65</w:t>
            </w:r>
          </w:p>
        </w:tc>
      </w:tr>
      <w:tr>
        <w:tblPrEx>
          <w:tblCellMar>
            <w:top w:w="0" w:type="dxa"/>
            <w:left w:w="0" w:type="dxa"/>
            <w:bottom w:w="0" w:type="dxa"/>
            <w:right w:w="0" w:type="dxa"/>
          </w:tblCellMar>
        </w:tblPrEx>
        <w:trPr>
          <w:trHeight w:val="600" w:hRule="atLeast"/>
        </w:trPr>
        <w:tc>
          <w:tcPr>
            <w:tcW w:w="10053"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trPr>
        <w:tc>
          <w:tcPr>
            <w:tcW w:w="6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trPr>
        <w:tc>
          <w:tcPr>
            <w:tcW w:w="4138"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413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91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trPr>
        <w:tc>
          <w:tcPr>
            <w:tcW w:w="99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14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9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95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9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1,400,159.44</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5,592.81</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1,394,566.63</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2120303</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小城镇基础设施建设</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570,048.65</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570,048.65</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2120399</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他城乡社区公共设施支出</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46,000.00</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46,000.00</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21299</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其他城乡社区支出</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3,775.98</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3,775.98</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2129901</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其他城乡社区支出</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3,775.98</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3,775.98</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w:t>
            </w:r>
          </w:p>
        </w:tc>
        <w:tc>
          <w:tcPr>
            <w:tcW w:w="314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农林水支出</w:t>
            </w:r>
          </w:p>
        </w:tc>
        <w:tc>
          <w:tcPr>
            <w:tcW w:w="19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18,921.70</w:t>
            </w:r>
          </w:p>
        </w:tc>
        <w:tc>
          <w:tcPr>
            <w:tcW w:w="195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18,921.70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农业</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170.56</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170.56</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2130106</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科技转化与推广服务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116.91</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116.91</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2130135</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农业资源保护修复与利用</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48.65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48.65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2130199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其他农业支出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21302</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林业和草原</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17,600.00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17,600.00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2130205</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森林培育</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17,600.00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17,600.00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21303</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水利</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1,132.59</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1,132.59</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2130311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水资源节约管理与保护</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1,111.69</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1,111.69</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2130399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其他水利支出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20.90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20.90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21305</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扶贫</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9.95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9.95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2130501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9.95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9.95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其他农林水支出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8.60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8.60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2139999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其他农林水支出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8.60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8.60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交通运输支出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944.26</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944.26</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21401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公路水路运输</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704.45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704.45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2140109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交通运输信息化建设</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550.00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550.00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2140199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其他公路水路运输支出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154.45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154.45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21499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其他交通运输支出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239.81</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239.81</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2149999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其他交通运输支出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239.81</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239.81</w:t>
            </w:r>
          </w:p>
        </w:tc>
      </w:tr>
    </w:tbl>
    <w:p/>
    <w:p/>
    <w:p/>
    <w:tbl>
      <w:tblPr>
        <w:tblStyle w:val="8"/>
        <w:tblpPr w:leftFromText="180" w:rightFromText="180" w:vertAnchor="page" w:horzAnchor="page" w:tblpX="1046" w:tblpY="2125"/>
        <w:tblOverlap w:val="never"/>
        <w:tblW w:w="10053" w:type="dxa"/>
        <w:jc w:val="center"/>
        <w:tblLayout w:type="fixed"/>
        <w:tblCellMar>
          <w:top w:w="0" w:type="dxa"/>
          <w:left w:w="0" w:type="dxa"/>
          <w:bottom w:w="0" w:type="dxa"/>
          <w:right w:w="0" w:type="dxa"/>
        </w:tblCellMar>
      </w:tblPr>
      <w:tblGrid>
        <w:gridCol w:w="656"/>
        <w:gridCol w:w="50"/>
        <w:gridCol w:w="303"/>
        <w:gridCol w:w="3138"/>
        <w:gridCol w:w="1980"/>
        <w:gridCol w:w="1955"/>
        <w:gridCol w:w="1971"/>
      </w:tblGrid>
      <w:tr>
        <w:tblPrEx>
          <w:tblCellMar>
            <w:top w:w="0" w:type="dxa"/>
            <w:left w:w="0" w:type="dxa"/>
            <w:bottom w:w="0" w:type="dxa"/>
            <w:right w:w="0" w:type="dxa"/>
          </w:tblCellMar>
        </w:tblPrEx>
        <w:trPr>
          <w:trHeight w:val="600" w:hRule="atLeast"/>
          <w:jc w:val="center"/>
        </w:trPr>
        <w:tc>
          <w:tcPr>
            <w:tcW w:w="10053"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6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3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2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4147"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9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2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90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1009"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13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9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9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97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100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3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00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3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jc w:val="center"/>
        </w:trPr>
        <w:tc>
          <w:tcPr>
            <w:tcW w:w="414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9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40" w:hRule="atLeast"/>
          <w:jc w:val="center"/>
        </w:trPr>
        <w:tc>
          <w:tcPr>
            <w:tcW w:w="414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1,400,159.44</w:t>
            </w:r>
          </w:p>
        </w:tc>
        <w:tc>
          <w:tcPr>
            <w:tcW w:w="1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5,592.81</w:t>
            </w:r>
          </w:p>
        </w:tc>
        <w:tc>
          <w:tcPr>
            <w:tcW w:w="19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1,394,566.63</w:t>
            </w:r>
          </w:p>
        </w:tc>
      </w:tr>
      <w:tr>
        <w:tblPrEx>
          <w:tblCellMar>
            <w:top w:w="0" w:type="dxa"/>
            <w:left w:w="0" w:type="dxa"/>
            <w:bottom w:w="0" w:type="dxa"/>
            <w:right w:w="0" w:type="dxa"/>
          </w:tblCellMar>
        </w:tblPrEx>
        <w:trPr>
          <w:trHeight w:val="397" w:hRule="atLeast"/>
          <w:jc w:val="center"/>
        </w:trPr>
        <w:tc>
          <w:tcPr>
            <w:tcW w:w="100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215</w:t>
            </w:r>
          </w:p>
        </w:tc>
        <w:tc>
          <w:tcPr>
            <w:tcW w:w="3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资源勘探信息等支出</w:t>
            </w:r>
          </w:p>
        </w:tc>
        <w:tc>
          <w:tcPr>
            <w:tcW w:w="1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1,838.28</w:t>
            </w:r>
          </w:p>
        </w:tc>
        <w:tc>
          <w:tcPr>
            <w:tcW w:w="1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1,838.28</w:t>
            </w:r>
          </w:p>
        </w:tc>
      </w:tr>
      <w:tr>
        <w:tblPrEx>
          <w:tblCellMar>
            <w:top w:w="0" w:type="dxa"/>
            <w:left w:w="0" w:type="dxa"/>
            <w:bottom w:w="0" w:type="dxa"/>
            <w:right w:w="0" w:type="dxa"/>
          </w:tblCellMar>
        </w:tblPrEx>
        <w:trPr>
          <w:trHeight w:val="397" w:hRule="atLeast"/>
          <w:jc w:val="center"/>
        </w:trPr>
        <w:tc>
          <w:tcPr>
            <w:tcW w:w="100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21505</w:t>
            </w:r>
          </w:p>
        </w:tc>
        <w:tc>
          <w:tcPr>
            <w:tcW w:w="3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工业和信息产业监管</w:t>
            </w:r>
          </w:p>
        </w:tc>
        <w:tc>
          <w:tcPr>
            <w:tcW w:w="1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1,838.28</w:t>
            </w:r>
          </w:p>
        </w:tc>
        <w:tc>
          <w:tcPr>
            <w:tcW w:w="1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1,838.28</w:t>
            </w:r>
          </w:p>
        </w:tc>
      </w:tr>
      <w:tr>
        <w:tblPrEx>
          <w:tblCellMar>
            <w:top w:w="0" w:type="dxa"/>
            <w:left w:w="0" w:type="dxa"/>
            <w:bottom w:w="0" w:type="dxa"/>
            <w:right w:w="0" w:type="dxa"/>
          </w:tblCellMar>
        </w:tblPrEx>
        <w:trPr>
          <w:trHeight w:val="397" w:hRule="atLeast"/>
          <w:jc w:val="center"/>
        </w:trPr>
        <w:tc>
          <w:tcPr>
            <w:tcW w:w="100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2150509</w:t>
            </w:r>
          </w:p>
        </w:tc>
        <w:tc>
          <w:tcPr>
            <w:tcW w:w="3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工业和信息产业战略研究与标准制定</w:t>
            </w:r>
          </w:p>
        </w:tc>
        <w:tc>
          <w:tcPr>
            <w:tcW w:w="1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6.26</w:t>
            </w:r>
          </w:p>
        </w:tc>
        <w:tc>
          <w:tcPr>
            <w:tcW w:w="1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6.26</w:t>
            </w:r>
          </w:p>
        </w:tc>
      </w:tr>
      <w:tr>
        <w:tblPrEx>
          <w:tblCellMar>
            <w:top w:w="0" w:type="dxa"/>
            <w:left w:w="0" w:type="dxa"/>
            <w:bottom w:w="0" w:type="dxa"/>
            <w:right w:w="0" w:type="dxa"/>
          </w:tblCellMar>
        </w:tblPrEx>
        <w:trPr>
          <w:trHeight w:val="397" w:hRule="atLeast"/>
          <w:jc w:val="center"/>
        </w:trPr>
        <w:tc>
          <w:tcPr>
            <w:tcW w:w="100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2150510</w:t>
            </w:r>
          </w:p>
        </w:tc>
        <w:tc>
          <w:tcPr>
            <w:tcW w:w="3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工业和信息产业支持</w:t>
            </w:r>
          </w:p>
        </w:tc>
        <w:tc>
          <w:tcPr>
            <w:tcW w:w="1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1,832.02</w:t>
            </w:r>
          </w:p>
        </w:tc>
        <w:tc>
          <w:tcPr>
            <w:tcW w:w="1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1,832.02</w:t>
            </w:r>
          </w:p>
        </w:tc>
      </w:tr>
      <w:tr>
        <w:tblPrEx>
          <w:tblCellMar>
            <w:top w:w="0" w:type="dxa"/>
            <w:left w:w="0" w:type="dxa"/>
            <w:bottom w:w="0" w:type="dxa"/>
            <w:right w:w="0" w:type="dxa"/>
          </w:tblCellMar>
        </w:tblPrEx>
        <w:trPr>
          <w:trHeight w:val="397" w:hRule="atLeast"/>
          <w:jc w:val="center"/>
        </w:trPr>
        <w:tc>
          <w:tcPr>
            <w:tcW w:w="1009"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w:t>
            </w:r>
          </w:p>
        </w:tc>
        <w:tc>
          <w:tcPr>
            <w:tcW w:w="313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商业服务业等支出</w:t>
            </w:r>
          </w:p>
        </w:tc>
        <w:tc>
          <w:tcPr>
            <w:tcW w:w="198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1,019.18</w:t>
            </w:r>
          </w:p>
        </w:tc>
        <w:tc>
          <w:tcPr>
            <w:tcW w:w="195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1,019.18</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21602</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商业流通事务</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2160299</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其他商业流通事务支出</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21606</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涉外发展服务支出</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14.18</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14.18</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2160699</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其他涉外发展服务支出</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14.18</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14.18</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21699</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其他商业服务业等支出</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1,000.00</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1,000.00</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2169999</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其他商业服务业等支出</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1,000.00</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1,000.00</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217</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金融支出</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38.62</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38.62</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21799</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其他金融支出</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38.62</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38.62</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2179901</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其他金融支出</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38.62</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38.62</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自然资源海洋气象等支出</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45,825.75</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45,825.75</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22001</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自然资源事务</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151.35</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151.35</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2200105</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土地资源调查</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82.85</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82.85</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2200114</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地质矿产资源利用与保护</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68.50</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68.50</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22003</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测绘事务</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674.40</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674.40</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2200304</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基础测绘</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674.40</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674.40</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22099</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其他自然资源海洋气象等支出</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45,000.00</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45,000.00</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2209901</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其他自然资源海洋气象等支出</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45,000.00</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45,000.00</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住房保障支出</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215,626.90</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166.41</w:t>
            </w: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215,460.49</w:t>
            </w:r>
          </w:p>
        </w:tc>
      </w:tr>
      <w:tr>
        <w:tblPrEx>
          <w:tblCellMar>
            <w:top w:w="0" w:type="dxa"/>
            <w:left w:w="0" w:type="dxa"/>
            <w:bottom w:w="0" w:type="dxa"/>
            <w:right w:w="0" w:type="dxa"/>
          </w:tblCellMar>
        </w:tblPrEx>
        <w:trPr>
          <w:trHeight w:val="397" w:hRule="atLeast"/>
          <w:jc w:val="center"/>
        </w:trPr>
        <w:tc>
          <w:tcPr>
            <w:tcW w:w="100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22101</w:t>
            </w:r>
          </w:p>
        </w:tc>
        <w:tc>
          <w:tcPr>
            <w:tcW w:w="31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保障性安居工程支出</w:t>
            </w:r>
          </w:p>
        </w:tc>
        <w:tc>
          <w:tcPr>
            <w:tcW w:w="19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215,377.00</w:t>
            </w:r>
          </w:p>
        </w:tc>
        <w:tc>
          <w:tcPr>
            <w:tcW w:w="19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215,377.00</w:t>
            </w:r>
          </w:p>
        </w:tc>
      </w:tr>
    </w:tbl>
    <w:p/>
    <w:tbl>
      <w:tblPr>
        <w:tblStyle w:val="8"/>
        <w:tblpPr w:leftFromText="180" w:rightFromText="180" w:vertAnchor="page" w:horzAnchor="page" w:tblpX="823" w:tblpY="1654"/>
        <w:tblOverlap w:val="never"/>
        <w:tblW w:w="10053" w:type="dxa"/>
        <w:tblInd w:w="0" w:type="dxa"/>
        <w:tblLayout w:type="fixed"/>
        <w:tblCellMar>
          <w:top w:w="0" w:type="dxa"/>
          <w:left w:w="0" w:type="dxa"/>
          <w:bottom w:w="0" w:type="dxa"/>
          <w:right w:w="0" w:type="dxa"/>
        </w:tblCellMar>
      </w:tblPr>
      <w:tblGrid>
        <w:gridCol w:w="656"/>
        <w:gridCol w:w="50"/>
        <w:gridCol w:w="303"/>
        <w:gridCol w:w="3138"/>
        <w:gridCol w:w="1980"/>
        <w:gridCol w:w="1955"/>
        <w:gridCol w:w="1971"/>
      </w:tblGrid>
      <w:tr>
        <w:tblPrEx>
          <w:tblCellMar>
            <w:top w:w="0" w:type="dxa"/>
            <w:left w:w="0" w:type="dxa"/>
            <w:bottom w:w="0" w:type="dxa"/>
            <w:right w:w="0" w:type="dxa"/>
          </w:tblCellMar>
        </w:tblPrEx>
        <w:trPr>
          <w:trHeight w:val="600" w:hRule="atLeast"/>
        </w:trPr>
        <w:tc>
          <w:tcPr>
            <w:tcW w:w="10053"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trPr>
        <w:tc>
          <w:tcPr>
            <w:tcW w:w="6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trPr>
        <w:tc>
          <w:tcPr>
            <w:tcW w:w="4138"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3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413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91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trPr>
        <w:tc>
          <w:tcPr>
            <w:tcW w:w="99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14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9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95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9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99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4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40" w:hRule="atLeast"/>
        </w:trPr>
        <w:tc>
          <w:tcPr>
            <w:tcW w:w="413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1,400,159.44</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5,592.81</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1,394,566.63</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2210103</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棚户区改造</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215,377.00</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215,377.00</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22102</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住房改革支出</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166.41</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166.41</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2210201</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住房公积金</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166.41</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166.41</w:t>
            </w: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22103</w:t>
            </w:r>
          </w:p>
        </w:tc>
        <w:tc>
          <w:tcPr>
            <w:tcW w:w="3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城乡社区住宅</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83.49</w:t>
            </w:r>
          </w:p>
        </w:tc>
        <w:tc>
          <w:tcPr>
            <w:tcW w:w="19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83.49</w:t>
            </w:r>
          </w:p>
        </w:tc>
      </w:tr>
      <w:tr>
        <w:tblPrEx>
          <w:tblCellMar>
            <w:top w:w="0" w:type="dxa"/>
            <w:left w:w="0" w:type="dxa"/>
            <w:bottom w:w="0" w:type="dxa"/>
            <w:right w:w="0" w:type="dxa"/>
          </w:tblCellMar>
        </w:tblPrEx>
        <w:trPr>
          <w:trHeight w:val="397" w:hRule="atLeast"/>
        </w:trPr>
        <w:tc>
          <w:tcPr>
            <w:tcW w:w="996"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2210399</w:t>
            </w:r>
          </w:p>
        </w:tc>
        <w:tc>
          <w:tcPr>
            <w:tcW w:w="314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其他城乡社区住宅支出</w:t>
            </w:r>
          </w:p>
        </w:tc>
        <w:tc>
          <w:tcPr>
            <w:tcW w:w="19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83.49</w:t>
            </w:r>
          </w:p>
        </w:tc>
        <w:tc>
          <w:tcPr>
            <w:tcW w:w="195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83.49</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灾害防治及应急管理支出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2,170.10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2,170.10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应急管理事务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733.08</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733.08</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2240106</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安全监管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504.88</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504.88</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2240107</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安全生产基础</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150.94</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150.94</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2240108</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应急救援</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3.45</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3.45</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2240199</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其他应急管理支出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73.81</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73.81</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22403</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森林消防事务</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1,437.02</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1,437.02</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2240304</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森林消防应急救援</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1,437.02</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1,437.02</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232</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债务付息支出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51,892.00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51,892.00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23203</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地方政府一般债务付息支出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51,892.00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51,892.00</w:t>
            </w:r>
          </w:p>
        </w:tc>
      </w:tr>
      <w:tr>
        <w:tblPrEx>
          <w:tblCellMar>
            <w:top w:w="0" w:type="dxa"/>
            <w:left w:w="0" w:type="dxa"/>
            <w:bottom w:w="0" w:type="dxa"/>
            <w:right w:w="0" w:type="dxa"/>
          </w:tblCellMar>
        </w:tblPrEx>
        <w:trPr>
          <w:trHeight w:val="397" w:hRule="atLeast"/>
        </w:trPr>
        <w:tc>
          <w:tcPr>
            <w:tcW w:w="99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2320301</w:t>
            </w:r>
          </w:p>
        </w:tc>
        <w:tc>
          <w:tcPr>
            <w:tcW w:w="31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地方政府一般债券付息支出</w:t>
            </w:r>
          </w:p>
        </w:tc>
        <w:tc>
          <w:tcPr>
            <w:tcW w:w="19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51,892.00</w:t>
            </w:r>
          </w:p>
        </w:tc>
        <w:tc>
          <w:tcPr>
            <w:tcW w:w="1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9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51,892.00</w:t>
            </w:r>
          </w:p>
        </w:tc>
      </w:tr>
    </w:tbl>
    <w:p/>
    <w:p/>
    <w:p>
      <w:r>
        <w:t>注：本表反映部门本年度一般公共预算财政拨款支出情况。</w:t>
      </w:r>
      <w:bookmarkStart w:id="0" w:name="_GoBack"/>
      <w:bookmarkEnd w:id="0"/>
    </w:p>
    <w:p/>
    <w:p/>
    <w:p/>
    <w:p/>
    <w:p>
      <w:r>
        <w:br w:type="page"/>
      </w:r>
    </w:p>
    <w:p/>
    <w:p/>
    <w:tbl>
      <w:tblPr>
        <w:tblStyle w:val="8"/>
        <w:tblW w:w="10663" w:type="dxa"/>
        <w:jc w:val="center"/>
        <w:tblLayout w:type="fixed"/>
        <w:tblCellMar>
          <w:top w:w="0" w:type="dxa"/>
          <w:left w:w="0" w:type="dxa"/>
          <w:bottom w:w="0" w:type="dxa"/>
          <w:right w:w="0" w:type="dxa"/>
        </w:tblCellMar>
      </w:tblPr>
      <w:tblGrid>
        <w:gridCol w:w="762"/>
        <w:gridCol w:w="2180"/>
        <w:gridCol w:w="940"/>
        <w:gridCol w:w="869"/>
        <w:gridCol w:w="1509"/>
        <w:gridCol w:w="1042"/>
        <w:gridCol w:w="760"/>
        <w:gridCol w:w="1710"/>
        <w:gridCol w:w="891"/>
      </w:tblGrid>
      <w:tr>
        <w:tblPrEx>
          <w:tblCellMar>
            <w:top w:w="0" w:type="dxa"/>
            <w:left w:w="0" w:type="dxa"/>
            <w:bottom w:w="0" w:type="dxa"/>
            <w:right w:w="0" w:type="dxa"/>
          </w:tblCellMar>
        </w:tblPrEx>
        <w:trPr>
          <w:trHeight w:val="662" w:hRule="atLeast"/>
          <w:jc w:val="center"/>
        </w:trPr>
        <w:tc>
          <w:tcPr>
            <w:tcW w:w="10663"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CellMar>
            <w:top w:w="0" w:type="dxa"/>
            <w:left w:w="0" w:type="dxa"/>
            <w:bottom w:w="0" w:type="dxa"/>
            <w:right w:w="0" w:type="dxa"/>
          </w:tblCellMar>
        </w:tblPrEx>
        <w:trPr>
          <w:trHeight w:val="339" w:hRule="atLeast"/>
          <w:jc w:val="center"/>
        </w:trPr>
        <w:tc>
          <w:tcPr>
            <w:tcW w:w="7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8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339" w:hRule="atLeast"/>
          <w:jc w:val="center"/>
        </w:trPr>
        <w:tc>
          <w:tcPr>
            <w:tcW w:w="2942"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9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62" w:hRule="atLeast"/>
          <w:jc w:val="center"/>
        </w:trPr>
        <w:tc>
          <w:tcPr>
            <w:tcW w:w="388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78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76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21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8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4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7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49" w:hRule="atLeast"/>
          <w:jc w:val="center"/>
        </w:trPr>
        <w:tc>
          <w:tcPr>
            <w:tcW w:w="7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1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工资福利支出</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3,189.55</w:t>
            </w: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商品和服务支出</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2,135.11</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307</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债务利息及费用支出</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30101</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基本工资</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2,653.19</w:t>
            </w: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30201</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办公费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144.25</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30701</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国内债务付息</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30102</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津贴补贴</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30202</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印刷费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123.97</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30702</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国外债务付息</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30103</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奖金</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1.50</w:t>
            </w: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30203</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咨询费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资本性支出</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268.15</w:t>
            </w: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30106</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伙食补助费</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30204</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手续费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31001</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房屋建筑物购建</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30107</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绩效工资</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30205</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水费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37.38</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31002</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办公设备购置</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268.15</w:t>
            </w: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30108</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机关事业单位基本养老保险缴费</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262.95</w:t>
            </w: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30206</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452.37</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31003</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专用设备购置</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30109</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职业年金缴费</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30207</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邮电费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41.89</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31005</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基础设施建设</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30110</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职工基本医疗保险缴费</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97.80</w:t>
            </w: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30208</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取暖费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31006</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大型修缮</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30111</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公务员医疗补助缴费</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30209</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物业管理费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31007</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信息网络及软件购置更新</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30112</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其他社会保障缴费</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7.70</w:t>
            </w: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30211</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差旅费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682.27</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31008</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物资储备</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30113</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住房公积金</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166.41</w:t>
            </w: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30212</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因公出国（境）费用</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55.52</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31009</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土地补偿</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30114</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医疗费</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30213</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维修（护）费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5.79</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31010</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安置补助</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30199</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其他工资福利支出</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30214</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租赁费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3.62</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31011</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地上附着物和青苗补偿</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47"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对个人和家庭的补助</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30215</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会议费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26.71</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31012</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拆迁补偿</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30301</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离休费</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30216</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培训费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68.18</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31013</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公务用车购置</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30302</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退休费</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公务接待费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224.27</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31019</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其他交通工具购置</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30303</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退职（役）费</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30218</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专用材料费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31021</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文物和陈列品购置</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30304</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抚恤金</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30224</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被装购置费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31022</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无形资产购置</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30305</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生活补助</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30225</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专用燃料费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31099</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其他资本性支出</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30306</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救济费</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30226</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劳务费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1.99</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399</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其他支出</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30307</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医疗费补助</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30227</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委托业务费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39906</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赠与</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30308</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助学金</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30228</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工会经费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119.00</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39907</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国家赔偿费用支出</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30309</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奖励金</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30229</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福利费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22.42</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39908</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对民间非营利组织和群众性自治组织补贴</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30310</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个人农业生产补贴</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30231</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公务用车运行维护费</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76.96</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39999</w:t>
            </w: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其他支出</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30399</w:t>
            </w: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其他对个人和家庭的补助</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30239</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其他交通费用</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41.28</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30240</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税金及附加费用</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rPr>
          <w:trHeight w:val="283" w:hRule="atLeast"/>
          <w:jc w:val="center"/>
        </w:trPr>
        <w:tc>
          <w:tcPr>
            <w:tcW w:w="7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2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30299</w:t>
            </w:r>
          </w:p>
        </w:tc>
        <w:tc>
          <w:tcPr>
            <w:tcW w:w="1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其他商品和服务支出</w:t>
            </w:r>
          </w:p>
        </w:tc>
        <w:tc>
          <w:tcPr>
            <w:tcW w:w="10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7.26</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17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3" w:hRule="atLeast"/>
          <w:jc w:val="center"/>
        </w:trPr>
        <w:tc>
          <w:tcPr>
            <w:tcW w:w="294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人员经费合计</w:t>
            </w:r>
          </w:p>
        </w:tc>
        <w:tc>
          <w:tcPr>
            <w:tcW w:w="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3,189.55</w:t>
            </w:r>
          </w:p>
        </w:tc>
        <w:tc>
          <w:tcPr>
            <w:tcW w:w="589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公用经费合计</w:t>
            </w:r>
          </w:p>
        </w:tc>
        <w:tc>
          <w:tcPr>
            <w:tcW w:w="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2,403.26</w:t>
            </w:r>
          </w:p>
        </w:tc>
      </w:tr>
    </w:tbl>
    <w:p>
      <w:r>
        <w:rPr>
          <w:sz w:val="20"/>
          <w:szCs w:val="20"/>
        </w:rPr>
        <w:t>注：本表反映部门本年度一般公共预算财政拨款基本支出明细情况。</w:t>
      </w:r>
    </w:p>
    <w:p>
      <w:r>
        <w:br w:type="page"/>
      </w:r>
    </w:p>
    <w:p>
      <w:pPr>
        <w:rPr>
          <w:rFonts w:ascii="宋体" w:hAnsi="宋体" w:eastAsia="宋体" w:cs="宋体"/>
        </w:rPr>
      </w:pPr>
    </w:p>
    <w:p>
      <w:pPr>
        <w:ind w:left="630" w:leftChars="300" w:firstLine="210" w:firstLineChars="100"/>
        <w:rPr>
          <w:rFonts w:ascii="宋体" w:hAnsi="宋体" w:eastAsia="宋体" w:cs="宋体"/>
        </w:rPr>
      </w:pPr>
    </w:p>
    <w:p>
      <w:pPr>
        <w:ind w:firstLine="420" w:firstLineChars="200"/>
        <w:rPr>
          <w:rFonts w:ascii="宋体" w:hAnsi="宋体" w:eastAsia="宋体" w:cs="宋体"/>
        </w:rPr>
      </w:pPr>
    </w:p>
    <w:tbl>
      <w:tblPr>
        <w:tblStyle w:val="8"/>
        <w:tblpPr w:leftFromText="180" w:rightFromText="180" w:vertAnchor="text" w:horzAnchor="page" w:tblpX="1076" w:tblpY="2"/>
        <w:tblOverlap w:val="never"/>
        <w:tblW w:w="9679" w:type="dxa"/>
        <w:jc w:val="center"/>
        <w:tblLayout w:type="fixed"/>
        <w:tblCellMar>
          <w:top w:w="0" w:type="dxa"/>
          <w:left w:w="0" w:type="dxa"/>
          <w:bottom w:w="0" w:type="dxa"/>
          <w:right w:w="0" w:type="dxa"/>
        </w:tblCellMar>
      </w:tblPr>
      <w:tblGrid>
        <w:gridCol w:w="1299"/>
        <w:gridCol w:w="1900"/>
        <w:gridCol w:w="1290"/>
        <w:gridCol w:w="2000"/>
        <w:gridCol w:w="1810"/>
        <w:gridCol w:w="1380"/>
      </w:tblGrid>
      <w:tr>
        <w:tblPrEx>
          <w:tblCellMar>
            <w:top w:w="0" w:type="dxa"/>
            <w:left w:w="0" w:type="dxa"/>
            <w:bottom w:w="0" w:type="dxa"/>
            <w:right w:w="0" w:type="dxa"/>
          </w:tblCellMar>
        </w:tblPrEx>
        <w:trPr>
          <w:trHeight w:val="638" w:hRule="atLeast"/>
          <w:jc w:val="center"/>
        </w:trPr>
        <w:tc>
          <w:tcPr>
            <w:tcW w:w="9679"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90" w:type="dxa"/>
            <w:tcBorders>
              <w:top w:val="nil"/>
              <w:left w:val="nil"/>
              <w:bottom w:val="nil"/>
              <w:right w:val="nil"/>
            </w:tcBorders>
            <w:shd w:val="clear" w:color="auto" w:fill="auto"/>
            <w:noWrap/>
            <w:tcMar>
              <w:top w:w="15" w:type="dxa"/>
              <w:left w:w="15" w:type="dxa"/>
              <w:right w:w="15" w:type="dxa"/>
            </w:tcMar>
            <w:vAlign w:val="bottom"/>
          </w:tcPr>
          <w:p>
            <w:pPr>
              <w:jc w:val="center"/>
              <w:rPr>
                <w:rFonts w:ascii="Arial" w:hAnsi="Arial" w:cs="Arial"/>
                <w:color w:val="000000"/>
                <w:sz w:val="20"/>
                <w:szCs w:val="20"/>
              </w:rPr>
            </w:pPr>
          </w:p>
        </w:tc>
        <w:tc>
          <w:tcPr>
            <w:tcW w:w="2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80"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3199"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2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80"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679"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99"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900"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5100"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380"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99"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8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380"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99"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2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8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38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1299"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677.00</w:t>
            </w:r>
          </w:p>
        </w:tc>
        <w:tc>
          <w:tcPr>
            <w:tcW w:w="1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285.00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105.00</w:t>
            </w:r>
          </w:p>
        </w:tc>
        <w:tc>
          <w:tcPr>
            <w:tcW w:w="2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1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105.00</w:t>
            </w:r>
          </w:p>
        </w:tc>
        <w:tc>
          <w:tcPr>
            <w:tcW w:w="1380"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287.00</w:t>
            </w:r>
          </w:p>
        </w:tc>
      </w:tr>
      <w:tr>
        <w:tblPrEx>
          <w:tblCellMar>
            <w:top w:w="0" w:type="dxa"/>
            <w:left w:w="0" w:type="dxa"/>
            <w:bottom w:w="0" w:type="dxa"/>
            <w:right w:w="0" w:type="dxa"/>
          </w:tblCellMar>
        </w:tblPrEx>
        <w:trPr>
          <w:trHeight w:val="417" w:hRule="atLeast"/>
          <w:jc w:val="center"/>
        </w:trPr>
        <w:tc>
          <w:tcPr>
            <w:tcW w:w="9679"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99"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900"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5100"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380"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99"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8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380"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99"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2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2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8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38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1299"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583.11</w:t>
            </w:r>
          </w:p>
        </w:tc>
        <w:tc>
          <w:tcPr>
            <w:tcW w:w="190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259.55</w:t>
            </w:r>
          </w:p>
        </w:tc>
        <w:tc>
          <w:tcPr>
            <w:tcW w:w="129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76.96</w:t>
            </w:r>
          </w:p>
        </w:tc>
        <w:tc>
          <w:tcPr>
            <w:tcW w:w="200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181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76.96</w:t>
            </w:r>
          </w:p>
        </w:tc>
        <w:tc>
          <w:tcPr>
            <w:tcW w:w="138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246.60</w:t>
            </w:r>
          </w:p>
        </w:tc>
      </w:tr>
    </w:tbl>
    <w:p>
      <w:pPr>
        <w:ind w:firstLine="420" w:firstLineChars="200"/>
        <w:rPr>
          <w:rFonts w:ascii="宋体" w:hAnsi="宋体" w:eastAsia="宋体" w:cs="宋体"/>
        </w:rPr>
      </w:pPr>
    </w:p>
    <w:p>
      <w:pPr>
        <w:ind w:firstLine="210" w:firstLineChars="100"/>
        <w:rPr>
          <w:rFonts w:ascii="宋体" w:hAnsi="宋体" w:eastAsia="宋体" w:cs="宋体"/>
        </w:rPr>
      </w:pPr>
      <w:r>
        <w:rPr>
          <w:rFonts w:hint="eastAsia" w:ascii="宋体" w:hAnsi="宋体" w:eastAsia="宋体" w:cs="宋体"/>
        </w:rPr>
        <w:t>注：本表反映部门本年度“三公”经费支出预决算情况。其中：预算数为“三公”经费全年预算数，反映按</w:t>
      </w:r>
    </w:p>
    <w:p>
      <w:pPr>
        <w:ind w:firstLine="210" w:firstLineChars="100"/>
        <w:rPr>
          <w:rFonts w:ascii="宋体" w:hAnsi="宋体" w:eastAsia="宋体" w:cs="宋体"/>
        </w:rPr>
      </w:pPr>
      <w:r>
        <w:rPr>
          <w:rFonts w:hint="eastAsia" w:ascii="宋体" w:hAnsi="宋体" w:eastAsia="宋体" w:cs="宋体"/>
        </w:rPr>
        <w:t>规定程序调整后的预算数；决算数是包括当年一般公共预算财政拨款和以前年度结转资金安排的实际支出。</w:t>
      </w:r>
    </w:p>
    <w:p>
      <w:pPr>
        <w:ind w:firstLine="420" w:firstLineChars="200"/>
        <w:rPr>
          <w:rFonts w:ascii="宋体" w:hAnsi="宋体" w:eastAsia="宋体" w:cs="宋体"/>
        </w:rPr>
      </w:pPr>
    </w:p>
    <w:p>
      <w:pPr>
        <w:ind w:firstLine="420" w:firstLineChars="200"/>
        <w:rPr>
          <w:rFonts w:ascii="宋体" w:hAnsi="宋体" w:eastAsia="宋体" w:cs="宋体"/>
        </w:rPr>
      </w:pPr>
    </w:p>
    <w:p>
      <w:pPr>
        <w:ind w:firstLine="420" w:firstLineChars="200"/>
        <w:rPr>
          <w:rFonts w:ascii="宋体" w:hAnsi="宋体" w:eastAsia="宋体" w:cs="宋体"/>
        </w:rPr>
      </w:pPr>
    </w:p>
    <w:p>
      <w:pPr>
        <w:ind w:firstLine="420" w:firstLineChars="200"/>
        <w:rPr>
          <w:rFonts w:ascii="宋体" w:hAnsi="宋体" w:eastAsia="宋体" w:cs="宋体"/>
        </w:rPr>
      </w:pPr>
    </w:p>
    <w:p>
      <w:pPr>
        <w:ind w:firstLine="420" w:firstLineChars="200"/>
      </w:pPr>
      <w:r>
        <w:br w:type="page"/>
      </w:r>
    </w:p>
    <w:p/>
    <w:p/>
    <w:tbl>
      <w:tblPr>
        <w:tblStyle w:val="8"/>
        <w:tblpPr w:leftFromText="180" w:rightFromText="180" w:vertAnchor="text" w:horzAnchor="page" w:tblpX="689" w:tblpY="326"/>
        <w:tblOverlap w:val="never"/>
        <w:tblW w:w="10523" w:type="dxa"/>
        <w:tblInd w:w="0" w:type="dxa"/>
        <w:tblLayout w:type="fixed"/>
        <w:tblCellMar>
          <w:top w:w="0" w:type="dxa"/>
          <w:left w:w="0" w:type="dxa"/>
          <w:bottom w:w="0" w:type="dxa"/>
          <w:right w:w="0" w:type="dxa"/>
        </w:tblCellMar>
      </w:tblPr>
      <w:tblGrid>
        <w:gridCol w:w="1003"/>
        <w:gridCol w:w="254"/>
        <w:gridCol w:w="50"/>
        <w:gridCol w:w="240"/>
        <w:gridCol w:w="1906"/>
        <w:gridCol w:w="1030"/>
        <w:gridCol w:w="1520"/>
        <w:gridCol w:w="1500"/>
        <w:gridCol w:w="570"/>
        <w:gridCol w:w="1490"/>
        <w:gridCol w:w="960"/>
      </w:tblGrid>
      <w:tr>
        <w:tblPrEx>
          <w:tblCellMar>
            <w:top w:w="0" w:type="dxa"/>
            <w:left w:w="0" w:type="dxa"/>
            <w:bottom w:w="0" w:type="dxa"/>
            <w:right w:w="0" w:type="dxa"/>
          </w:tblCellMar>
        </w:tblPrEx>
        <w:trPr>
          <w:trHeight w:val="780" w:hRule="atLeast"/>
        </w:trPr>
        <w:tc>
          <w:tcPr>
            <w:tcW w:w="10523"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trPr>
        <w:tc>
          <w:tcPr>
            <w:tcW w:w="125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0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5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trPr>
        <w:tc>
          <w:tcPr>
            <w:tcW w:w="3453"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10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5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345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5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56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9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trPr>
        <w:tc>
          <w:tcPr>
            <w:tcW w:w="100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450"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49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9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10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450"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873" w:hRule="atLeast"/>
        </w:trPr>
        <w:tc>
          <w:tcPr>
            <w:tcW w:w="10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450"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atLeast"/>
        </w:trPr>
        <w:tc>
          <w:tcPr>
            <w:tcW w:w="345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4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40" w:hRule="atLeast"/>
        </w:trPr>
        <w:tc>
          <w:tcPr>
            <w:tcW w:w="345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1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1,343,836.40</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1,343,836.40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14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1,343,836.40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510" w:hRule="atLeast"/>
        </w:trPr>
        <w:tc>
          <w:tcPr>
            <w:tcW w:w="100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w:t>
            </w:r>
          </w:p>
        </w:tc>
        <w:tc>
          <w:tcPr>
            <w:tcW w:w="245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其他支出</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1,284,076.40</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1,284,076.40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4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1,284,076.40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0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22904</w:t>
            </w:r>
          </w:p>
        </w:tc>
        <w:tc>
          <w:tcPr>
            <w:tcW w:w="245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其他政府性基金及对应专项债务收入安排的支出</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1,284,000.00</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1,284,000.00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4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1,284,000.00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0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2290402</w:t>
            </w:r>
          </w:p>
        </w:tc>
        <w:tc>
          <w:tcPr>
            <w:tcW w:w="245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其他地方自行试点项目收益专项债券收入安排的支出</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1,284,000.00</w:t>
            </w:r>
          </w:p>
        </w:tc>
        <w:tc>
          <w:tcPr>
            <w:tcW w:w="1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1,284,000.00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4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1,284,000.00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03"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22960</w:t>
            </w:r>
          </w:p>
        </w:tc>
        <w:tc>
          <w:tcPr>
            <w:tcW w:w="2450" w:type="dxa"/>
            <w:gridSpan w:val="4"/>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彩票公益金安排的支出</w:t>
            </w:r>
          </w:p>
        </w:tc>
        <w:tc>
          <w:tcPr>
            <w:tcW w:w="103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2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76.40</w:t>
            </w:r>
          </w:p>
        </w:tc>
        <w:tc>
          <w:tcPr>
            <w:tcW w:w="150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76.40</w:t>
            </w:r>
          </w:p>
        </w:tc>
        <w:tc>
          <w:tcPr>
            <w:tcW w:w="57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49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76.40</w:t>
            </w:r>
          </w:p>
        </w:tc>
        <w:tc>
          <w:tcPr>
            <w:tcW w:w="96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2296003</w:t>
            </w:r>
          </w:p>
        </w:tc>
        <w:tc>
          <w:tcPr>
            <w:tcW w:w="2450"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用于体育事业的彩票公益金支出</w:t>
            </w:r>
          </w:p>
        </w:tc>
        <w:tc>
          <w:tcPr>
            <w:tcW w:w="10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76.40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76.40</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4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76.40</w:t>
            </w:r>
          </w:p>
        </w:tc>
        <w:tc>
          <w:tcPr>
            <w:tcW w:w="9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232</w:t>
            </w:r>
          </w:p>
        </w:tc>
        <w:tc>
          <w:tcPr>
            <w:tcW w:w="2450"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债务付息支出</w:t>
            </w:r>
          </w:p>
        </w:tc>
        <w:tc>
          <w:tcPr>
            <w:tcW w:w="10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59,760.00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59,760.00</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4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59,760.00</w:t>
            </w:r>
          </w:p>
        </w:tc>
        <w:tc>
          <w:tcPr>
            <w:tcW w:w="9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23204</w:t>
            </w:r>
          </w:p>
        </w:tc>
        <w:tc>
          <w:tcPr>
            <w:tcW w:w="2450"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地方政府专项债务付息支出</w:t>
            </w:r>
          </w:p>
        </w:tc>
        <w:tc>
          <w:tcPr>
            <w:tcW w:w="10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59,760.00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59,760.00</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4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59,760.00</w:t>
            </w:r>
          </w:p>
        </w:tc>
        <w:tc>
          <w:tcPr>
            <w:tcW w:w="9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0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2320411</w:t>
            </w:r>
          </w:p>
        </w:tc>
        <w:tc>
          <w:tcPr>
            <w:tcW w:w="2450"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highlight w:val="none"/>
                <w:lang w:bidi="ar"/>
              </w:rPr>
              <w:t>国有土地使用权出让</w:t>
            </w:r>
            <w:r>
              <w:rPr>
                <w:rFonts w:hint="eastAsia" w:ascii="宋体" w:hAnsi="宋体" w:eastAsia="宋体" w:cs="宋体"/>
                <w:color w:val="000000"/>
                <w:kern w:val="0"/>
                <w:sz w:val="22"/>
                <w:lang w:bidi="ar"/>
              </w:rPr>
              <w:t>金债务付息支出</w:t>
            </w:r>
          </w:p>
        </w:tc>
        <w:tc>
          <w:tcPr>
            <w:tcW w:w="10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59,760.00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59,760.00</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4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59,760.00</w:t>
            </w:r>
          </w:p>
        </w:tc>
        <w:tc>
          <w:tcPr>
            <w:tcW w:w="9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bl>
    <w:p/>
    <w:p>
      <w:r>
        <w:t>注：本表反映部门本年度政府性基金预算财政拨款收入、支出及结转和结余情况。</w:t>
      </w:r>
    </w:p>
    <w:p/>
    <w:p/>
    <w:p/>
    <w:p/>
    <w:p/>
    <w:p/>
    <w:p/>
    <w:p/>
    <w:p/>
    <w:p>
      <w:r>
        <w:br w:type="page"/>
      </w:r>
    </w:p>
    <w:p/>
    <w:tbl>
      <w:tblPr>
        <w:tblStyle w:val="8"/>
        <w:tblpPr w:leftFromText="180" w:rightFromText="180" w:vertAnchor="text" w:horzAnchor="page" w:tblpX="899" w:tblpY="223"/>
        <w:tblOverlap w:val="never"/>
        <w:tblW w:w="10140" w:type="dxa"/>
        <w:tblInd w:w="0" w:type="dxa"/>
        <w:tblLayout w:type="fixed"/>
        <w:tblCellMar>
          <w:top w:w="0" w:type="dxa"/>
          <w:left w:w="0" w:type="dxa"/>
          <w:bottom w:w="0" w:type="dxa"/>
          <w:right w:w="0" w:type="dxa"/>
        </w:tblCellMar>
      </w:tblPr>
      <w:tblGrid>
        <w:gridCol w:w="1232"/>
        <w:gridCol w:w="240"/>
        <w:gridCol w:w="74"/>
        <w:gridCol w:w="3798"/>
        <w:gridCol w:w="961"/>
        <w:gridCol w:w="1860"/>
        <w:gridCol w:w="1975"/>
      </w:tblGrid>
      <w:tr>
        <w:tblPrEx>
          <w:tblCellMar>
            <w:top w:w="0" w:type="dxa"/>
            <w:left w:w="0" w:type="dxa"/>
            <w:bottom w:w="0" w:type="dxa"/>
            <w:right w:w="0" w:type="dxa"/>
          </w:tblCellMar>
        </w:tblPrEx>
        <w:trPr>
          <w:trHeight w:val="840" w:hRule="atLeast"/>
        </w:trPr>
        <w:tc>
          <w:tcPr>
            <w:tcW w:w="1014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trPr>
        <w:tc>
          <w:tcPr>
            <w:tcW w:w="123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83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trPr>
        <w:tc>
          <w:tcPr>
            <w:tcW w:w="5344"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部门：河北雄安新区管理委员会</w:t>
            </w: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83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534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796"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trPr>
        <w:tc>
          <w:tcPr>
            <w:tcW w:w="154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trPr>
        <w:tc>
          <w:tcPr>
            <w:tcW w:w="534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trPr>
        <w:tc>
          <w:tcPr>
            <w:tcW w:w="534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trPr>
        <w:tc>
          <w:tcPr>
            <w:tcW w:w="15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15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15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15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15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t>注：本表反映部门本年度国有资本经营预算财政拨款支出情况。本部门本年度无相关支出情况，按要求以空表列示。</w:t>
      </w:r>
    </w:p>
    <w:p/>
    <w:p>
      <w:r>
        <w:br w:type="page"/>
      </w:r>
    </w:p>
    <w:p>
      <w:r>
        <mc:AlternateContent>
          <mc:Choice Requires="wps">
            <w:drawing>
              <wp:anchor distT="0" distB="0" distL="114300" distR="114300" simplePos="0" relativeHeight="437282816" behindDoc="0" locked="0" layoutInCell="1" allowOverlap="1">
                <wp:simplePos x="0" y="0"/>
                <wp:positionH relativeFrom="column">
                  <wp:posOffset>-895350</wp:posOffset>
                </wp:positionH>
                <wp:positionV relativeFrom="paragraph">
                  <wp:posOffset>-1082675</wp:posOffset>
                </wp:positionV>
                <wp:extent cx="7919085" cy="11094720"/>
                <wp:effectExtent l="0" t="0" r="5715" b="5080"/>
                <wp:wrapNone/>
                <wp:docPr id="40" name="矩形 40"/>
                <wp:cNvGraphicFramePr/>
                <a:graphic xmlns:a="http://schemas.openxmlformats.org/drawingml/2006/main">
                  <a:graphicData uri="http://schemas.microsoft.com/office/word/2010/wordprocessingShape">
                    <wps:wsp>
                      <wps:cNvSpPr/>
                      <wps:spPr>
                        <a:xfrm>
                          <a:off x="937895" y="1169035"/>
                          <a:ext cx="7919085" cy="1109472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73.6pt;width:623.55pt;z-index:437282816;v-text-anchor:middle;mso-width-relative:page;mso-height-relative:page;" fillcolor="#FFC000" filled="t" stroked="f" coordsize="21600,21600" o:gfxdata="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DUNOncAAAADwEAAA8AAAAAAAAAAQAgAAAAIgAAAGRycy9kb3ducmV2LnhtbFBLAQIUABQAAAAI&#10;AIdO4kB3UeP5WwIAAIwEAAAOAAAAAAAAAAEAIAAAACsBAABkcnMvZTJvRG9jLnhtbFBLBQYAAAAA&#10;BgAGAFkBAAD4BQAAAAA=&#10;">
                <v:fill on="t" focussize="0,0"/>
                <v:stroke on="f" weight="1pt" miterlimit="8" joinstyle="miter"/>
                <v:imagedata o:title=""/>
                <o:lock v:ext="edit" aspectratio="f"/>
              </v:rect>
            </w:pict>
          </mc:Fallback>
        </mc:AlternateContent>
      </w:r>
    </w:p>
    <w:sectPr>
      <w:headerReference r:id="rId25" w:type="first"/>
      <w:headerReference r:id="rId24" w:type="default"/>
      <w:footerReference r:id="rId26" w:type="default"/>
      <w:pgSz w:w="11906" w:h="16838"/>
      <w:pgMar w:top="1134" w:right="850" w:bottom="567" w:left="85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思源黑体 HW Bold">
    <w:altName w:val="黑体"/>
    <w:panose1 w:val="00000000000000000000"/>
    <w:charset w:val="86"/>
    <w:family w:val="swiss"/>
    <w:pitch w:val="default"/>
    <w:sig w:usb0="00000000" w:usb1="00000000" w:usb2="00000016" w:usb3="00000000" w:csb0="002E0107" w:csb1="00000000"/>
  </w:font>
  <w:font w:name="楷体_GB2312">
    <w:altName w:val="楷体"/>
    <w:panose1 w:val="02010609030101010101"/>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2830720" behindDoc="0" locked="0" layoutInCell="1" allowOverlap="1">
              <wp:simplePos x="0" y="0"/>
              <wp:positionH relativeFrom="margin">
                <wp:align>center</wp:align>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- 54 -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6pt;height:18.7pt;width:144pt;mso-position-horizontal:center;mso-position-horizontal-relative:margin;mso-wrap-style:none;z-index:252830720;mso-width-relative:page;mso-height-relative:page;" filled="f" stroked="f" coordsize="21600,21600" o:gfxdata="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U1rgNUAAAAHAQAADwAAAAAAAAAB&#10;ACAAAAAiAAAAZHJzL2Rvd25yZXYueG1sUEsBAhQAFAAAAAgAh07iQD8v0EYTAgAACAQAAA4AAAAA&#10;AAAAAQAgAAAAJAEAAGRycy9lMm9Eb2MueG1sUEsFBgAAAAAGAAYAWQEAAKkFA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- 54 -</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887616" behindDoc="0" locked="0" layoutInCell="1" allowOverlap="1">
              <wp:simplePos x="0" y="0"/>
              <wp:positionH relativeFrom="margin">
                <wp:align>center</wp:align>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- 15 -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12.95pt;height:14.3pt;width:30.6pt;mso-position-horizontal:center;mso-position-horizontal-relative:margin;z-index:251887616;mso-width-relative:page;mso-height-relative:page;" filled="f" stroked="f" coordsize="21600,21600" o:gfxdata="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9cbF1QAAAAUBAAAPAAAAAAAAAAEA&#10;IAAAACIAAABkcnMvZG93bnJldi54bWxQSwECFAAUAAAACACHTuJAmrEfPBICAAAHBAAADgAAAAAA&#10;AAABACAAAAAkAQAAZHJzL2Uyb0RvYy54bWxQSwUGAAAAAAYABgBZAQAAqAUAAAAA&#10;">
              <v:fill on="f" focussize="0,0"/>
              <v:stroke on="f" weight="0.5pt"/>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- 15 -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888640" behindDoc="0" locked="0" layoutInCell="1" allowOverlap="1">
              <wp:simplePos x="0" y="0"/>
              <wp:positionH relativeFrom="margin">
                <wp:align>center</wp:align>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- 5 -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22.45pt;height:35.15pt;width:34pt;mso-position-horizontal:center;mso-position-horizontal-relative:margin;z-index:251888640;mso-width-relative:page;mso-height-relative:page;" filled="f" stroked="f" coordsize="21600,21600" o:gfxdata="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afg19YAAAAGAQAADwAAAAAA&#10;AAABACAAAAAiAAAAZHJzL2Rvd25yZXYueG1sUEsBAhQAFAAAAAgAh07iQHOC4vsVAgAABwQAAA4A&#10;AAAAAAAAAQAgAAAAJQEAAGRycy9lMm9Eb2MueG1sUEsFBgAAAAAGAAYAWQEAAKwFAAAAAA==&#10;">
              <v:fill on="f" focussize="0,0"/>
              <v:stroke on="f" weight="0.5pt"/>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- 5 -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889664" behindDoc="0" locked="0" layoutInCell="1" allowOverlap="1">
              <wp:simplePos x="0" y="0"/>
              <wp:positionH relativeFrom="margin">
                <wp:align>center</wp:align>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- 20 -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6pt;height:18.7pt;width:144pt;mso-position-horizontal:center;mso-position-horizontal-relative:margin;mso-wrap-style:none;z-index:251889664;mso-width-relative:page;mso-height-relative:page;" filled="f" stroked="f" coordsize="21600,21600" o:gfxdata="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U1rgNUAAAAHAQAADwAAAAAAAAAB&#10;ACAAAAAiAAAAZHJzL2Rvd25yZXYueG1sUEsBAhQAFAAAAAgAh07iQAxSbjITAgAABgQAAA4AAAAA&#10;AAAAAQAgAAAAJAEAAGRycy9lMm9Eb2MueG1sUEsFBgAAAAAGAAYAWQEAAKkFA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- 20 -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890688" behindDoc="0" locked="0" layoutInCell="1" allowOverlap="1">
              <wp:simplePos x="0" y="0"/>
              <wp:positionH relativeFrom="margin">
                <wp:align>center</wp:align>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- 16 -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18.75pt;height:31.45pt;width:30.15pt;mso-position-horizontal:center;mso-position-horizontal-relative:margin;z-index:251890688;mso-width-relative:page;mso-height-relative:page;" filled="f" stroked="f" coordsize="21600,21600" o:gfxdata="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0gtZ71gAAAAYBAAAPAAAA&#10;AAAAAAEAIAAAACIAAABkcnMvZG93bnJldi54bWxQSwECFAAUAAAACACHTuJA4KAGHBcCAAAJBAAA&#10;DgAAAAAAAAABACAAAAAlAQAAZHJzL2Uyb0RvYy54bWxQSwUGAAAAAAYABgBZAQAArgU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- 16 -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2880896" behindDoc="0" locked="0" layoutInCell="1" allowOverlap="1">
              <wp:simplePos x="0" y="0"/>
              <wp:positionH relativeFrom="page">
                <wp:posOffset>-34290</wp:posOffset>
              </wp:positionH>
              <wp:positionV relativeFrom="topMargin">
                <wp:posOffset>596265</wp:posOffset>
              </wp:positionV>
              <wp:extent cx="7586980" cy="416560"/>
              <wp:effectExtent l="0" t="0" r="7620" b="2540"/>
              <wp:wrapNone/>
              <wp:docPr id="23" name="组合 23"/>
              <wp:cNvGraphicFramePr/>
              <a:graphic xmlns:a="http://schemas.openxmlformats.org/drawingml/2006/main">
                <a:graphicData uri="http://schemas.microsoft.com/office/word/2010/wordprocessingGroup">
                  <wpg:wgp>
                    <wpg:cNvGrpSpPr/>
                    <wpg:grpSpPr>
                      <a:xfrm>
                        <a:off x="0" y="0"/>
                        <a:ext cx="7586980" cy="416560"/>
                        <a:chOff x="881" y="505"/>
                        <a:chExt cx="11982" cy="1179"/>
                      </a:xfrm>
                    </wpg:grpSpPr>
                    <wps:wsp>
                      <wps:cNvPr id="27"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任意多边形 3"/>
                      <wps:cNvSpPr/>
                      <wps:spPr>
                        <a:xfrm>
                          <a:off x="10166" y="687"/>
                          <a:ext cx="2619" cy="863"/>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任意多边形 4"/>
                      <wps:cNvSpPr/>
                      <wps:spPr>
                        <a:xfrm>
                          <a:off x="10478"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pt;margin-top:46.95pt;height:32.8pt;width:597.4pt;mso-position-horizontal-relative:page;mso-position-vertical-relative:page;z-index:252880896;mso-width-relative:page;mso-height-relative:page;" coordorigin="881,505" coordsize="11982,1179" o:gfxdata="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D9fsKP2gAAAAoBAAAPAAAA&#10;AAAAAAEAIAAAACIAAABkcnMvZG93bnJldi54bWxQSwECFAAUAAAACACHTuJAUVIof/gEAACgFAAA&#10;DgAAAAAAAAABACAAAAApAQAAZHJzL2Uyb0RvYy54bWxQSwUGAAAAAAYABgBZAQAAk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QDri27sAAADb&#10;AAAADwAAAGRycy9kb3ducmV2LnhtbEWPQYvCMBSE78L+h/AWvIgmCupSjR4WxT0oou4PeDRvm9Lm&#10;pTSpuv/eCILHYWa+YZbru6vFldpQetYwHikQxLk3JRcafi/b4ReIEJEN1p5Jwz8FWK8+ekvMjL/x&#10;ia7nWIgE4ZChBhtjk0kZcksOw8g3xMn7863DmGRbSNPiLcFdLSdKzaTDktOCxYa+LeXVuXMaumCm&#10;nT2qal8dZhx3blPlA6V1/3OsFiAi3eM7/Gr/GA2TOTy/pB8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Dri2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任意多边形 3" o:spid="_x0000_s1026" o:spt="100" style="position:absolute;left:10166;top:687;height:863;width:2619;v-text-anchor:middle;" fillcolor="#000000 [3213]" filled="t" stroked="f" coordsize="2619,862" o:gfxdata="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Gei9ugAAANsA&#10;AAAPAAAAAAAAAAEAIAAAACIAAABkcnMvZG93bnJldi54bWxQSwECFAAUAAAACACHTuJAMy8FnjsA&#10;AAA5AAAAEAAAAAAAAAABACAAAAAJAQAAZHJzL3NoYXBleG1sLnhtbFBLBQYAAAAABgAGAFsBAACz&#10;AwAAAAA=&#10;" path="m595,1l2619,0,2619,862,0,862,595,1xe">
                <v:path o:connectlocs="595,1;2619,0;2619,863;0,863;595,1" o:connectangles="0,0,0,0,0"/>
                <v:fill on="t" focussize="0,0"/>
                <v:stroke on="f" weight="1pt" miterlimit="8" joinstyle="miter"/>
                <v:imagedata o:title=""/>
                <o:lock v:ext="edit" aspectratio="f"/>
              </v:shape>
              <v:shape id="任意多边形 4" o:spid="_x0000_s1026" o:spt="100" style="position:absolute;left:10478;top:505;height:1107;width:2385;v-text-anchor:middle;" fillcolor="#FFD966 [1943]" filled="t" stroked="f" coordsize="2619,1265" o:gfxdata="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VDsl7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82944" behindDoc="0" locked="0" layoutInCell="1" allowOverlap="1">
              <wp:simplePos x="0" y="0"/>
              <wp:positionH relativeFrom="column">
                <wp:posOffset>-969645</wp:posOffset>
              </wp:positionH>
              <wp:positionV relativeFrom="paragraph">
                <wp:posOffset>155575</wp:posOffset>
              </wp:positionV>
              <wp:extent cx="113030" cy="209550"/>
              <wp:effectExtent l="0" t="0" r="1270" b="6350"/>
              <wp:wrapNone/>
              <wp:docPr id="31" name="矩形 7"/>
              <wp:cNvGraphicFramePr/>
              <a:graphic xmlns:a="http://schemas.openxmlformats.org/drawingml/2006/main">
                <a:graphicData uri="http://schemas.microsoft.com/office/word/2010/wordprocessingShape">
                  <wps:wsp>
                    <wps:cNvSpPr/>
                    <wps:spPr>
                      <a:xfrm>
                        <a:off x="0" y="0"/>
                        <a:ext cx="113083"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 o:spid="_x0000_s1026" o:spt="1" style="position:absolute;left:0pt;margin-left:-76.35pt;margin-top:12.25pt;height:16.5pt;width:8.9pt;z-index:252882944;v-text-anchor:middle;mso-width-relative:page;mso-height-relative:page;" fillcolor="#000000 [3213]" filled="t" stroked="f" coordsize="21600,21600" o:gfxdata="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WdmikNgAAAAL&#10;AQAADwAAAAAAAAABACAAAAAiAAAAZHJzL2Rvd25yZXYueG1sUEsBAhQAFAAAAAgAh07iQMFWcuhV&#10;AgAAiAQAAA4AAAAAAAAAAQAgAAAAJwEAAGRycy9lMm9Eb2MueG1sUEsFBgAAAAAGAAYAWQEAAO4F&#10;A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2881920" behindDoc="0" locked="0" layoutInCell="1" allowOverlap="1">
              <wp:simplePos x="0" y="0"/>
              <wp:positionH relativeFrom="column">
                <wp:posOffset>-930910</wp:posOffset>
              </wp:positionH>
              <wp:positionV relativeFrom="paragraph">
                <wp:posOffset>45085</wp:posOffset>
              </wp:positionV>
              <wp:extent cx="2933700" cy="407035"/>
              <wp:effectExtent l="0" t="0" r="0" b="0"/>
              <wp:wrapNone/>
              <wp:docPr id="30"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相关名词解释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73.3pt;margin-top:3.55pt;height:32.05pt;width:231pt;z-index:252881920;mso-width-relative:page;mso-height-relative:page;" filled="f" stroked="f" coordsize="21600,21600" o:gfxdata="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xP&#10;aR7aAAAACQEAAA8AAAAAAAAAAQAgAAAAIgAAAGRycy9kb3ducmV2LnhtbFBLAQIUABQAAAAIAIdO&#10;4kAajKk0IQIAABkEAAAOAAAAAAAAAAEAIAAAACkBAABkcnMvZTJvRG9jLnhtbFBLBQYAAAAABgAG&#10;AFkBAAC8BQ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相关名词解释</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4107648" behindDoc="0" locked="0" layoutInCell="1" allowOverlap="1">
              <wp:simplePos x="0" y="0"/>
              <wp:positionH relativeFrom="column">
                <wp:posOffset>-930910</wp:posOffset>
              </wp:positionH>
              <wp:positionV relativeFrom="paragraph">
                <wp:posOffset>45085</wp:posOffset>
              </wp:positionV>
              <wp:extent cx="2933700" cy="407035"/>
              <wp:effectExtent l="0" t="0" r="0" b="0"/>
              <wp:wrapNone/>
              <wp:docPr id="3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73.3pt;margin-top:3.55pt;height:32.05pt;width:231pt;z-index:254107648;mso-width-relative:page;mso-height-relative:page;" filled="f" stroked="f" coordsize="21600,21600" o:gfxdata="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xP&#10;aR7aAAAACQEAAA8AAAAAAAAAAQAgAAAAIgAAAGRycy9kb3ducmV2LnhtbFBLAQIUABQAAAAIAIdO&#10;4kC+PyWQIQIAABkEAAAOAAAAAAAAAAEAIAAAACkBAABkcnMvZTJvRG9jLnhtbFBLBQYAAAAABgAG&#10;AFkBAAC8BQAAAAA=&#10;">
              <v:fill on="f" focussize="0,0"/>
              <v:stroke on="f" weight="0.5pt"/>
              <v:imagedata o:title=""/>
              <o:lock v:ext="edit" aspectratio="f"/>
              <v:textbox>
                <w:txbxContent>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88885" cy="400050"/>
              <wp:effectExtent l="0" t="0" r="5715" b="6350"/>
              <wp:wrapNone/>
              <wp:docPr id="240" name="组合 240"/>
              <wp:cNvGraphicFramePr/>
              <a:graphic xmlns:a="http://schemas.openxmlformats.org/drawingml/2006/main">
                <a:graphicData uri="http://schemas.microsoft.com/office/word/2010/wordprocessingGroup">
                  <wpg:wgp>
                    <wpg:cNvGrpSpPr/>
                    <wpg:grpSpPr>
                      <a:xfrm>
                        <a:off x="0" y="0"/>
                        <a:ext cx="7588885"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7.55pt;mso-position-horizontal-relative:page;mso-position-vertical-relative:page;z-index:251885568;mso-width-relative:page;mso-height-relative:page;" coordorigin="881,505" coordsize="11930,1179" o:gfxdata="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705344" behindDoc="0" locked="0" layoutInCell="1" allowOverlap="1">
              <wp:simplePos x="0" y="0"/>
              <wp:positionH relativeFrom="page">
                <wp:posOffset>41910</wp:posOffset>
              </wp:positionH>
              <wp:positionV relativeFrom="topMargin">
                <wp:posOffset>596265</wp:posOffset>
              </wp:positionV>
              <wp:extent cx="7586980" cy="416560"/>
              <wp:effectExtent l="0" t="0" r="7620" b="2540"/>
              <wp:wrapNone/>
              <wp:docPr id="138" name="组合 138"/>
              <wp:cNvGraphicFramePr/>
              <a:graphic xmlns:a="http://schemas.openxmlformats.org/drawingml/2006/main">
                <a:graphicData uri="http://schemas.microsoft.com/office/word/2010/wordprocessingGroup">
                  <wpg:wgp>
                    <wpg:cNvGrpSpPr/>
                    <wpg:grpSpPr>
                      <a:xfrm>
                        <a:off x="0" y="0"/>
                        <a:ext cx="7586960" cy="416560"/>
                        <a:chOff x="881" y="505"/>
                        <a:chExt cx="11982"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66" y="687"/>
                          <a:ext cx="2619" cy="863"/>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78"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3pt;margin-top:46.95pt;height:32.8pt;width:597.4pt;mso-position-horizontal-relative:page;mso-position-vertical-relative:page;z-index:251705344;mso-width-relative:page;mso-height-relative:page;" coordorigin="881,505" coordsize="11982,1179" o:gfxdata="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66;top:687;height:863;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3;0,863;595,1" o:connectangles="0,0,0,0,0"/>
                <v:fill on="t" focussize="0,0"/>
                <v:stroke on="f" weight="1pt" miterlimit="8" joinstyle="miter"/>
                <v:imagedata o:title=""/>
                <o:lock v:ext="edit" aspectratio="f"/>
              </v:shape>
              <v:shape id="任意多边形 4" o:spid="_x0000_s1026" o:spt="100" style="position:absolute;left:10478;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0636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5pt;margin-top:47.1pt;height:32pt;width:235.7pt;mso-position-horizontal-relative:page;mso-position-vertical-relative:page;z-index:251706368;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C19B5"/>
    <w:rsid w:val="003A4EE8"/>
    <w:rsid w:val="00442CC2"/>
    <w:rsid w:val="00446244"/>
    <w:rsid w:val="00473C20"/>
    <w:rsid w:val="00481C80"/>
    <w:rsid w:val="004D61CB"/>
    <w:rsid w:val="005011D6"/>
    <w:rsid w:val="00503F2E"/>
    <w:rsid w:val="00552226"/>
    <w:rsid w:val="005656AD"/>
    <w:rsid w:val="00566120"/>
    <w:rsid w:val="00582E6D"/>
    <w:rsid w:val="005954D5"/>
    <w:rsid w:val="005A53FA"/>
    <w:rsid w:val="005D1293"/>
    <w:rsid w:val="006077B5"/>
    <w:rsid w:val="00644D5F"/>
    <w:rsid w:val="006727AD"/>
    <w:rsid w:val="00691425"/>
    <w:rsid w:val="006A516E"/>
    <w:rsid w:val="006B0830"/>
    <w:rsid w:val="006C6029"/>
    <w:rsid w:val="00716E2B"/>
    <w:rsid w:val="00770F18"/>
    <w:rsid w:val="00773B74"/>
    <w:rsid w:val="0078290C"/>
    <w:rsid w:val="007C06CA"/>
    <w:rsid w:val="008155BE"/>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34127"/>
    <w:rsid w:val="00A929C2"/>
    <w:rsid w:val="00AD097F"/>
    <w:rsid w:val="00B57553"/>
    <w:rsid w:val="00B80E04"/>
    <w:rsid w:val="00B844F4"/>
    <w:rsid w:val="00BA06A1"/>
    <w:rsid w:val="00BA770A"/>
    <w:rsid w:val="00C054DE"/>
    <w:rsid w:val="00C679A9"/>
    <w:rsid w:val="00C7541C"/>
    <w:rsid w:val="00C92425"/>
    <w:rsid w:val="00C979B8"/>
    <w:rsid w:val="00CC0FAA"/>
    <w:rsid w:val="00CD0736"/>
    <w:rsid w:val="00D1570F"/>
    <w:rsid w:val="00D3268F"/>
    <w:rsid w:val="00D32830"/>
    <w:rsid w:val="00DB7153"/>
    <w:rsid w:val="00DB7F05"/>
    <w:rsid w:val="00E028C3"/>
    <w:rsid w:val="00E14F77"/>
    <w:rsid w:val="00E3076B"/>
    <w:rsid w:val="00E36978"/>
    <w:rsid w:val="00E82A1E"/>
    <w:rsid w:val="00EA53F7"/>
    <w:rsid w:val="00EC06F4"/>
    <w:rsid w:val="00ED31D9"/>
    <w:rsid w:val="00EE4E36"/>
    <w:rsid w:val="00F3618A"/>
    <w:rsid w:val="00F665F4"/>
    <w:rsid w:val="00F878EE"/>
    <w:rsid w:val="00FD225F"/>
    <w:rsid w:val="00FE04DE"/>
    <w:rsid w:val="01F0064B"/>
    <w:rsid w:val="02100D25"/>
    <w:rsid w:val="02BE005B"/>
    <w:rsid w:val="02E354E3"/>
    <w:rsid w:val="040240ED"/>
    <w:rsid w:val="048439C1"/>
    <w:rsid w:val="04BF06C6"/>
    <w:rsid w:val="05052831"/>
    <w:rsid w:val="05941E03"/>
    <w:rsid w:val="07C10EB9"/>
    <w:rsid w:val="08236FCE"/>
    <w:rsid w:val="08261BA1"/>
    <w:rsid w:val="085B6A47"/>
    <w:rsid w:val="08A34ACA"/>
    <w:rsid w:val="08B8466C"/>
    <w:rsid w:val="08D17E14"/>
    <w:rsid w:val="0A59700A"/>
    <w:rsid w:val="0A760283"/>
    <w:rsid w:val="0A882DD2"/>
    <w:rsid w:val="0A8F1634"/>
    <w:rsid w:val="0B2F3A24"/>
    <w:rsid w:val="0CDC2161"/>
    <w:rsid w:val="0D1842C0"/>
    <w:rsid w:val="0D2C2D1B"/>
    <w:rsid w:val="0D37260E"/>
    <w:rsid w:val="0D3A3FC4"/>
    <w:rsid w:val="0D5B41C6"/>
    <w:rsid w:val="0D903B28"/>
    <w:rsid w:val="0DEE1A51"/>
    <w:rsid w:val="0E6344B3"/>
    <w:rsid w:val="0E744EE8"/>
    <w:rsid w:val="0EFE0374"/>
    <w:rsid w:val="0F9A7466"/>
    <w:rsid w:val="1018105D"/>
    <w:rsid w:val="11392982"/>
    <w:rsid w:val="12236FE8"/>
    <w:rsid w:val="12733960"/>
    <w:rsid w:val="13264914"/>
    <w:rsid w:val="13CD574A"/>
    <w:rsid w:val="140C4ECF"/>
    <w:rsid w:val="144C0AB5"/>
    <w:rsid w:val="14725E1A"/>
    <w:rsid w:val="147C58AF"/>
    <w:rsid w:val="147F6747"/>
    <w:rsid w:val="148B7BE2"/>
    <w:rsid w:val="14D0383A"/>
    <w:rsid w:val="1500686C"/>
    <w:rsid w:val="157B6AA7"/>
    <w:rsid w:val="16100853"/>
    <w:rsid w:val="166D59D3"/>
    <w:rsid w:val="168C7F58"/>
    <w:rsid w:val="16984155"/>
    <w:rsid w:val="17240699"/>
    <w:rsid w:val="17456054"/>
    <w:rsid w:val="17627389"/>
    <w:rsid w:val="18875280"/>
    <w:rsid w:val="18940DFE"/>
    <w:rsid w:val="18E97C60"/>
    <w:rsid w:val="1AA6486C"/>
    <w:rsid w:val="1AE51B33"/>
    <w:rsid w:val="1BF90926"/>
    <w:rsid w:val="1C55385F"/>
    <w:rsid w:val="1CBA4C4F"/>
    <w:rsid w:val="1CF42B32"/>
    <w:rsid w:val="1D016A48"/>
    <w:rsid w:val="1F3963CD"/>
    <w:rsid w:val="1F4A2B7C"/>
    <w:rsid w:val="1F64381D"/>
    <w:rsid w:val="1F776FDB"/>
    <w:rsid w:val="202A1AE9"/>
    <w:rsid w:val="208A7E95"/>
    <w:rsid w:val="20C96F90"/>
    <w:rsid w:val="211B738A"/>
    <w:rsid w:val="21872B35"/>
    <w:rsid w:val="21CA3FC0"/>
    <w:rsid w:val="22B46E92"/>
    <w:rsid w:val="22B728E3"/>
    <w:rsid w:val="234007E1"/>
    <w:rsid w:val="2394303F"/>
    <w:rsid w:val="23CD05E3"/>
    <w:rsid w:val="23F25D15"/>
    <w:rsid w:val="24EE4379"/>
    <w:rsid w:val="24F5097D"/>
    <w:rsid w:val="251930B7"/>
    <w:rsid w:val="252537DE"/>
    <w:rsid w:val="2553118C"/>
    <w:rsid w:val="256D3150"/>
    <w:rsid w:val="26F54788"/>
    <w:rsid w:val="27437B00"/>
    <w:rsid w:val="275C14CD"/>
    <w:rsid w:val="278A437B"/>
    <w:rsid w:val="280132F1"/>
    <w:rsid w:val="2857599A"/>
    <w:rsid w:val="297C4F1C"/>
    <w:rsid w:val="2980503C"/>
    <w:rsid w:val="29EB73CA"/>
    <w:rsid w:val="29EB7C3C"/>
    <w:rsid w:val="29FD77CE"/>
    <w:rsid w:val="2A600368"/>
    <w:rsid w:val="2A922BB2"/>
    <w:rsid w:val="2AAA3AF3"/>
    <w:rsid w:val="2B3F41A0"/>
    <w:rsid w:val="2B8F485F"/>
    <w:rsid w:val="2BD10AE6"/>
    <w:rsid w:val="2BF868E3"/>
    <w:rsid w:val="2DAF3FFD"/>
    <w:rsid w:val="2E0F14EC"/>
    <w:rsid w:val="2E22077A"/>
    <w:rsid w:val="2E23380B"/>
    <w:rsid w:val="2E3A627C"/>
    <w:rsid w:val="2E493F99"/>
    <w:rsid w:val="2E62748C"/>
    <w:rsid w:val="2F4525F2"/>
    <w:rsid w:val="2F6460B8"/>
    <w:rsid w:val="3033397D"/>
    <w:rsid w:val="30DE3761"/>
    <w:rsid w:val="31C2036A"/>
    <w:rsid w:val="32015355"/>
    <w:rsid w:val="320D02A5"/>
    <w:rsid w:val="32C41113"/>
    <w:rsid w:val="32E87CA4"/>
    <w:rsid w:val="335B3759"/>
    <w:rsid w:val="348E566F"/>
    <w:rsid w:val="34F35267"/>
    <w:rsid w:val="359750C6"/>
    <w:rsid w:val="35E41901"/>
    <w:rsid w:val="362D6172"/>
    <w:rsid w:val="36CF3B3E"/>
    <w:rsid w:val="36E6089F"/>
    <w:rsid w:val="376E2828"/>
    <w:rsid w:val="378D7FA2"/>
    <w:rsid w:val="37B87654"/>
    <w:rsid w:val="3874550F"/>
    <w:rsid w:val="389568C8"/>
    <w:rsid w:val="38A52FB8"/>
    <w:rsid w:val="39B13B38"/>
    <w:rsid w:val="3A06210D"/>
    <w:rsid w:val="3A226944"/>
    <w:rsid w:val="3A4F4DBC"/>
    <w:rsid w:val="3AEE6A48"/>
    <w:rsid w:val="3B863591"/>
    <w:rsid w:val="3BBE4B77"/>
    <w:rsid w:val="3C127795"/>
    <w:rsid w:val="3C1620AA"/>
    <w:rsid w:val="3C1E163C"/>
    <w:rsid w:val="3C583422"/>
    <w:rsid w:val="3C6009F0"/>
    <w:rsid w:val="3D8F080F"/>
    <w:rsid w:val="3F0551F6"/>
    <w:rsid w:val="3FA95F1E"/>
    <w:rsid w:val="3FC94A2C"/>
    <w:rsid w:val="3FF63B4E"/>
    <w:rsid w:val="3FF63B9B"/>
    <w:rsid w:val="3FFA1A45"/>
    <w:rsid w:val="40600F44"/>
    <w:rsid w:val="40A46BE2"/>
    <w:rsid w:val="4121074F"/>
    <w:rsid w:val="41262A62"/>
    <w:rsid w:val="42523544"/>
    <w:rsid w:val="42C218A0"/>
    <w:rsid w:val="44A21B6A"/>
    <w:rsid w:val="44CE1FA4"/>
    <w:rsid w:val="452221BF"/>
    <w:rsid w:val="464349E9"/>
    <w:rsid w:val="46560568"/>
    <w:rsid w:val="468B5B3B"/>
    <w:rsid w:val="47360318"/>
    <w:rsid w:val="4785410E"/>
    <w:rsid w:val="47E743D6"/>
    <w:rsid w:val="487F73ED"/>
    <w:rsid w:val="48AB174E"/>
    <w:rsid w:val="48F5506C"/>
    <w:rsid w:val="495C3EED"/>
    <w:rsid w:val="49C67EFC"/>
    <w:rsid w:val="4A347EAE"/>
    <w:rsid w:val="4AE419A0"/>
    <w:rsid w:val="4AE9113A"/>
    <w:rsid w:val="4B26725E"/>
    <w:rsid w:val="4B53472B"/>
    <w:rsid w:val="4BA65FDE"/>
    <w:rsid w:val="4BE11677"/>
    <w:rsid w:val="4C382C59"/>
    <w:rsid w:val="4C7E1E09"/>
    <w:rsid w:val="4D2D11E6"/>
    <w:rsid w:val="4E8F17EB"/>
    <w:rsid w:val="4EE45AFB"/>
    <w:rsid w:val="4F0919AF"/>
    <w:rsid w:val="4F327B87"/>
    <w:rsid w:val="4F683681"/>
    <w:rsid w:val="4F8147EC"/>
    <w:rsid w:val="50040C7C"/>
    <w:rsid w:val="50102B0C"/>
    <w:rsid w:val="50846743"/>
    <w:rsid w:val="50EB6CA9"/>
    <w:rsid w:val="51076B0A"/>
    <w:rsid w:val="517541AB"/>
    <w:rsid w:val="51E27096"/>
    <w:rsid w:val="51FD08E7"/>
    <w:rsid w:val="52435ED1"/>
    <w:rsid w:val="52504DB4"/>
    <w:rsid w:val="52600405"/>
    <w:rsid w:val="52982D28"/>
    <w:rsid w:val="529B4319"/>
    <w:rsid w:val="5438386D"/>
    <w:rsid w:val="5469370B"/>
    <w:rsid w:val="54AC4C85"/>
    <w:rsid w:val="54FE7BC6"/>
    <w:rsid w:val="55321421"/>
    <w:rsid w:val="55F31A20"/>
    <w:rsid w:val="565F3501"/>
    <w:rsid w:val="56FE400A"/>
    <w:rsid w:val="57773DD6"/>
    <w:rsid w:val="578B79AB"/>
    <w:rsid w:val="57E7105D"/>
    <w:rsid w:val="5825169B"/>
    <w:rsid w:val="58360A09"/>
    <w:rsid w:val="584123CD"/>
    <w:rsid w:val="587E67B3"/>
    <w:rsid w:val="59554083"/>
    <w:rsid w:val="59607A11"/>
    <w:rsid w:val="5B345E99"/>
    <w:rsid w:val="5B7D1038"/>
    <w:rsid w:val="5BAA2FC1"/>
    <w:rsid w:val="5C20726E"/>
    <w:rsid w:val="5C99236E"/>
    <w:rsid w:val="5CCD3FD5"/>
    <w:rsid w:val="5D420B1C"/>
    <w:rsid w:val="5E18729B"/>
    <w:rsid w:val="5F120A02"/>
    <w:rsid w:val="5FC36155"/>
    <w:rsid w:val="5FE53C6D"/>
    <w:rsid w:val="609E372E"/>
    <w:rsid w:val="60BF6EFD"/>
    <w:rsid w:val="61621794"/>
    <w:rsid w:val="619D28C7"/>
    <w:rsid w:val="61FA5F9D"/>
    <w:rsid w:val="626E7CC5"/>
    <w:rsid w:val="62F708C1"/>
    <w:rsid w:val="634B5A03"/>
    <w:rsid w:val="63526C1F"/>
    <w:rsid w:val="636C3A17"/>
    <w:rsid w:val="639C68D6"/>
    <w:rsid w:val="640878A5"/>
    <w:rsid w:val="64CD6910"/>
    <w:rsid w:val="656754AF"/>
    <w:rsid w:val="66045059"/>
    <w:rsid w:val="67836783"/>
    <w:rsid w:val="6789158D"/>
    <w:rsid w:val="67CE15F0"/>
    <w:rsid w:val="67D81BA4"/>
    <w:rsid w:val="68747E2E"/>
    <w:rsid w:val="68E7081E"/>
    <w:rsid w:val="698F1F3A"/>
    <w:rsid w:val="699370BD"/>
    <w:rsid w:val="6A7D52D8"/>
    <w:rsid w:val="6AAF1C96"/>
    <w:rsid w:val="6C033C95"/>
    <w:rsid w:val="6CE2596D"/>
    <w:rsid w:val="6D645E22"/>
    <w:rsid w:val="6D896F39"/>
    <w:rsid w:val="6E010049"/>
    <w:rsid w:val="6E5279D4"/>
    <w:rsid w:val="6E8F00AC"/>
    <w:rsid w:val="70474D95"/>
    <w:rsid w:val="70B24169"/>
    <w:rsid w:val="70D1154B"/>
    <w:rsid w:val="71DE1608"/>
    <w:rsid w:val="71EE0106"/>
    <w:rsid w:val="721125EA"/>
    <w:rsid w:val="72833F49"/>
    <w:rsid w:val="731501A6"/>
    <w:rsid w:val="74EE6C5E"/>
    <w:rsid w:val="75221360"/>
    <w:rsid w:val="754E1A27"/>
    <w:rsid w:val="75681757"/>
    <w:rsid w:val="75A346A8"/>
    <w:rsid w:val="75D95FFC"/>
    <w:rsid w:val="762803D3"/>
    <w:rsid w:val="767D404C"/>
    <w:rsid w:val="776C1344"/>
    <w:rsid w:val="777F231B"/>
    <w:rsid w:val="785F7B9C"/>
    <w:rsid w:val="789A5923"/>
    <w:rsid w:val="79973EC8"/>
    <w:rsid w:val="79A13755"/>
    <w:rsid w:val="79B9382C"/>
    <w:rsid w:val="7ADC7965"/>
    <w:rsid w:val="7ADD6EA1"/>
    <w:rsid w:val="7AF02213"/>
    <w:rsid w:val="7B043B76"/>
    <w:rsid w:val="7B427FF2"/>
    <w:rsid w:val="7C041A6A"/>
    <w:rsid w:val="7C7B73D7"/>
    <w:rsid w:val="7CFC0CA0"/>
    <w:rsid w:val="7D153A63"/>
    <w:rsid w:val="7D2C0319"/>
    <w:rsid w:val="7DB1047B"/>
    <w:rsid w:val="7E327570"/>
    <w:rsid w:val="7ECE6A36"/>
    <w:rsid w:val="7ED024C3"/>
    <w:rsid w:val="7F343F5F"/>
    <w:rsid w:val="7FDC0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9">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Char"/>
    <w:basedOn w:val="10"/>
    <w:link w:val="7"/>
    <w:qFormat/>
    <w:uiPriority w:val="99"/>
    <w:rPr>
      <w:rFonts w:asciiTheme="minorHAnsi" w:hAnsiTheme="minorHAnsi" w:eastAsiaTheme="minorEastAsia"/>
      <w:sz w:val="18"/>
      <w:szCs w:val="18"/>
    </w:rPr>
  </w:style>
  <w:style w:type="character" w:customStyle="1" w:styleId="12">
    <w:name w:val="页脚 Char"/>
    <w:basedOn w:val="10"/>
    <w:link w:val="6"/>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批注框文本 Char"/>
    <w:basedOn w:val="10"/>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5.emf"/><Relationship Id="rId31" Type="http://schemas.openxmlformats.org/officeDocument/2006/relationships/image" Target="media/image4.emf"/><Relationship Id="rId30" Type="http://schemas.openxmlformats.org/officeDocument/2006/relationships/image" Target="media/image3.emf"/><Relationship Id="rId3" Type="http://schemas.openxmlformats.org/officeDocument/2006/relationships/header" Target="header1.xml"/><Relationship Id="rId29" Type="http://schemas.openxmlformats.org/officeDocument/2006/relationships/image" Target="media/image2.png"/><Relationship Id="rId28" Type="http://schemas.openxmlformats.org/officeDocument/2006/relationships/image" Target="media/image1.bmp"/><Relationship Id="rId27" Type="http://schemas.openxmlformats.org/officeDocument/2006/relationships/theme" Target="theme/theme1.xml"/><Relationship Id="rId26" Type="http://schemas.openxmlformats.org/officeDocument/2006/relationships/footer" Target="footer10.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D2812-9326-4DE1-BC2B-0655C40CAB1C}">
  <ds:schemaRefs/>
</ds:datastoreItem>
</file>

<file path=docProps/app.xml><?xml version="1.0" encoding="utf-8"?>
<Properties xmlns="http://schemas.openxmlformats.org/officeDocument/2006/extended-properties" xmlns:vt="http://schemas.openxmlformats.org/officeDocument/2006/docPropsVTypes">
  <Template>简约文档封面模板</Template>
  <Pages>57</Pages>
  <Words>16306</Words>
  <Characters>19892</Characters>
  <Lines>165</Lines>
  <Paragraphs>72</Paragraphs>
  <TotalTime>0</TotalTime>
  <ScaleCrop>false</ScaleCrop>
  <LinksUpToDate>false</LinksUpToDate>
  <CharactersWithSpaces>36126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dell</cp:lastModifiedBy>
  <cp:lastPrinted>2020-08-27T09:19:00Z</cp:lastPrinted>
  <dcterms:modified xsi:type="dcterms:W3CDTF">2020-09-01T09:13:43Z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