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44"/>
        </w:rPr>
      </w:pPr>
      <w:r>
        <w:rPr>
          <w:rFonts w:hint="eastAsia" w:ascii="黑体" w:hAnsi="黑体" w:eastAsia="黑体" w:cs="黑体"/>
          <w:sz w:val="32"/>
          <w:szCs w:val="44"/>
        </w:rPr>
        <w:t>附件</w:t>
      </w:r>
    </w:p>
    <w:p>
      <w:pPr>
        <w:spacing w:line="560" w:lineRule="exact"/>
        <w:ind w:firstLine="640" w:firstLineChars="200"/>
        <w:jc w:val="center"/>
        <w:rPr>
          <w:rFonts w:ascii="仿宋_GB2312" w:hAnsi="黑体" w:eastAsia="仿宋_GB2312" w:cs="黑体"/>
          <w:sz w:val="32"/>
          <w:szCs w:val="44"/>
        </w:rPr>
      </w:pPr>
    </w:p>
    <w:p>
      <w:pPr>
        <w:spacing w:line="560" w:lineRule="exact"/>
        <w:ind w:firstLine="640" w:firstLineChars="200"/>
        <w:jc w:val="center"/>
        <w:rPr>
          <w:rFonts w:ascii="仿宋_GB2312" w:hAnsi="黑体" w:eastAsia="仿宋_GB2312" w:cs="黑体"/>
          <w:sz w:val="32"/>
          <w:szCs w:val="44"/>
        </w:rPr>
      </w:pPr>
      <w:bookmarkStart w:id="0" w:name="_GoBack"/>
      <w:r>
        <w:rPr>
          <w:rFonts w:hint="eastAsia" w:ascii="仿宋_GB2312" w:hAnsi="黑体" w:eastAsia="仿宋_GB2312" w:cs="黑体"/>
          <w:sz w:val="32"/>
          <w:szCs w:val="44"/>
        </w:rPr>
        <w:t>容城县行政审批局审批事项清单</w:t>
      </w:r>
      <w:bookmarkEnd w:id="0"/>
      <w:r>
        <w:rPr>
          <w:rFonts w:hint="eastAsia" w:ascii="仿宋_GB2312" w:hAnsi="黑体" w:eastAsia="仿宋_GB2312" w:cs="黑体"/>
          <w:sz w:val="32"/>
          <w:szCs w:val="44"/>
        </w:rPr>
        <w:t>（156项）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197"/>
        <w:gridCol w:w="1155"/>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Times New Roman"/>
                <w:b/>
                <w:bCs/>
                <w:color w:val="000000"/>
                <w:sz w:val="22"/>
              </w:rPr>
            </w:pPr>
            <w:r>
              <w:rPr>
                <w:rFonts w:hint="eastAsia" w:ascii="仿宋_GB2312" w:hAnsi="等线" w:eastAsia="仿宋_GB2312" w:cs="Times New Roman"/>
                <w:b/>
                <w:bCs/>
                <w:color w:val="000000"/>
                <w:sz w:val="22"/>
              </w:rPr>
              <w:t>序号</w:t>
            </w:r>
          </w:p>
        </w:tc>
        <w:tc>
          <w:tcPr>
            <w:tcW w:w="619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b/>
                <w:bCs/>
                <w:color w:val="000000"/>
                <w:sz w:val="22"/>
              </w:rPr>
            </w:pPr>
            <w:r>
              <w:rPr>
                <w:rFonts w:hint="eastAsia" w:ascii="仿宋_GB2312" w:hAnsi="等线" w:eastAsia="仿宋_GB2312" w:cs="Times New Roman"/>
                <w:b/>
                <w:bCs/>
                <w:color w:val="000000"/>
                <w:sz w:val="22"/>
              </w:rPr>
              <w:t>事项名称</w:t>
            </w:r>
          </w:p>
        </w:tc>
        <w:tc>
          <w:tcPr>
            <w:tcW w:w="115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b/>
                <w:bCs/>
                <w:color w:val="000000"/>
                <w:sz w:val="22"/>
              </w:rPr>
            </w:pPr>
            <w:r>
              <w:rPr>
                <w:rFonts w:hint="eastAsia" w:ascii="仿宋_GB2312" w:hAnsi="等线" w:eastAsia="仿宋_GB2312" w:cs="Times New Roman"/>
                <w:b/>
                <w:bCs/>
                <w:color w:val="000000"/>
                <w:sz w:val="22"/>
              </w:rPr>
              <w:t>事项类型</w:t>
            </w:r>
          </w:p>
        </w:tc>
        <w:tc>
          <w:tcPr>
            <w:tcW w:w="0" w:type="auto"/>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b/>
                <w:bCs/>
                <w:color w:val="000000"/>
                <w:sz w:val="22"/>
              </w:rPr>
            </w:pPr>
            <w:r>
              <w:rPr>
                <w:rFonts w:hint="eastAsia" w:ascii="仿宋_GB2312" w:hAnsi="等线" w:eastAsia="仿宋_GB2312" w:cs="Times New Roman"/>
                <w:b/>
                <w:bCs/>
                <w:color w:val="000000"/>
                <w:sz w:val="22"/>
              </w:rPr>
              <w:t>原实施主体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乡村兽医登记许可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县农业局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动物诊疗许可证核发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动物防疫条件合格证核发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拖拉机、联合收割机操作人员操作证件核发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拖拉机驾驶培训学校、驾驶培训班资格认定</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专用航标的设置、撤除、位置移动和其他状况改变审批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在渔港内新建、改建、扩建各种设施，或者进行其他水上、水下施工作业审批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渔港内易燃、易爆、有毒等危害品装卸审批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水产苗种生产审批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渔业捕捞许可审批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水域滩涂养殖证的审核</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渔业船舶船员证书核发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渔业自然保护区缓冲区非破坏性科研教学实习和标本采集审批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渔业自然保护区核心区科研观测调查活动审批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拖拉机、联合收割机登记、证书和牌照核发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渔业船网工具控制指标审批、审核上报</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渔港水域渔业船舶水上拆解活动审批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农作物种子生产经营许可证核发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食用菌菌种生产经营许可证核发（母种、原种）</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从事主要农作物杂交种子及其亲本种子的生产经营、实行选育生产经营相结合并符合国务院农业部门规定条件的种子企业的农作物种子生产经营许可证审核</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甘草和麻黄草采集证核发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采集、出售、收购国家二级保护野生植物（农业类）审批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蜂、蚕种生产、经营许可证核发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种畜禽生产经营许可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生鲜乳准运证明核发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生鲜乳收购站许可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兽药经营许可证核发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渔业船舶登记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29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农药经营许可证核发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大型(441千瓦以上）海洋捕捞渔船渔业许可审批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拖拉机、联合收割机驾驶证核发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农药广告审查</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执业兽医注册</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国家二级保护水生野生动物捕捉许可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畜禽定点屠宰厂、点设立审批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生猪定点屠宰厂（场）设置审查</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取水许可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水利基建项目初步设计文件审批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39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水工程建设规划同意书审核</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河道采砂许可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不同行政区域边界水工程批准</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河道管理范围内建设项目工程建设方案审批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河道管理范围内有关活动（不含河道采砂）审批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非防洪建设项目洪水影响评价报告审批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生产建设项目水土保持方案审批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占用农业灌溉水源、灌排工程设施审批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蓄滞洪区避洪设施建设审批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在大坝管理和保护范围内修建码头、渔塘许可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49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城市建设填堵水域、废除围堤审核</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占用防洪规划保留区内土地审批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医疗机构设置审批（含港澳台，外商独资除外）</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医疗机构执业登记（人体器官移植除外）</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医师执业注册</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乡村医生执业注册</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执业医师申请个体行医审批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省直医疗卫生机构以外的护士延续注册许可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护士执业注册</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麻醉药品和第一类精神药品购用许可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59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母婴保健技术服务机构执业许可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母婴保健服务人员资格认定</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饮用水供水单位卫生许可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放射源诊疗技术和医用辐射机构许可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医疗机构放射性职业病危害建设项目预评价报告审核</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医疗机构放射性职业病危害建设项目竣工验收</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公共场所改、扩建卫生许可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公共场所卫生许可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计划生育技术服务机构设立许可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计划生育技术服务人员合格证核发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69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校车使用许可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实施中等及中等以下学历教育、学前教育、自学考试助学及其他文化教育的学校设立、变更和终止审批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文艺、体育等专业训练的社会组织自行实施义务教育审批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教师资格认定</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经营高危险性体育项目许可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举办健身气功活动及设立站点审批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中外合作开办学前教育机构审批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举办全县性学生竞赛活动审批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民办教育机构名称冠名“河北”审批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实施医学类中等学历教育的民办学校设立、分立、合并、变更和终止事项审批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79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民办学校的设立、分立、合并变更、终止审批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民办非学历高等教育机构的设立、分立、合并，变更、终止审批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临时占用公共体育场（馆）设施审批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船舶污染港区水域作业审批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道路旅客运输经营许可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专用航标设置、撤除、位置移动和其他状况改变审批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公路超限运输许可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占用、挖掘公路、公路用地或者使公路改线审批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在公路增设或改造平面交叉道口审批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设置非公路标志审批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89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更新采伐护路林审批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道路货运经营许可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91</w:t>
            </w:r>
          </w:p>
        </w:tc>
        <w:tc>
          <w:tcPr>
            <w:tcW w:w="6197" w:type="dxa"/>
            <w:tcBorders>
              <w:top w:val="nil"/>
              <w:left w:val="nil"/>
              <w:bottom w:val="nil"/>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机动车驾驶员培训许可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92</w:t>
            </w:r>
          </w:p>
        </w:tc>
        <w:tc>
          <w:tcPr>
            <w:tcW w:w="619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出租汽车经营许可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车辆运营证核发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公路水运工程建设项目设计文件审批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跨越、穿越公路及在公路用地范围内架设、埋设管线、电缆等设施，或者利用公路桥梁、公路隧道、涵洞铺设电缆等设施许可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公路建筑控制区内埋设管线、电缆等设施许可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船员适任证书核发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通航水域岸线安全使用和水上水下活动许可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99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与航道有关的工程建设项目对航道通航条件影响评价审核</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船舶安全检验证书核发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大型设施、移动式平台、超限物体水上拖带审批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船舶国籍证书核发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船舶油污损害民事责任保险证书或者财务保证证书核发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公路建设项目竣工验收</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载运危险货物和污染危险性货物进出港口审批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港口采掘、爆破施工作业许可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新建、改建、扩建从事港口危险货物作业的建设项目安全条件审查</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港口的危险货物作业场所、实施卫生除害处理的专用场所审批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109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农村公路工程设计文件审查</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公路建设项目施工许可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县管权限交通建设项目初步设计审批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船舶进行散装液体污染危害性货物过驳作业审批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船舶进入或穿越禁航区审批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省际、市际、毗邻县行政区域间道路旅客运输经营许可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放射性物品道路运输许可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国内水路运输经营许可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危险货物运输经营许可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外国籍船舶进入或临时进入非对外开放水域许可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119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内河通航水域载运或拖带超重、超长、超高、超宽、半潜物体许可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县内客运业户开业、增项经营许可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渔业船舶及船用产品检验</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危险货物道路运输装卸管理人员和押运人员从业资格证核发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出租汽车道路运输证核发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放射性物品道路运输驾驶员从业资格证核发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放射性物品道路运输装卸管理人员和押运人员从业资格证核发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放射性物品道路运输从业人员资格证核发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经营性道路货物运输驾驶员从业资格证核发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民办职业培训学校设立、分立、合并、变更及终止审批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129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设立人力资源服务机构及其业务范围审批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地方企业实行不定时工作制和综合计算工时工作制审批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劳务派遣经营许可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文艺、体育和特种工艺单位招用未满16周岁的未成年人审批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初级职业资格证书核发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企业设立、变更、注销登记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个体工商户注册、变更、注销登记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农民专业合作社设立、变更、注销登记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广告发布登记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特种设备作业人员资格认定</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139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特种设备使用登记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食品（含保健食品）生产许可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食品（含保健食品）经营许可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食品添加剂生产许可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科研和教学用毒性药品购买审批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计量标准器具核准</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承担国家法定计量检定机构任务授权</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药品经营许可（零售）</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147</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麻醉药品和第一类精神药品运输证明核发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148</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第二类精神药品零售业务审批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149</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第三类医疗器械经营许可</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150</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麻醉药品和精神药品邮寄证明核发</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151</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食品生产加工小作坊登记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152</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食品小餐饮登记</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153</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防空地下室建设审批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restart"/>
            <w:tcBorders>
              <w:top w:val="nil"/>
              <w:left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县人防办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154</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防空地下室竣工验收</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155</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人防通信、警报设施拆除、迁移批准</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right w:val="single" w:color="auto" w:sz="4" w:space="0"/>
            </w:tcBorders>
            <w:vAlign w:val="center"/>
          </w:tcPr>
          <w:p>
            <w:pPr>
              <w:rPr>
                <w:rFonts w:ascii="仿宋_GB2312" w:hAnsi="等线" w:eastAsia="仿宋_GB2312"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jc w:val="center"/>
              <w:rPr>
                <w:rFonts w:ascii="等线" w:hAnsi="等线" w:eastAsia="等线" w:cs="Times New Roman"/>
                <w:color w:val="000000"/>
                <w:sz w:val="22"/>
              </w:rPr>
            </w:pPr>
            <w:r>
              <w:rPr>
                <w:rFonts w:hint="eastAsia" w:ascii="等线" w:hAnsi="等线" w:eastAsia="等线" w:cs="Times New Roman"/>
                <w:color w:val="000000"/>
                <w:sz w:val="22"/>
              </w:rPr>
              <w:t>156</w:t>
            </w:r>
          </w:p>
        </w:tc>
        <w:tc>
          <w:tcPr>
            <w:tcW w:w="6197"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在危及人防工程安全范围内埋设管道、修建地面工程审批及人防工程改造、拆除审批</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等线" w:eastAsia="仿宋_GB2312" w:cs="Times New Roman"/>
                <w:color w:val="000000"/>
                <w:sz w:val="22"/>
              </w:rPr>
            </w:pPr>
            <w:r>
              <w:rPr>
                <w:rFonts w:hint="eastAsia" w:ascii="仿宋_GB2312" w:hAnsi="等线" w:eastAsia="仿宋_GB2312" w:cs="Times New Roman"/>
                <w:color w:val="000000"/>
                <w:sz w:val="22"/>
              </w:rPr>
              <w:t>行政许可</w:t>
            </w:r>
          </w:p>
        </w:tc>
        <w:tc>
          <w:tcPr>
            <w:tcW w:w="0" w:type="auto"/>
            <w:vMerge w:val="continue"/>
            <w:tcBorders>
              <w:left w:val="single" w:color="auto" w:sz="4" w:space="0"/>
              <w:bottom w:val="single" w:color="000000" w:sz="4" w:space="0"/>
              <w:right w:val="single" w:color="auto" w:sz="4" w:space="0"/>
            </w:tcBorders>
            <w:vAlign w:val="center"/>
          </w:tcPr>
          <w:p>
            <w:pPr>
              <w:rPr>
                <w:rFonts w:ascii="仿宋_GB2312" w:hAnsi="等线" w:eastAsia="仿宋_GB2312" w:cs="宋体"/>
                <w:color w:val="000000"/>
                <w:sz w:val="22"/>
              </w:rPr>
            </w:pPr>
          </w:p>
        </w:tc>
      </w:tr>
    </w:tbl>
    <w:p>
      <w:pPr>
        <w:spacing w:line="560" w:lineRule="exact"/>
        <w:jc w:val="left"/>
        <w:rPr>
          <w:rFonts w:ascii="仿宋_GB2312" w:hAnsi="黑体" w:eastAsia="仿宋_GB2312" w:cs="黑体"/>
          <w:sz w:val="32"/>
          <w:szCs w:val="44"/>
        </w:rPr>
      </w:pPr>
    </w:p>
    <w:p/>
    <w:sectPr>
      <w:footerReference r:id="rId3" w:type="default"/>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2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张亚飞</cp:lastModifiedBy>
  <dcterms:modified xsi:type="dcterms:W3CDTF">2020-01-01T12:39:24Z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