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sz w:val="32"/>
          <w:szCs w:val="32"/>
        </w:rPr>
      </w:pPr>
      <w:r>
        <w:rPr>
          <w:rFonts w:ascii="黑体" w:hAnsi="黑体" w:eastAsia="黑体"/>
          <w:sz w:val="32"/>
          <w:szCs w:val="32"/>
        </w:rPr>
        <w:t>附件2</w:t>
      </w:r>
    </w:p>
    <w:p>
      <w:pPr>
        <w:adjustRightInd w:val="0"/>
        <w:snapToGrid w:val="0"/>
        <w:spacing w:line="360" w:lineRule="auto"/>
        <w:rPr>
          <w:rFonts w:hint="eastAsia" w:ascii="黑体" w:eastAsia="黑体"/>
          <w:sz w:val="32"/>
          <w:szCs w:val="32"/>
        </w:rPr>
      </w:pPr>
    </w:p>
    <w:p>
      <w:pPr>
        <w:adjustRightInd w:val="0"/>
        <w:snapToGrid w:val="0"/>
        <w:jc w:val="center"/>
        <w:outlineLvl w:val="0"/>
        <w:rPr>
          <w:rFonts w:hint="eastAsia" w:ascii="方正小标宋_GBK" w:hAnsi="宋体" w:eastAsia="方正小标宋_GBK" w:cs="仿宋_GB2312"/>
          <w:bCs/>
          <w:color w:val="000000"/>
          <w:sz w:val="38"/>
          <w:szCs w:val="38"/>
        </w:rPr>
      </w:pPr>
      <w:r>
        <w:rPr>
          <w:rFonts w:ascii="方正小标宋_GBK" w:hAnsi="宋体" w:eastAsia="方正小标宋_GBK" w:cs="仿宋_GB2312"/>
          <w:bCs/>
          <w:color w:val="000000"/>
          <w:sz w:val="38"/>
          <w:szCs w:val="38"/>
        </w:rPr>
        <w:t>申报表填写说明</w:t>
      </w:r>
    </w:p>
    <w:p>
      <w:pPr>
        <w:adjustRightInd w:val="0"/>
        <w:snapToGrid w:val="0"/>
        <w:spacing w:line="360" w:lineRule="auto"/>
        <w:rPr>
          <w:rFonts w:hint="eastAsia" w:ascii="黑体" w:eastAsia="黑体"/>
          <w:sz w:val="32"/>
          <w:szCs w:val="32"/>
        </w:rPr>
      </w:pPr>
    </w:p>
    <w:p>
      <w:pPr>
        <w:adjustRightInd w:val="0"/>
        <w:snapToGrid w:val="0"/>
        <w:spacing w:line="365" w:lineRule="auto"/>
        <w:ind w:firstLine="600" w:firstLineChars="200"/>
        <w:rPr>
          <w:rFonts w:ascii="Times New Roman" w:hAnsi="Times New Roman" w:eastAsia="黑体"/>
          <w:sz w:val="30"/>
          <w:szCs w:val="30"/>
        </w:rPr>
      </w:pPr>
      <w:r>
        <w:rPr>
          <w:rFonts w:ascii="Times New Roman" w:hAnsi="Times New Roman" w:eastAsia="黑体"/>
          <w:sz w:val="30"/>
          <w:szCs w:val="30"/>
        </w:rPr>
        <w:t>一、技术类别</w:t>
      </w:r>
    </w:p>
    <w:p>
      <w:pPr>
        <w:adjustRightInd w:val="0"/>
        <w:snapToGrid w:val="0"/>
        <w:spacing w:line="365"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低碳技术是指以能源及资源的清洁高效利用为基础，以减少或消除二氧化碳排放为基本特征的技术。广义上也包括以减少或消除其他温室气体排放为特征的技术。低碳技术的类别是根据控制过程所处的阶段进行划分的：</w:t>
      </w:r>
      <w:bookmarkStart w:id="0" w:name="_GoBack"/>
      <w:bookmarkEnd w:id="0"/>
    </w:p>
    <w:p>
      <w:pPr>
        <w:adjustRightInd w:val="0"/>
        <w:snapToGrid w:val="0"/>
        <w:spacing w:line="365" w:lineRule="auto"/>
        <w:ind w:firstLine="602" w:firstLineChars="200"/>
        <w:rPr>
          <w:rFonts w:ascii="Times New Roman" w:hAnsi="Times New Roman" w:eastAsia="仿宋_GB2312"/>
          <w:sz w:val="30"/>
          <w:szCs w:val="30"/>
        </w:rPr>
      </w:pPr>
      <w:r>
        <w:rPr>
          <w:rFonts w:hint="eastAsia" w:ascii="Times New Roman" w:hAnsi="Times New Roman" w:eastAsia="楷体_GB2312"/>
          <w:b/>
          <w:sz w:val="30"/>
          <w:szCs w:val="30"/>
        </w:rPr>
        <w:t>（一）</w:t>
      </w:r>
      <w:r>
        <w:rPr>
          <w:rFonts w:ascii="Times New Roman" w:hAnsi="Times New Roman" w:eastAsia="楷体_GB2312"/>
          <w:b/>
          <w:sz w:val="30"/>
          <w:szCs w:val="30"/>
        </w:rPr>
        <w:t>零碳技术：</w:t>
      </w:r>
      <w:r>
        <w:rPr>
          <w:rFonts w:ascii="Times New Roman" w:hAnsi="Times New Roman" w:eastAsia="仿宋_GB2312"/>
          <w:sz w:val="30"/>
          <w:szCs w:val="30"/>
        </w:rPr>
        <w:t>指获取和利用非化石能源，实现二氧化碳近“零排放</w:t>
      </w:r>
      <w:r>
        <w:rPr>
          <w:rFonts w:hint="eastAsia" w:ascii="Times New Roman" w:hAnsi="Times New Roman" w:eastAsia="仿宋_GB2312"/>
          <w:sz w:val="30"/>
          <w:szCs w:val="30"/>
        </w:rPr>
        <w:t>”</w:t>
      </w:r>
      <w:r>
        <w:rPr>
          <w:rFonts w:ascii="Times New Roman" w:hAnsi="Times New Roman" w:eastAsia="仿宋_GB2312"/>
          <w:sz w:val="30"/>
          <w:szCs w:val="30"/>
        </w:rPr>
        <w:t>的技术，是作为源头控制的低碳技术，主要包括可再生能源和先进民用核能技术。</w:t>
      </w:r>
    </w:p>
    <w:p>
      <w:pPr>
        <w:adjustRightInd w:val="0"/>
        <w:snapToGrid w:val="0"/>
        <w:spacing w:line="365" w:lineRule="auto"/>
        <w:ind w:firstLine="602" w:firstLineChars="200"/>
        <w:rPr>
          <w:rFonts w:ascii="Times New Roman" w:hAnsi="Times New Roman" w:eastAsia="仿宋_GB2312"/>
          <w:sz w:val="30"/>
          <w:szCs w:val="30"/>
        </w:rPr>
      </w:pPr>
      <w:r>
        <w:rPr>
          <w:rFonts w:hint="eastAsia" w:ascii="Times New Roman" w:hAnsi="Times New Roman" w:eastAsia="楷体_GB2312"/>
          <w:b/>
          <w:sz w:val="30"/>
          <w:szCs w:val="30"/>
        </w:rPr>
        <w:t>（二）</w:t>
      </w:r>
      <w:r>
        <w:rPr>
          <w:rFonts w:ascii="Times New Roman" w:hAnsi="Times New Roman" w:eastAsia="楷体_GB2312"/>
          <w:b/>
          <w:sz w:val="30"/>
          <w:szCs w:val="30"/>
        </w:rPr>
        <w:t>减碳技术</w:t>
      </w:r>
      <w:r>
        <w:rPr>
          <w:rFonts w:hint="eastAsia" w:ascii="Times New Roman" w:hAnsi="Times New Roman" w:eastAsia="楷体_GB2312"/>
          <w:b/>
          <w:sz w:val="30"/>
          <w:szCs w:val="30"/>
        </w:rPr>
        <w:t>：</w:t>
      </w:r>
      <w:r>
        <w:rPr>
          <w:rFonts w:hint="eastAsia" w:ascii="仿宋_GB2312" w:hAnsi="Times New Roman" w:eastAsia="仿宋_GB2312"/>
          <w:sz w:val="30"/>
          <w:szCs w:val="30"/>
        </w:rPr>
        <w:t>指在化石能源利用、工农业生产或在产品终端应用中，降低温室气体排放量的技术，是作为过程控制的低碳技术，主要包括节能和提高能效、原料替代或减少、燃料替代及非CO</w:t>
      </w:r>
      <w:r>
        <w:rPr>
          <w:rFonts w:hint="eastAsia" w:ascii="仿宋_GB2312" w:hAnsi="Times New Roman" w:eastAsia="仿宋_GB2312"/>
          <w:sz w:val="30"/>
          <w:szCs w:val="30"/>
          <w:vertAlign w:val="subscript"/>
        </w:rPr>
        <w:t>2</w:t>
      </w:r>
      <w:r>
        <w:rPr>
          <w:rFonts w:hint="eastAsia" w:ascii="仿宋_GB2312" w:hAnsi="Times New Roman" w:eastAsia="仿宋_GB2312"/>
          <w:sz w:val="30"/>
          <w:szCs w:val="30"/>
        </w:rPr>
        <w:t>温室气体减排技术等。</w:t>
      </w:r>
    </w:p>
    <w:p>
      <w:pPr>
        <w:adjustRightInd w:val="0"/>
        <w:snapToGrid w:val="0"/>
        <w:spacing w:line="365" w:lineRule="auto"/>
        <w:ind w:firstLine="602" w:firstLineChars="200"/>
        <w:rPr>
          <w:rFonts w:ascii="Times New Roman" w:hAnsi="Times New Roman" w:eastAsia="仿宋_GB2312"/>
          <w:sz w:val="30"/>
          <w:szCs w:val="30"/>
        </w:rPr>
      </w:pPr>
      <w:r>
        <w:rPr>
          <w:rFonts w:hint="eastAsia" w:ascii="Times New Roman" w:hAnsi="Times New Roman" w:eastAsia="楷体_GB2312"/>
          <w:b/>
          <w:sz w:val="30"/>
          <w:szCs w:val="30"/>
        </w:rPr>
        <w:t>（三）</w:t>
      </w:r>
      <w:r>
        <w:rPr>
          <w:rFonts w:ascii="Times New Roman" w:hAnsi="Times New Roman" w:eastAsia="楷体_GB2312"/>
          <w:b/>
          <w:sz w:val="30"/>
          <w:szCs w:val="30"/>
        </w:rPr>
        <w:t>储碳技术：</w:t>
      </w:r>
      <w:r>
        <w:rPr>
          <w:rFonts w:ascii="Times New Roman" w:hAnsi="Times New Roman" w:eastAsia="仿宋_GB2312"/>
          <w:sz w:val="30"/>
          <w:szCs w:val="30"/>
        </w:rPr>
        <w:t>指在二氧化碳产生以后，捕获、利用和封存二氧化碳的技术，是作为末端控制的低碳技术，主要包括二氧化碳捕集、利用与封存技术以及生物与工程固碳技术。</w:t>
      </w:r>
    </w:p>
    <w:p>
      <w:pPr>
        <w:adjustRightInd w:val="0"/>
        <w:snapToGrid w:val="0"/>
        <w:spacing w:line="365" w:lineRule="auto"/>
        <w:ind w:firstLine="600" w:firstLineChars="200"/>
        <w:rPr>
          <w:rFonts w:ascii="Times New Roman" w:hAnsi="Times New Roman" w:eastAsia="黑体"/>
          <w:sz w:val="30"/>
          <w:szCs w:val="30"/>
        </w:rPr>
      </w:pPr>
      <w:r>
        <w:rPr>
          <w:rFonts w:ascii="Times New Roman" w:hAnsi="Times New Roman" w:eastAsia="黑体"/>
          <w:sz w:val="30"/>
          <w:szCs w:val="30"/>
        </w:rPr>
        <w:t>二、所属领域</w:t>
      </w:r>
    </w:p>
    <w:p>
      <w:pPr>
        <w:adjustRightInd w:val="0"/>
        <w:snapToGrid w:val="0"/>
        <w:spacing w:line="365" w:lineRule="auto"/>
        <w:ind w:firstLine="576" w:firstLineChars="200"/>
        <w:rPr>
          <w:rFonts w:ascii="Times New Roman" w:hAnsi="Times New Roman" w:eastAsia="仿宋_GB2312"/>
          <w:spacing w:val="-6"/>
          <w:sz w:val="30"/>
          <w:szCs w:val="30"/>
        </w:rPr>
      </w:pPr>
      <w:r>
        <w:rPr>
          <w:rFonts w:ascii="Times New Roman" w:hAnsi="Times New Roman" w:eastAsia="仿宋_GB2312"/>
          <w:spacing w:val="-6"/>
          <w:sz w:val="30"/>
          <w:szCs w:val="30"/>
        </w:rPr>
        <w:t>指申报技术具体所属的行业领域，如</w:t>
      </w:r>
      <w:r>
        <w:rPr>
          <w:rFonts w:hint="eastAsia" w:ascii="Times New Roman" w:hAnsi="Times New Roman" w:eastAsia="仿宋_GB2312"/>
          <w:spacing w:val="-6"/>
          <w:sz w:val="30"/>
          <w:szCs w:val="30"/>
        </w:rPr>
        <w:t>电力、</w:t>
      </w:r>
      <w:r>
        <w:rPr>
          <w:rFonts w:ascii="Times New Roman" w:hAnsi="Times New Roman" w:eastAsia="仿宋_GB2312"/>
          <w:spacing w:val="-6"/>
          <w:sz w:val="30"/>
          <w:szCs w:val="30"/>
        </w:rPr>
        <w:t>钢铁、</w:t>
      </w:r>
      <w:r>
        <w:rPr>
          <w:rFonts w:hint="eastAsia" w:ascii="Times New Roman" w:hAnsi="Times New Roman" w:eastAsia="仿宋_GB2312"/>
          <w:spacing w:val="-6"/>
          <w:sz w:val="30"/>
          <w:szCs w:val="30"/>
        </w:rPr>
        <w:t>有色、</w:t>
      </w:r>
      <w:r>
        <w:rPr>
          <w:rFonts w:ascii="Times New Roman" w:hAnsi="Times New Roman" w:eastAsia="仿宋_GB2312"/>
          <w:spacing w:val="-6"/>
          <w:sz w:val="30"/>
          <w:szCs w:val="30"/>
        </w:rPr>
        <w:t>建材、煤炭、石化、化工、纺织、食品、造纸、机械、家电</w:t>
      </w:r>
      <w:r>
        <w:rPr>
          <w:rFonts w:hint="eastAsia" w:ascii="Times New Roman" w:hAnsi="Times New Roman" w:eastAsia="仿宋_GB2312"/>
          <w:spacing w:val="-6"/>
          <w:sz w:val="30"/>
          <w:szCs w:val="30"/>
        </w:rPr>
        <w:t>、新能源</w:t>
      </w:r>
      <w:r>
        <w:rPr>
          <w:rFonts w:ascii="Times New Roman" w:hAnsi="Times New Roman" w:eastAsia="仿宋_GB2312"/>
          <w:spacing w:val="-6"/>
          <w:sz w:val="30"/>
          <w:szCs w:val="30"/>
        </w:rPr>
        <w:t>等工业领域，或建筑、交通运输、农业、土地利用变化和林业、废弃物处理等领域。</w:t>
      </w:r>
    </w:p>
    <w:p>
      <w:pPr>
        <w:adjustRightInd w:val="0"/>
        <w:snapToGrid w:val="0"/>
        <w:spacing w:line="348" w:lineRule="auto"/>
        <w:ind w:firstLine="600" w:firstLineChars="200"/>
        <w:rPr>
          <w:rFonts w:ascii="Times New Roman" w:hAnsi="Times New Roman" w:eastAsia="黑体"/>
          <w:sz w:val="30"/>
          <w:szCs w:val="30"/>
        </w:rPr>
      </w:pPr>
      <w:r>
        <w:rPr>
          <w:rFonts w:ascii="Times New Roman" w:hAnsi="Times New Roman" w:eastAsia="黑体"/>
          <w:sz w:val="30"/>
          <w:szCs w:val="30"/>
        </w:rPr>
        <w:t>三、该技术应用现状及产业化情况</w:t>
      </w:r>
    </w:p>
    <w:p>
      <w:pPr>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指该技术目前在业内推广应用及产业化情况。</w:t>
      </w:r>
    </w:p>
    <w:p>
      <w:pPr>
        <w:adjustRightInd w:val="0"/>
        <w:snapToGrid w:val="0"/>
        <w:spacing w:line="348" w:lineRule="auto"/>
        <w:ind w:firstLine="600" w:firstLineChars="200"/>
        <w:rPr>
          <w:rFonts w:ascii="Times New Roman" w:hAnsi="Times New Roman" w:eastAsia="黑体"/>
          <w:sz w:val="30"/>
          <w:szCs w:val="30"/>
        </w:rPr>
      </w:pPr>
      <w:r>
        <w:rPr>
          <w:rFonts w:ascii="Times New Roman" w:hAnsi="Times New Roman" w:eastAsia="黑体"/>
          <w:sz w:val="30"/>
          <w:szCs w:val="30"/>
        </w:rPr>
        <w:t>四、技术内容</w:t>
      </w:r>
    </w:p>
    <w:p>
      <w:pPr>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可单独附页说明所申报低碳技术的原理、关键技术、工艺流程等内容；需提供所申报低碳技术的工艺流程图或主要设备工作原理图及结构图。</w:t>
      </w:r>
    </w:p>
    <w:p>
      <w:pPr>
        <w:adjustRightInd w:val="0"/>
        <w:snapToGrid w:val="0"/>
        <w:spacing w:line="348" w:lineRule="auto"/>
        <w:ind w:firstLine="600" w:firstLineChars="200"/>
        <w:rPr>
          <w:rFonts w:ascii="Times New Roman" w:hAnsi="Times New Roman" w:eastAsia="黑体"/>
          <w:sz w:val="30"/>
          <w:szCs w:val="30"/>
        </w:rPr>
      </w:pPr>
      <w:r>
        <w:rPr>
          <w:rFonts w:ascii="Times New Roman" w:hAnsi="Times New Roman" w:eastAsia="黑体"/>
          <w:sz w:val="30"/>
          <w:szCs w:val="30"/>
        </w:rPr>
        <w:t>五、技术来源</w:t>
      </w:r>
    </w:p>
    <w:p>
      <w:pPr>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需提供技术所有方的单位名称、联系人及联系方式。</w:t>
      </w:r>
    </w:p>
    <w:p>
      <w:pPr>
        <w:adjustRightInd w:val="0"/>
        <w:snapToGrid w:val="0"/>
        <w:spacing w:line="348" w:lineRule="auto"/>
        <w:ind w:firstLine="600" w:firstLineChars="200"/>
        <w:rPr>
          <w:rFonts w:ascii="Times New Roman" w:hAnsi="Times New Roman" w:eastAsia="黑体"/>
          <w:sz w:val="30"/>
          <w:szCs w:val="30"/>
        </w:rPr>
      </w:pPr>
      <w:r>
        <w:rPr>
          <w:rFonts w:ascii="Times New Roman" w:hAnsi="Times New Roman" w:eastAsia="黑体"/>
          <w:sz w:val="30"/>
          <w:szCs w:val="30"/>
        </w:rPr>
        <w:t>六、技术鉴定情况</w:t>
      </w:r>
    </w:p>
    <w:p>
      <w:pPr>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如申报技术已通过有关鉴定和检测，需提供相关材料的书面及电子扫描件，包括技术鉴定证书、科技成果鉴定证书、专利证书或其他知识产权证明文件等。</w:t>
      </w:r>
    </w:p>
    <w:p>
      <w:pPr>
        <w:adjustRightInd w:val="0"/>
        <w:snapToGrid w:val="0"/>
        <w:spacing w:line="348" w:lineRule="auto"/>
        <w:ind w:firstLine="600" w:firstLineChars="200"/>
        <w:rPr>
          <w:rFonts w:ascii="Times New Roman" w:hAnsi="Times New Roman" w:eastAsia="黑体"/>
          <w:sz w:val="30"/>
          <w:szCs w:val="30"/>
        </w:rPr>
      </w:pPr>
      <w:r>
        <w:rPr>
          <w:rFonts w:ascii="Times New Roman" w:hAnsi="Times New Roman" w:eastAsia="黑体"/>
          <w:sz w:val="30"/>
          <w:szCs w:val="30"/>
        </w:rPr>
        <w:t>七、技术应用条件或范围</w:t>
      </w:r>
    </w:p>
    <w:p>
      <w:pPr>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指申报技术的具体应用条件或适用范围。</w:t>
      </w:r>
    </w:p>
    <w:p>
      <w:pPr>
        <w:adjustRightInd w:val="0"/>
        <w:snapToGrid w:val="0"/>
        <w:spacing w:line="348" w:lineRule="auto"/>
        <w:ind w:firstLine="600" w:firstLineChars="200"/>
        <w:rPr>
          <w:rFonts w:ascii="Times New Roman" w:hAnsi="Times New Roman" w:eastAsia="黑体"/>
          <w:sz w:val="30"/>
          <w:szCs w:val="30"/>
        </w:rPr>
      </w:pPr>
      <w:r>
        <w:rPr>
          <w:rFonts w:ascii="Times New Roman" w:hAnsi="Times New Roman" w:eastAsia="黑体"/>
          <w:sz w:val="30"/>
          <w:szCs w:val="30"/>
        </w:rPr>
        <w:t>八、技术推广障碍及建议</w:t>
      </w:r>
    </w:p>
    <w:p>
      <w:pPr>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指申报技术在市场推广过程中遇到的困难和障碍，以及对国家推广该项技术的政策建议。</w:t>
      </w:r>
    </w:p>
    <w:p>
      <w:pPr>
        <w:adjustRightInd w:val="0"/>
        <w:snapToGrid w:val="0"/>
        <w:spacing w:line="348" w:lineRule="auto"/>
        <w:ind w:firstLine="600" w:firstLineChars="200"/>
        <w:rPr>
          <w:rFonts w:ascii="Times New Roman" w:hAnsi="Times New Roman" w:eastAsia="黑体"/>
          <w:sz w:val="30"/>
          <w:szCs w:val="30"/>
        </w:rPr>
      </w:pPr>
      <w:r>
        <w:rPr>
          <w:rFonts w:ascii="Times New Roman" w:hAnsi="Times New Roman" w:eastAsia="黑体"/>
          <w:sz w:val="30"/>
          <w:szCs w:val="30"/>
        </w:rPr>
        <w:t>九、目前已推广比例及预期推广比例</w:t>
      </w:r>
    </w:p>
    <w:p>
      <w:pPr>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目前已推广比例是指截至本通知印发时申报技术在全国已经推广的比例；预期推广比例指到2025年可在全国推广应用达到的比例。</w:t>
      </w:r>
    </w:p>
    <w:p>
      <w:pPr>
        <w:adjustRightInd w:val="0"/>
        <w:snapToGrid w:val="0"/>
        <w:spacing w:line="348" w:lineRule="auto"/>
        <w:ind w:firstLine="600" w:firstLineChars="200"/>
        <w:rPr>
          <w:rFonts w:ascii="Times New Roman" w:hAnsi="Times New Roman" w:eastAsia="黑体"/>
          <w:sz w:val="30"/>
          <w:szCs w:val="30"/>
        </w:rPr>
      </w:pPr>
      <w:r>
        <w:rPr>
          <w:rFonts w:ascii="Times New Roman" w:hAnsi="Times New Roman" w:eastAsia="黑体"/>
          <w:sz w:val="30"/>
          <w:szCs w:val="30"/>
        </w:rPr>
        <w:t>十、碳减排量估算方法</w:t>
      </w:r>
    </w:p>
    <w:p>
      <w:pPr>
        <w:adjustRightInd w:val="0"/>
        <w:snapToGrid w:val="0"/>
        <w:spacing w:line="348"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碳减排量是指低碳技术在达到预期推广比例时，每年避免或减少排放的温室气体总量（折算CO</w:t>
      </w:r>
      <w:r>
        <w:rPr>
          <w:rFonts w:hint="eastAsia" w:ascii="仿宋_GB2312" w:hAnsi="Times New Roman" w:eastAsia="仿宋_GB2312"/>
          <w:sz w:val="30"/>
          <w:szCs w:val="30"/>
          <w:vertAlign w:val="subscript"/>
        </w:rPr>
        <w:t>2</w:t>
      </w:r>
      <w:r>
        <w:rPr>
          <w:rFonts w:hint="eastAsia" w:ascii="仿宋_GB2312" w:hAnsi="Times New Roman" w:eastAsia="仿宋_GB2312"/>
          <w:sz w:val="30"/>
          <w:szCs w:val="30"/>
        </w:rPr>
        <w:t>当量）。对于不同的技术类别，分别采用以下估算方法：</w:t>
      </w:r>
    </w:p>
    <w:p>
      <w:pPr>
        <w:adjustRightInd w:val="0"/>
        <w:snapToGrid w:val="0"/>
        <w:spacing w:line="372" w:lineRule="auto"/>
        <w:ind w:firstLine="602" w:firstLineChars="200"/>
        <w:rPr>
          <w:rFonts w:ascii="Times New Roman" w:hAnsi="Times New Roman" w:eastAsia="仿宋_GB2312"/>
          <w:sz w:val="30"/>
          <w:szCs w:val="30"/>
        </w:rPr>
      </w:pPr>
      <w:r>
        <w:rPr>
          <w:rFonts w:hint="eastAsia" w:ascii="Times New Roman" w:hAnsi="Times New Roman" w:eastAsia="楷体_GB2312"/>
          <w:b/>
          <w:sz w:val="30"/>
          <w:szCs w:val="30"/>
        </w:rPr>
        <w:t>（一）</w:t>
      </w:r>
      <w:r>
        <w:rPr>
          <w:rFonts w:ascii="Times New Roman" w:hAnsi="Times New Roman" w:eastAsia="楷体_GB2312"/>
          <w:b/>
          <w:sz w:val="30"/>
          <w:szCs w:val="30"/>
        </w:rPr>
        <w:t>零碳技术</w:t>
      </w:r>
      <w:r>
        <w:rPr>
          <w:rFonts w:hint="eastAsia" w:ascii="Times New Roman" w:hAnsi="Times New Roman" w:eastAsia="楷体_GB2312"/>
          <w:b/>
          <w:sz w:val="30"/>
          <w:szCs w:val="30"/>
        </w:rPr>
        <w:t>。</w:t>
      </w:r>
      <w:r>
        <w:rPr>
          <w:rFonts w:hint="eastAsia" w:ascii="仿宋_GB2312" w:hAnsi="Times New Roman" w:eastAsia="仿宋_GB2312"/>
          <w:sz w:val="30"/>
          <w:szCs w:val="30"/>
        </w:rPr>
        <w:t>对于零碳技术，可用所获得的年风电、太阳能发电、生物质能发电、核电等发电量，按发电煤耗计算法折算成标准煤，部分用于生产替代燃料的燃料乙醇、生物质成型燃料等技术可按替代量折算成标准煤。上述利用零碳技术所获得的非化石能源量所对应的二氧化碳减排量，可通过乘以我国单位一次能源消费二氧化碳排放量（按2.29tCO</w:t>
      </w:r>
      <w:r>
        <w:rPr>
          <w:rFonts w:hint="eastAsia" w:ascii="仿宋_GB2312" w:hAnsi="Times New Roman" w:eastAsia="仿宋_GB2312"/>
          <w:sz w:val="30"/>
          <w:szCs w:val="30"/>
          <w:vertAlign w:val="subscript"/>
        </w:rPr>
        <w:t>2</w:t>
      </w:r>
      <w:r>
        <w:rPr>
          <w:rFonts w:hint="eastAsia" w:ascii="仿宋_GB2312" w:hAnsi="Times New Roman" w:eastAsia="仿宋_GB2312"/>
          <w:sz w:val="30"/>
          <w:szCs w:val="30"/>
        </w:rPr>
        <w:t xml:space="preserve">/tce）估算得到。 </w:t>
      </w:r>
    </w:p>
    <w:p>
      <w:pPr>
        <w:adjustRightInd w:val="0"/>
        <w:snapToGrid w:val="0"/>
        <w:spacing w:line="372" w:lineRule="auto"/>
        <w:ind w:firstLine="602" w:firstLineChars="200"/>
        <w:rPr>
          <w:rFonts w:ascii="Times New Roman" w:hAnsi="Times New Roman" w:eastAsia="仿宋_GB2312"/>
          <w:sz w:val="30"/>
          <w:szCs w:val="30"/>
        </w:rPr>
      </w:pPr>
      <w:r>
        <w:rPr>
          <w:rFonts w:hint="eastAsia" w:ascii="Times New Roman" w:hAnsi="Times New Roman" w:eastAsia="楷体_GB2312"/>
          <w:b/>
          <w:sz w:val="30"/>
          <w:szCs w:val="30"/>
        </w:rPr>
        <w:t>（二）</w:t>
      </w:r>
      <w:r>
        <w:rPr>
          <w:rFonts w:ascii="Times New Roman" w:hAnsi="Times New Roman" w:eastAsia="楷体_GB2312"/>
          <w:b/>
          <w:sz w:val="30"/>
          <w:szCs w:val="30"/>
        </w:rPr>
        <w:t>减碳技术</w:t>
      </w:r>
      <w:r>
        <w:rPr>
          <w:rFonts w:hint="eastAsia" w:ascii="Times New Roman" w:hAnsi="Times New Roman" w:eastAsia="楷体_GB2312"/>
          <w:b/>
          <w:sz w:val="30"/>
          <w:szCs w:val="30"/>
        </w:rPr>
        <w:t>。</w:t>
      </w:r>
      <w:r>
        <w:rPr>
          <w:rFonts w:hint="eastAsia" w:ascii="仿宋_GB2312" w:hAnsi="Times New Roman" w:eastAsia="仿宋_GB2312"/>
          <w:sz w:val="30"/>
          <w:szCs w:val="30"/>
        </w:rPr>
        <w:t>减碳技术的碳减排量主要包括由节能和提高能效、原料替代或减少、燃料替代、减少非CO</w:t>
      </w:r>
      <w:r>
        <w:rPr>
          <w:rFonts w:hint="eastAsia" w:ascii="仿宋_GB2312" w:hAnsi="Times New Roman" w:eastAsia="仿宋_GB2312"/>
          <w:sz w:val="30"/>
          <w:szCs w:val="30"/>
          <w:vertAlign w:val="subscript"/>
        </w:rPr>
        <w:t>2</w:t>
      </w:r>
      <w:r>
        <w:rPr>
          <w:rFonts w:hint="eastAsia" w:ascii="仿宋_GB2312" w:hAnsi="Times New Roman" w:eastAsia="仿宋_GB2312"/>
          <w:sz w:val="30"/>
          <w:szCs w:val="30"/>
        </w:rPr>
        <w:t>温室气体排放等途径所产生的减排量。该类技术的碳减排量估算方法如表1所示。</w:t>
      </w:r>
    </w:p>
    <w:p>
      <w:pPr>
        <w:widowControl/>
        <w:adjustRightInd w:val="0"/>
        <w:snapToGrid w:val="0"/>
        <w:spacing w:before="312" w:beforeLines="100" w:after="156" w:afterLines="50"/>
        <w:jc w:val="center"/>
        <w:rPr>
          <w:rFonts w:ascii="Times New Roman" w:hAnsi="Times New Roman" w:eastAsia="仿宋_GB2312"/>
        </w:rPr>
      </w:pPr>
      <w:r>
        <w:rPr>
          <w:rFonts w:ascii="Times New Roman" w:hAnsi="Times New Roman" w:eastAsia="仿宋_GB2312"/>
          <w:sz w:val="24"/>
          <w:szCs w:val="24"/>
        </w:rPr>
        <w:t>表1　减碳技术的碳减排量估算方法</w:t>
      </w:r>
    </w:p>
    <w:tbl>
      <w:tblPr>
        <w:tblStyle w:val="4"/>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2525"/>
        <w:gridCol w:w="2835"/>
        <w:gridCol w:w="3543"/>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2525" w:type="dxa"/>
            <w:noWrap w:val="0"/>
            <w:vAlign w:val="center"/>
          </w:tcPr>
          <w:p>
            <w:pPr>
              <w:spacing w:line="360" w:lineRule="auto"/>
              <w:jc w:val="center"/>
              <w:rPr>
                <w:rFonts w:ascii="黑体" w:hAnsi="黑体" w:eastAsia="黑体"/>
                <w:szCs w:val="21"/>
              </w:rPr>
            </w:pPr>
            <w:r>
              <w:rPr>
                <w:rFonts w:ascii="黑体" w:hAnsi="黑体" w:eastAsia="黑体"/>
                <w:szCs w:val="21"/>
              </w:rPr>
              <w:t>减排途径</w:t>
            </w:r>
          </w:p>
        </w:tc>
        <w:tc>
          <w:tcPr>
            <w:tcW w:w="2835" w:type="dxa"/>
            <w:noWrap w:val="0"/>
            <w:vAlign w:val="center"/>
          </w:tcPr>
          <w:p>
            <w:pPr>
              <w:spacing w:line="360" w:lineRule="auto"/>
              <w:jc w:val="center"/>
              <w:rPr>
                <w:rFonts w:ascii="黑体" w:hAnsi="黑体" w:eastAsia="黑体"/>
                <w:szCs w:val="21"/>
              </w:rPr>
            </w:pPr>
            <w:r>
              <w:rPr>
                <w:rFonts w:ascii="黑体" w:hAnsi="黑体" w:eastAsia="黑体"/>
                <w:szCs w:val="21"/>
              </w:rPr>
              <w:t>碳减排量估算方法说明</w:t>
            </w:r>
          </w:p>
        </w:tc>
        <w:tc>
          <w:tcPr>
            <w:tcW w:w="3543" w:type="dxa"/>
            <w:noWrap w:val="0"/>
            <w:vAlign w:val="center"/>
          </w:tcPr>
          <w:p>
            <w:pPr>
              <w:spacing w:line="360" w:lineRule="auto"/>
              <w:jc w:val="center"/>
              <w:rPr>
                <w:rFonts w:ascii="黑体" w:hAnsi="黑体" w:eastAsia="黑体"/>
                <w:szCs w:val="21"/>
              </w:rPr>
            </w:pPr>
            <w:r>
              <w:rPr>
                <w:rFonts w:ascii="黑体" w:hAnsi="黑体" w:eastAsia="黑体"/>
                <w:szCs w:val="21"/>
              </w:rPr>
              <w:t>相关参数选取</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122" w:hRule="atLeast"/>
          <w:jc w:val="center"/>
        </w:trPr>
        <w:tc>
          <w:tcPr>
            <w:tcW w:w="2525" w:type="dxa"/>
            <w:noWrap w:val="0"/>
            <w:vAlign w:val="center"/>
          </w:tcPr>
          <w:p>
            <w:pPr>
              <w:spacing w:line="360" w:lineRule="auto"/>
              <w:jc w:val="center"/>
              <w:rPr>
                <w:rFonts w:ascii="宋体" w:hAnsi="宋体"/>
                <w:szCs w:val="21"/>
              </w:rPr>
            </w:pPr>
            <w:r>
              <w:rPr>
                <w:rFonts w:hint="eastAsia" w:ascii="宋体" w:hAnsi="宋体"/>
                <w:szCs w:val="21"/>
              </w:rPr>
              <w:t>节能和提高能效</w:t>
            </w:r>
          </w:p>
        </w:tc>
        <w:tc>
          <w:tcPr>
            <w:tcW w:w="2835" w:type="dxa"/>
            <w:noWrap w:val="0"/>
            <w:vAlign w:val="center"/>
          </w:tcPr>
          <w:p>
            <w:pPr>
              <w:spacing w:line="360" w:lineRule="auto"/>
              <w:jc w:val="left"/>
              <w:rPr>
                <w:rFonts w:ascii="宋体" w:hAnsi="宋体"/>
                <w:szCs w:val="21"/>
              </w:rPr>
            </w:pPr>
            <w:r>
              <w:rPr>
                <w:rFonts w:hint="eastAsia" w:ascii="宋体" w:hAnsi="宋体"/>
                <w:szCs w:val="21"/>
              </w:rPr>
              <w:t>根据减少的能源消耗相应的排放量进行估算</w:t>
            </w:r>
          </w:p>
        </w:tc>
        <w:tc>
          <w:tcPr>
            <w:tcW w:w="3543" w:type="dxa"/>
            <w:noWrap w:val="0"/>
            <w:vAlign w:val="center"/>
          </w:tcPr>
          <w:p>
            <w:pPr>
              <w:spacing w:line="360" w:lineRule="auto"/>
              <w:rPr>
                <w:rFonts w:ascii="宋体" w:hAnsi="宋体"/>
                <w:szCs w:val="21"/>
              </w:rPr>
            </w:pPr>
            <w:r>
              <w:rPr>
                <w:rFonts w:ascii="宋体" w:hAnsi="宋体"/>
                <w:szCs w:val="21"/>
              </w:rPr>
              <w:t>煤炭：</w:t>
            </w:r>
            <w:r>
              <w:rPr>
                <w:rFonts w:hint="eastAsia" w:ascii="宋体" w:hAnsi="宋体"/>
                <w:szCs w:val="21"/>
              </w:rPr>
              <w:t>2</w:t>
            </w:r>
            <w:r>
              <w:rPr>
                <w:rFonts w:ascii="宋体" w:hAnsi="宋体"/>
                <w:szCs w:val="21"/>
              </w:rPr>
              <w:t>.66 tCO</w:t>
            </w:r>
            <w:r>
              <w:rPr>
                <w:rFonts w:ascii="宋体" w:hAnsi="宋体"/>
                <w:szCs w:val="21"/>
                <w:vertAlign w:val="subscript"/>
              </w:rPr>
              <w:t>2</w:t>
            </w:r>
            <w:r>
              <w:rPr>
                <w:rFonts w:ascii="宋体" w:hAnsi="宋体"/>
                <w:szCs w:val="21"/>
              </w:rPr>
              <w:t>/tce</w:t>
            </w:r>
          </w:p>
          <w:p>
            <w:pPr>
              <w:spacing w:line="360" w:lineRule="auto"/>
              <w:rPr>
                <w:rFonts w:ascii="宋体" w:hAnsi="宋体"/>
                <w:szCs w:val="21"/>
              </w:rPr>
            </w:pPr>
            <w:r>
              <w:rPr>
                <w:rFonts w:ascii="宋体" w:hAnsi="宋体"/>
                <w:szCs w:val="21"/>
              </w:rPr>
              <w:t>石油：</w:t>
            </w:r>
            <w:r>
              <w:rPr>
                <w:rFonts w:hint="eastAsia" w:ascii="宋体" w:hAnsi="宋体"/>
                <w:szCs w:val="21"/>
              </w:rPr>
              <w:t>1</w:t>
            </w:r>
            <w:r>
              <w:rPr>
                <w:rFonts w:ascii="宋体" w:hAnsi="宋体"/>
                <w:szCs w:val="21"/>
              </w:rPr>
              <w:t>.73 tCO</w:t>
            </w:r>
            <w:r>
              <w:rPr>
                <w:rFonts w:ascii="宋体" w:hAnsi="宋体"/>
                <w:szCs w:val="21"/>
                <w:vertAlign w:val="subscript"/>
              </w:rPr>
              <w:t>2</w:t>
            </w:r>
            <w:r>
              <w:rPr>
                <w:rFonts w:ascii="宋体" w:hAnsi="宋体"/>
                <w:szCs w:val="21"/>
              </w:rPr>
              <w:t>/tce</w:t>
            </w:r>
          </w:p>
          <w:p>
            <w:pPr>
              <w:spacing w:line="360" w:lineRule="auto"/>
              <w:rPr>
                <w:rFonts w:ascii="宋体" w:hAnsi="宋体"/>
                <w:szCs w:val="21"/>
                <w:vertAlign w:val="superscript"/>
              </w:rPr>
            </w:pPr>
            <w:r>
              <w:rPr>
                <w:rFonts w:ascii="宋体" w:hAnsi="宋体"/>
                <w:szCs w:val="21"/>
              </w:rPr>
              <w:t>天然气：1.56 tCO</w:t>
            </w:r>
            <w:r>
              <w:rPr>
                <w:rFonts w:ascii="宋体" w:hAnsi="宋体"/>
                <w:szCs w:val="21"/>
                <w:vertAlign w:val="subscript"/>
              </w:rPr>
              <w:t>2</w:t>
            </w:r>
            <w:r>
              <w:rPr>
                <w:rFonts w:ascii="宋体" w:hAnsi="宋体"/>
                <w:szCs w:val="21"/>
              </w:rPr>
              <w:t>/tce</w:t>
            </w:r>
          </w:p>
          <w:p>
            <w:pPr>
              <w:spacing w:line="360" w:lineRule="auto"/>
              <w:rPr>
                <w:rFonts w:ascii="宋体" w:hAnsi="宋体"/>
                <w:szCs w:val="21"/>
              </w:rPr>
            </w:pPr>
            <w:r>
              <w:rPr>
                <w:rFonts w:ascii="宋体" w:hAnsi="宋体"/>
                <w:szCs w:val="21"/>
              </w:rPr>
              <w:t>电：0.61 kgCO</w:t>
            </w:r>
            <w:r>
              <w:rPr>
                <w:rFonts w:ascii="宋体" w:hAnsi="宋体"/>
                <w:szCs w:val="21"/>
                <w:vertAlign w:val="subscript"/>
              </w:rPr>
              <w:t>2</w:t>
            </w:r>
            <w:r>
              <w:rPr>
                <w:rFonts w:ascii="宋体" w:hAnsi="宋体"/>
                <w:szCs w:val="21"/>
              </w:rPr>
              <w:t>/kWh</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022" w:hRule="atLeast"/>
          <w:jc w:val="center"/>
        </w:trPr>
        <w:tc>
          <w:tcPr>
            <w:tcW w:w="2525" w:type="dxa"/>
            <w:noWrap w:val="0"/>
            <w:vAlign w:val="center"/>
          </w:tcPr>
          <w:p>
            <w:pPr>
              <w:spacing w:line="360" w:lineRule="auto"/>
              <w:jc w:val="center"/>
              <w:rPr>
                <w:rFonts w:ascii="宋体" w:hAnsi="宋体"/>
                <w:szCs w:val="21"/>
              </w:rPr>
            </w:pPr>
            <w:r>
              <w:rPr>
                <w:rFonts w:ascii="宋体" w:hAnsi="宋体"/>
                <w:szCs w:val="21"/>
              </w:rPr>
              <w:t>原料替代或减少</w:t>
            </w:r>
          </w:p>
        </w:tc>
        <w:tc>
          <w:tcPr>
            <w:tcW w:w="2835" w:type="dxa"/>
            <w:noWrap w:val="0"/>
            <w:vAlign w:val="center"/>
          </w:tcPr>
          <w:p>
            <w:pPr>
              <w:spacing w:line="360" w:lineRule="auto"/>
              <w:rPr>
                <w:rFonts w:ascii="宋体" w:hAnsi="宋体"/>
                <w:szCs w:val="21"/>
              </w:rPr>
            </w:pPr>
            <w:r>
              <w:rPr>
                <w:rFonts w:ascii="宋体" w:hAnsi="宋体"/>
                <w:szCs w:val="21"/>
              </w:rPr>
              <w:t>根据每减少吨水泥熟料、钢铁、石灰和电石等产生的减排量进行估算</w:t>
            </w:r>
          </w:p>
        </w:tc>
        <w:tc>
          <w:tcPr>
            <w:tcW w:w="3543" w:type="dxa"/>
            <w:noWrap w:val="0"/>
            <w:vAlign w:val="top"/>
          </w:tcPr>
          <w:p>
            <w:pPr>
              <w:spacing w:line="360" w:lineRule="auto"/>
              <w:rPr>
                <w:rFonts w:ascii="宋体" w:hAnsi="宋体"/>
                <w:szCs w:val="21"/>
              </w:rPr>
            </w:pPr>
            <w:r>
              <w:rPr>
                <w:rFonts w:ascii="宋体" w:hAnsi="宋体"/>
                <w:szCs w:val="21"/>
              </w:rPr>
              <w:t>水泥熟料：0.53 t CO</w:t>
            </w:r>
            <w:r>
              <w:rPr>
                <w:rFonts w:ascii="宋体" w:hAnsi="宋体"/>
                <w:szCs w:val="21"/>
                <w:vertAlign w:val="subscript"/>
              </w:rPr>
              <w:t>2</w:t>
            </w:r>
            <w:r>
              <w:rPr>
                <w:rFonts w:ascii="宋体" w:hAnsi="宋体"/>
                <w:szCs w:val="21"/>
              </w:rPr>
              <w:t>/t</w:t>
            </w:r>
          </w:p>
          <w:p>
            <w:pPr>
              <w:spacing w:line="360" w:lineRule="auto"/>
              <w:rPr>
                <w:rFonts w:ascii="宋体" w:hAnsi="宋体"/>
                <w:szCs w:val="21"/>
              </w:rPr>
            </w:pPr>
            <w:r>
              <w:rPr>
                <w:rFonts w:ascii="宋体" w:hAnsi="宋体"/>
                <w:szCs w:val="21"/>
              </w:rPr>
              <w:t>钢铁：0.19 t CO</w:t>
            </w:r>
            <w:r>
              <w:rPr>
                <w:rFonts w:ascii="宋体" w:hAnsi="宋体"/>
                <w:szCs w:val="21"/>
                <w:vertAlign w:val="subscript"/>
              </w:rPr>
              <w:t>2</w:t>
            </w:r>
            <w:r>
              <w:rPr>
                <w:rFonts w:ascii="宋体" w:hAnsi="宋体"/>
                <w:szCs w:val="21"/>
              </w:rPr>
              <w:t>/t</w:t>
            </w:r>
          </w:p>
          <w:p>
            <w:pPr>
              <w:spacing w:line="360" w:lineRule="auto"/>
              <w:rPr>
                <w:rFonts w:ascii="宋体" w:hAnsi="宋体"/>
                <w:szCs w:val="21"/>
              </w:rPr>
            </w:pPr>
            <w:r>
              <w:rPr>
                <w:rFonts w:ascii="宋体" w:hAnsi="宋体"/>
                <w:szCs w:val="21"/>
              </w:rPr>
              <w:t>石灰：0.69 t CO</w:t>
            </w:r>
            <w:r>
              <w:rPr>
                <w:rFonts w:ascii="宋体" w:hAnsi="宋体"/>
                <w:szCs w:val="21"/>
                <w:vertAlign w:val="subscript"/>
              </w:rPr>
              <w:t>2</w:t>
            </w:r>
            <w:r>
              <w:rPr>
                <w:rFonts w:ascii="宋体" w:hAnsi="宋体"/>
                <w:szCs w:val="21"/>
              </w:rPr>
              <w:t>/t</w:t>
            </w:r>
          </w:p>
          <w:p>
            <w:pPr>
              <w:spacing w:line="360" w:lineRule="auto"/>
              <w:rPr>
                <w:rFonts w:ascii="宋体" w:hAnsi="宋体"/>
                <w:szCs w:val="21"/>
              </w:rPr>
            </w:pPr>
            <w:r>
              <w:rPr>
                <w:rFonts w:ascii="宋体" w:hAnsi="宋体"/>
                <w:szCs w:val="21"/>
              </w:rPr>
              <w:t>电石：1.06 t CO</w:t>
            </w:r>
            <w:r>
              <w:rPr>
                <w:rFonts w:ascii="宋体" w:hAnsi="宋体"/>
                <w:szCs w:val="21"/>
                <w:vertAlign w:val="subscript"/>
              </w:rPr>
              <w:t>2</w:t>
            </w:r>
            <w:r>
              <w:rPr>
                <w:rFonts w:ascii="宋体" w:hAnsi="宋体"/>
                <w:szCs w:val="21"/>
              </w:rPr>
              <w:t>/t</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176" w:hRule="atLeast"/>
          <w:jc w:val="center"/>
        </w:trPr>
        <w:tc>
          <w:tcPr>
            <w:tcW w:w="2525" w:type="dxa"/>
            <w:noWrap w:val="0"/>
            <w:vAlign w:val="center"/>
          </w:tcPr>
          <w:p>
            <w:pPr>
              <w:spacing w:line="360" w:lineRule="auto"/>
              <w:jc w:val="center"/>
              <w:rPr>
                <w:rFonts w:ascii="宋体" w:hAnsi="宋体"/>
                <w:szCs w:val="21"/>
              </w:rPr>
            </w:pPr>
            <w:r>
              <w:rPr>
                <w:rFonts w:ascii="宋体" w:hAnsi="宋体"/>
                <w:szCs w:val="21"/>
              </w:rPr>
              <w:t>燃料替代</w:t>
            </w:r>
          </w:p>
        </w:tc>
        <w:tc>
          <w:tcPr>
            <w:tcW w:w="2835" w:type="dxa"/>
            <w:noWrap w:val="0"/>
            <w:vAlign w:val="center"/>
          </w:tcPr>
          <w:p>
            <w:pPr>
              <w:spacing w:line="360" w:lineRule="auto"/>
              <w:jc w:val="left"/>
              <w:rPr>
                <w:rFonts w:ascii="宋体" w:hAnsi="宋体"/>
                <w:szCs w:val="21"/>
              </w:rPr>
            </w:pPr>
            <w:r>
              <w:rPr>
                <w:rFonts w:ascii="宋体" w:hAnsi="宋体"/>
                <w:szCs w:val="21"/>
              </w:rPr>
              <w:t>根据替代前后不同能源品种相应的排放量之间的差额进行估算</w:t>
            </w:r>
          </w:p>
        </w:tc>
        <w:tc>
          <w:tcPr>
            <w:tcW w:w="3543" w:type="dxa"/>
            <w:noWrap w:val="0"/>
            <w:vAlign w:val="center"/>
          </w:tcPr>
          <w:p>
            <w:pPr>
              <w:spacing w:line="360" w:lineRule="auto"/>
              <w:rPr>
                <w:rFonts w:ascii="宋体" w:hAnsi="宋体"/>
                <w:szCs w:val="21"/>
              </w:rPr>
            </w:pPr>
            <w:r>
              <w:rPr>
                <w:rFonts w:ascii="宋体" w:hAnsi="宋体"/>
                <w:szCs w:val="21"/>
              </w:rPr>
              <w:t>煤炭：</w:t>
            </w:r>
            <w:r>
              <w:rPr>
                <w:rFonts w:hint="eastAsia" w:ascii="宋体" w:hAnsi="宋体"/>
                <w:szCs w:val="21"/>
              </w:rPr>
              <w:t>2</w:t>
            </w:r>
            <w:r>
              <w:rPr>
                <w:rFonts w:ascii="宋体" w:hAnsi="宋体"/>
                <w:szCs w:val="21"/>
              </w:rPr>
              <w:t>.66 tCO</w:t>
            </w:r>
            <w:r>
              <w:rPr>
                <w:rFonts w:ascii="宋体" w:hAnsi="宋体"/>
                <w:szCs w:val="21"/>
                <w:vertAlign w:val="subscript"/>
              </w:rPr>
              <w:t>2</w:t>
            </w:r>
            <w:r>
              <w:rPr>
                <w:rFonts w:ascii="宋体" w:hAnsi="宋体"/>
                <w:szCs w:val="21"/>
              </w:rPr>
              <w:t>/tce</w:t>
            </w:r>
          </w:p>
          <w:p>
            <w:pPr>
              <w:spacing w:line="360" w:lineRule="auto"/>
              <w:rPr>
                <w:rFonts w:ascii="宋体" w:hAnsi="宋体"/>
                <w:szCs w:val="21"/>
              </w:rPr>
            </w:pPr>
            <w:r>
              <w:rPr>
                <w:rFonts w:ascii="宋体" w:hAnsi="宋体"/>
                <w:szCs w:val="21"/>
              </w:rPr>
              <w:t>石油：</w:t>
            </w:r>
            <w:r>
              <w:rPr>
                <w:rFonts w:hint="eastAsia" w:ascii="宋体" w:hAnsi="宋体"/>
                <w:szCs w:val="21"/>
              </w:rPr>
              <w:t>1</w:t>
            </w:r>
            <w:r>
              <w:rPr>
                <w:rFonts w:ascii="宋体" w:hAnsi="宋体"/>
                <w:szCs w:val="21"/>
              </w:rPr>
              <w:t>.73 tCO</w:t>
            </w:r>
            <w:r>
              <w:rPr>
                <w:rFonts w:ascii="宋体" w:hAnsi="宋体"/>
                <w:szCs w:val="21"/>
                <w:vertAlign w:val="subscript"/>
              </w:rPr>
              <w:t>2</w:t>
            </w:r>
            <w:r>
              <w:rPr>
                <w:rFonts w:ascii="宋体" w:hAnsi="宋体"/>
                <w:szCs w:val="21"/>
              </w:rPr>
              <w:t>/tce</w:t>
            </w:r>
          </w:p>
          <w:p>
            <w:pPr>
              <w:spacing w:line="360" w:lineRule="auto"/>
              <w:rPr>
                <w:rFonts w:ascii="宋体" w:hAnsi="宋体"/>
                <w:szCs w:val="21"/>
                <w:vertAlign w:val="superscript"/>
              </w:rPr>
            </w:pPr>
            <w:r>
              <w:rPr>
                <w:rFonts w:ascii="宋体" w:hAnsi="宋体"/>
                <w:szCs w:val="21"/>
              </w:rPr>
              <w:t>天然气：1.56 tCO</w:t>
            </w:r>
            <w:r>
              <w:rPr>
                <w:rFonts w:ascii="宋体" w:hAnsi="宋体"/>
                <w:szCs w:val="21"/>
                <w:vertAlign w:val="subscript"/>
              </w:rPr>
              <w:t>2</w:t>
            </w:r>
            <w:r>
              <w:rPr>
                <w:rFonts w:ascii="宋体" w:hAnsi="宋体"/>
                <w:szCs w:val="21"/>
              </w:rPr>
              <w:t>/tce</w:t>
            </w:r>
          </w:p>
          <w:p>
            <w:pPr>
              <w:spacing w:line="360" w:lineRule="auto"/>
              <w:rPr>
                <w:rFonts w:ascii="宋体" w:hAnsi="宋体"/>
                <w:szCs w:val="21"/>
              </w:rPr>
            </w:pPr>
            <w:r>
              <w:rPr>
                <w:rFonts w:ascii="宋体" w:hAnsi="宋体"/>
                <w:szCs w:val="21"/>
              </w:rPr>
              <w:t>电：0.61 kgCO</w:t>
            </w:r>
            <w:r>
              <w:rPr>
                <w:rFonts w:ascii="宋体" w:hAnsi="宋体"/>
                <w:szCs w:val="21"/>
                <w:vertAlign w:val="subscript"/>
              </w:rPr>
              <w:t>2</w:t>
            </w:r>
            <w:r>
              <w:rPr>
                <w:rFonts w:ascii="宋体" w:hAnsi="宋体"/>
                <w:szCs w:val="21"/>
              </w:rPr>
              <w:t>/kWh</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983" w:hRule="atLeast"/>
          <w:jc w:val="center"/>
        </w:trPr>
        <w:tc>
          <w:tcPr>
            <w:tcW w:w="2525" w:type="dxa"/>
            <w:noWrap w:val="0"/>
            <w:vAlign w:val="center"/>
          </w:tcPr>
          <w:p>
            <w:pPr>
              <w:spacing w:line="360" w:lineRule="auto"/>
              <w:jc w:val="center"/>
              <w:rPr>
                <w:rFonts w:ascii="宋体" w:hAnsi="宋体"/>
                <w:szCs w:val="21"/>
              </w:rPr>
            </w:pPr>
            <w:r>
              <w:rPr>
                <w:rFonts w:ascii="宋体" w:hAnsi="宋体"/>
                <w:szCs w:val="21"/>
              </w:rPr>
              <w:t>减少非CO</w:t>
            </w:r>
            <w:r>
              <w:rPr>
                <w:rFonts w:ascii="宋体" w:hAnsi="宋体"/>
                <w:szCs w:val="21"/>
                <w:vertAlign w:val="subscript"/>
              </w:rPr>
              <w:t>2</w:t>
            </w:r>
            <w:r>
              <w:rPr>
                <w:rFonts w:ascii="宋体" w:hAnsi="宋体"/>
                <w:szCs w:val="21"/>
              </w:rPr>
              <w:t>温室气体排放</w:t>
            </w:r>
          </w:p>
        </w:tc>
        <w:tc>
          <w:tcPr>
            <w:tcW w:w="2835" w:type="dxa"/>
            <w:noWrap w:val="0"/>
            <w:vAlign w:val="center"/>
          </w:tcPr>
          <w:p>
            <w:pPr>
              <w:spacing w:line="360" w:lineRule="auto"/>
              <w:rPr>
                <w:rFonts w:ascii="宋体" w:hAnsi="宋体"/>
                <w:szCs w:val="21"/>
              </w:rPr>
            </w:pPr>
            <w:r>
              <w:rPr>
                <w:rFonts w:ascii="宋体" w:hAnsi="宋体"/>
                <w:szCs w:val="21"/>
              </w:rPr>
              <w:t>可以利用不同温室气体的全球增温潜势折算为二氧化碳当量</w:t>
            </w:r>
          </w:p>
        </w:tc>
        <w:tc>
          <w:tcPr>
            <w:tcW w:w="3543" w:type="dxa"/>
            <w:noWrap w:val="0"/>
            <w:vAlign w:val="top"/>
          </w:tcPr>
          <w:p>
            <w:pPr>
              <w:spacing w:line="300" w:lineRule="auto"/>
              <w:rPr>
                <w:rFonts w:ascii="宋体" w:hAnsi="宋体"/>
                <w:szCs w:val="21"/>
              </w:rPr>
            </w:pPr>
            <w:r>
              <w:rPr>
                <w:rFonts w:ascii="宋体" w:hAnsi="宋体"/>
                <w:szCs w:val="21"/>
              </w:rPr>
              <w:t>非CO</w:t>
            </w:r>
            <w:r>
              <w:rPr>
                <w:rFonts w:ascii="宋体" w:hAnsi="宋体"/>
                <w:szCs w:val="21"/>
                <w:vertAlign w:val="subscript"/>
              </w:rPr>
              <w:t>2</w:t>
            </w:r>
            <w:r>
              <w:rPr>
                <w:rFonts w:ascii="宋体" w:hAnsi="宋体"/>
                <w:szCs w:val="21"/>
              </w:rPr>
              <w:t>温室气体的折算当量系数分别为：</w:t>
            </w:r>
          </w:p>
          <w:p>
            <w:pPr>
              <w:spacing w:line="300" w:lineRule="auto"/>
              <w:rPr>
                <w:rFonts w:ascii="宋体" w:hAnsi="宋体"/>
                <w:szCs w:val="21"/>
              </w:rPr>
            </w:pPr>
            <w:r>
              <w:rPr>
                <w:rFonts w:ascii="宋体" w:hAnsi="宋体"/>
                <w:szCs w:val="21"/>
              </w:rPr>
              <w:t>CH</w:t>
            </w:r>
            <w:r>
              <w:rPr>
                <w:rFonts w:ascii="宋体" w:hAnsi="宋体"/>
                <w:szCs w:val="21"/>
                <w:vertAlign w:val="subscript"/>
              </w:rPr>
              <w:t>4</w:t>
            </w:r>
            <w:r>
              <w:rPr>
                <w:rFonts w:ascii="宋体" w:hAnsi="宋体"/>
                <w:szCs w:val="21"/>
              </w:rPr>
              <w:t>：           21</w:t>
            </w:r>
          </w:p>
          <w:p>
            <w:pPr>
              <w:spacing w:line="300" w:lineRule="auto"/>
              <w:rPr>
                <w:rFonts w:ascii="宋体" w:hAnsi="宋体"/>
                <w:szCs w:val="21"/>
              </w:rPr>
            </w:pPr>
            <w:r>
              <w:rPr>
                <w:rFonts w:ascii="宋体" w:hAnsi="宋体"/>
                <w:szCs w:val="21"/>
              </w:rPr>
              <w:t>N</w:t>
            </w:r>
            <w:r>
              <w:rPr>
                <w:rFonts w:ascii="宋体" w:hAnsi="宋体"/>
                <w:szCs w:val="21"/>
                <w:vertAlign w:val="subscript"/>
              </w:rPr>
              <w:t>2</w:t>
            </w:r>
            <w:r>
              <w:rPr>
                <w:rFonts w:ascii="宋体" w:hAnsi="宋体"/>
                <w:szCs w:val="21"/>
              </w:rPr>
              <w:t>O：           310</w:t>
            </w:r>
          </w:p>
          <w:p>
            <w:pPr>
              <w:spacing w:line="300" w:lineRule="auto"/>
              <w:rPr>
                <w:rFonts w:ascii="宋体" w:hAnsi="宋体"/>
                <w:szCs w:val="21"/>
              </w:rPr>
            </w:pPr>
            <w:r>
              <w:rPr>
                <w:rFonts w:ascii="宋体" w:hAnsi="宋体"/>
                <w:szCs w:val="21"/>
              </w:rPr>
              <w:t>SF</w:t>
            </w:r>
            <w:r>
              <w:rPr>
                <w:rFonts w:ascii="宋体" w:hAnsi="宋体"/>
                <w:szCs w:val="21"/>
                <w:vertAlign w:val="subscript"/>
              </w:rPr>
              <w:t>6</w:t>
            </w:r>
            <w:r>
              <w:rPr>
                <w:rFonts w:ascii="宋体" w:hAnsi="宋体"/>
                <w:szCs w:val="21"/>
              </w:rPr>
              <w:t>：            23900</w:t>
            </w:r>
          </w:p>
          <w:p>
            <w:pPr>
              <w:spacing w:line="300" w:lineRule="auto"/>
              <w:rPr>
                <w:rFonts w:ascii="宋体" w:hAnsi="宋体"/>
                <w:szCs w:val="21"/>
              </w:rPr>
            </w:pPr>
            <w:r>
              <w:rPr>
                <w:rFonts w:ascii="宋体" w:hAnsi="宋体"/>
                <w:szCs w:val="21"/>
              </w:rPr>
              <w:t>HFCs：</w:t>
            </w:r>
          </w:p>
          <w:p>
            <w:pPr>
              <w:spacing w:line="300" w:lineRule="auto"/>
              <w:ind w:firstLine="315" w:firstLineChars="150"/>
              <w:rPr>
                <w:rFonts w:ascii="宋体" w:hAnsi="宋体"/>
                <w:szCs w:val="21"/>
              </w:rPr>
            </w:pPr>
            <w:r>
              <w:rPr>
                <w:rFonts w:ascii="宋体" w:hAnsi="宋体"/>
                <w:szCs w:val="21"/>
              </w:rPr>
              <w:t>HFC-23：</w:t>
            </w:r>
            <w:r>
              <w:rPr>
                <w:rFonts w:ascii="宋体" w:hAnsi="宋体"/>
                <w:szCs w:val="21"/>
              </w:rPr>
              <w:tab/>
            </w:r>
            <w:r>
              <w:rPr>
                <w:rFonts w:ascii="宋体" w:hAnsi="宋体"/>
                <w:szCs w:val="21"/>
              </w:rPr>
              <w:t xml:space="preserve">    11700</w:t>
            </w:r>
          </w:p>
          <w:p>
            <w:pPr>
              <w:spacing w:line="300" w:lineRule="auto"/>
              <w:ind w:firstLine="315" w:firstLineChars="150"/>
              <w:rPr>
                <w:rFonts w:ascii="宋体" w:hAnsi="宋体"/>
                <w:szCs w:val="21"/>
              </w:rPr>
            </w:pPr>
            <w:r>
              <w:rPr>
                <w:rFonts w:ascii="宋体" w:hAnsi="宋体"/>
                <w:szCs w:val="21"/>
              </w:rPr>
              <w:t>HFC-32：</w:t>
            </w:r>
            <w:r>
              <w:rPr>
                <w:rFonts w:ascii="宋体" w:hAnsi="宋体"/>
                <w:szCs w:val="21"/>
              </w:rPr>
              <w:tab/>
            </w:r>
            <w:r>
              <w:rPr>
                <w:rFonts w:ascii="宋体" w:hAnsi="宋体"/>
                <w:szCs w:val="21"/>
              </w:rPr>
              <w:t xml:space="preserve">    650</w:t>
            </w:r>
          </w:p>
          <w:p>
            <w:pPr>
              <w:spacing w:line="300" w:lineRule="auto"/>
              <w:ind w:firstLine="315" w:firstLineChars="150"/>
              <w:rPr>
                <w:rFonts w:ascii="宋体" w:hAnsi="宋体"/>
                <w:szCs w:val="21"/>
              </w:rPr>
            </w:pPr>
            <w:r>
              <w:rPr>
                <w:rFonts w:ascii="宋体" w:hAnsi="宋体"/>
                <w:szCs w:val="21"/>
              </w:rPr>
              <w:t>HFC-125：</w:t>
            </w:r>
            <w:r>
              <w:rPr>
                <w:rFonts w:ascii="宋体" w:hAnsi="宋体"/>
                <w:szCs w:val="21"/>
              </w:rPr>
              <w:tab/>
            </w:r>
            <w:r>
              <w:rPr>
                <w:rFonts w:ascii="宋体" w:hAnsi="宋体"/>
                <w:szCs w:val="21"/>
              </w:rPr>
              <w:t>2800</w:t>
            </w:r>
          </w:p>
          <w:p>
            <w:pPr>
              <w:spacing w:line="300" w:lineRule="auto"/>
              <w:ind w:firstLine="315" w:firstLineChars="150"/>
              <w:rPr>
                <w:rFonts w:ascii="宋体" w:hAnsi="宋体"/>
                <w:szCs w:val="21"/>
              </w:rPr>
            </w:pPr>
            <w:r>
              <w:rPr>
                <w:rFonts w:ascii="宋体" w:hAnsi="宋体"/>
                <w:szCs w:val="21"/>
              </w:rPr>
              <w:t>HFC-134a：</w:t>
            </w:r>
            <w:r>
              <w:rPr>
                <w:rFonts w:ascii="宋体" w:hAnsi="宋体"/>
                <w:szCs w:val="21"/>
              </w:rPr>
              <w:tab/>
            </w:r>
            <w:r>
              <w:rPr>
                <w:rFonts w:ascii="宋体" w:hAnsi="宋体"/>
                <w:szCs w:val="21"/>
              </w:rPr>
              <w:t>1300</w:t>
            </w:r>
          </w:p>
          <w:p>
            <w:pPr>
              <w:spacing w:line="300" w:lineRule="auto"/>
              <w:ind w:firstLine="315" w:firstLineChars="150"/>
              <w:rPr>
                <w:rFonts w:ascii="宋体" w:hAnsi="宋体"/>
                <w:szCs w:val="21"/>
              </w:rPr>
            </w:pPr>
            <w:r>
              <w:rPr>
                <w:rFonts w:ascii="宋体" w:hAnsi="宋体"/>
                <w:szCs w:val="21"/>
              </w:rPr>
              <w:t>HFC-143a：</w:t>
            </w:r>
            <w:r>
              <w:rPr>
                <w:rFonts w:ascii="宋体" w:hAnsi="宋体"/>
                <w:szCs w:val="21"/>
              </w:rPr>
              <w:tab/>
            </w:r>
            <w:r>
              <w:rPr>
                <w:rFonts w:ascii="宋体" w:hAnsi="宋体"/>
                <w:szCs w:val="21"/>
              </w:rPr>
              <w:t>3800</w:t>
            </w:r>
          </w:p>
          <w:p>
            <w:pPr>
              <w:spacing w:line="300" w:lineRule="auto"/>
              <w:ind w:firstLine="315" w:firstLineChars="150"/>
              <w:rPr>
                <w:rFonts w:ascii="宋体" w:hAnsi="宋体"/>
                <w:szCs w:val="21"/>
              </w:rPr>
            </w:pPr>
            <w:r>
              <w:rPr>
                <w:rFonts w:ascii="宋体" w:hAnsi="宋体"/>
                <w:szCs w:val="21"/>
              </w:rPr>
              <w:t>HFC-152a：</w:t>
            </w:r>
            <w:r>
              <w:rPr>
                <w:rFonts w:ascii="宋体" w:hAnsi="宋体"/>
                <w:szCs w:val="21"/>
              </w:rPr>
              <w:tab/>
            </w:r>
            <w:r>
              <w:rPr>
                <w:rFonts w:ascii="宋体" w:hAnsi="宋体"/>
                <w:szCs w:val="21"/>
              </w:rPr>
              <w:t>140</w:t>
            </w:r>
          </w:p>
          <w:p>
            <w:pPr>
              <w:spacing w:line="300" w:lineRule="auto"/>
              <w:ind w:firstLine="315" w:firstLineChars="150"/>
              <w:rPr>
                <w:rFonts w:ascii="宋体" w:hAnsi="宋体"/>
                <w:szCs w:val="21"/>
              </w:rPr>
            </w:pPr>
            <w:r>
              <w:rPr>
                <w:rFonts w:ascii="宋体" w:hAnsi="宋体"/>
                <w:szCs w:val="21"/>
              </w:rPr>
              <w:t>HFC-227ea：</w:t>
            </w:r>
            <w:r>
              <w:rPr>
                <w:rFonts w:ascii="宋体" w:hAnsi="宋体"/>
                <w:szCs w:val="21"/>
              </w:rPr>
              <w:tab/>
            </w:r>
            <w:r>
              <w:rPr>
                <w:rFonts w:ascii="宋体" w:hAnsi="宋体"/>
                <w:szCs w:val="21"/>
              </w:rPr>
              <w:t>2900</w:t>
            </w:r>
          </w:p>
          <w:p>
            <w:pPr>
              <w:spacing w:line="300" w:lineRule="auto"/>
              <w:ind w:firstLine="315" w:firstLineChars="150"/>
              <w:rPr>
                <w:rFonts w:ascii="宋体" w:hAnsi="宋体"/>
                <w:szCs w:val="21"/>
              </w:rPr>
            </w:pPr>
            <w:r>
              <w:rPr>
                <w:rFonts w:ascii="宋体" w:hAnsi="宋体"/>
                <w:szCs w:val="21"/>
              </w:rPr>
              <w:t>HFC-236fa：</w:t>
            </w:r>
            <w:r>
              <w:rPr>
                <w:rFonts w:ascii="宋体" w:hAnsi="宋体"/>
                <w:szCs w:val="21"/>
              </w:rPr>
              <w:tab/>
            </w:r>
            <w:r>
              <w:rPr>
                <w:rFonts w:ascii="宋体" w:hAnsi="宋体"/>
                <w:szCs w:val="21"/>
              </w:rPr>
              <w:t>6300</w:t>
            </w:r>
          </w:p>
          <w:p>
            <w:pPr>
              <w:spacing w:line="360" w:lineRule="auto"/>
              <w:rPr>
                <w:rFonts w:ascii="宋体" w:hAnsi="宋体"/>
                <w:szCs w:val="21"/>
              </w:rPr>
            </w:pPr>
            <w:r>
              <w:rPr>
                <w:rFonts w:ascii="宋体" w:hAnsi="宋体"/>
                <w:szCs w:val="21"/>
              </w:rPr>
              <w:t>PFCs：</w:t>
            </w:r>
          </w:p>
          <w:p>
            <w:pPr>
              <w:spacing w:line="300" w:lineRule="auto"/>
              <w:ind w:firstLine="315" w:firstLineChars="150"/>
              <w:rPr>
                <w:rFonts w:ascii="宋体" w:hAnsi="宋体"/>
                <w:szCs w:val="21"/>
              </w:rPr>
            </w:pPr>
            <w:r>
              <w:rPr>
                <w:rFonts w:ascii="宋体" w:hAnsi="宋体"/>
                <w:szCs w:val="21"/>
              </w:rPr>
              <w:t>CF</w:t>
            </w:r>
            <w:r>
              <w:rPr>
                <w:rFonts w:ascii="宋体" w:hAnsi="宋体"/>
                <w:szCs w:val="21"/>
                <w:vertAlign w:val="subscript"/>
              </w:rPr>
              <w:t>4</w:t>
            </w:r>
            <w:r>
              <w:rPr>
                <w:rFonts w:ascii="宋体" w:hAnsi="宋体"/>
                <w:szCs w:val="21"/>
              </w:rPr>
              <w:t>：</w:t>
            </w:r>
            <w:r>
              <w:rPr>
                <w:rFonts w:ascii="宋体" w:hAnsi="宋体"/>
                <w:szCs w:val="21"/>
              </w:rPr>
              <w:tab/>
            </w:r>
            <w:r>
              <w:rPr>
                <w:rFonts w:ascii="宋体" w:hAnsi="宋体"/>
                <w:szCs w:val="21"/>
              </w:rPr>
              <w:t xml:space="preserve">    6500</w:t>
            </w:r>
          </w:p>
          <w:p>
            <w:pPr>
              <w:spacing w:line="300" w:lineRule="auto"/>
              <w:ind w:firstLine="315" w:firstLineChars="150"/>
              <w:rPr>
                <w:rFonts w:ascii="宋体" w:hAnsi="宋体"/>
                <w:szCs w:val="21"/>
              </w:rPr>
            </w:pPr>
            <w:r>
              <w:rPr>
                <w:rFonts w:ascii="宋体" w:hAnsi="宋体"/>
                <w:szCs w:val="21"/>
              </w:rPr>
              <w:t>C</w:t>
            </w:r>
            <w:r>
              <w:rPr>
                <w:rFonts w:ascii="宋体" w:hAnsi="宋体"/>
                <w:szCs w:val="21"/>
                <w:vertAlign w:val="subscript"/>
              </w:rPr>
              <w:t>2</w:t>
            </w:r>
            <w:r>
              <w:rPr>
                <w:rFonts w:ascii="宋体" w:hAnsi="宋体"/>
                <w:szCs w:val="21"/>
              </w:rPr>
              <w:t>F</w:t>
            </w:r>
            <w:r>
              <w:rPr>
                <w:rFonts w:ascii="宋体" w:hAnsi="宋体"/>
                <w:szCs w:val="21"/>
                <w:vertAlign w:val="subscript"/>
              </w:rPr>
              <w:t>6</w:t>
            </w:r>
            <w:r>
              <w:rPr>
                <w:rFonts w:ascii="宋体" w:hAnsi="宋体"/>
                <w:szCs w:val="21"/>
              </w:rPr>
              <w:t>：</w:t>
            </w:r>
            <w:r>
              <w:rPr>
                <w:rFonts w:ascii="宋体" w:hAnsi="宋体"/>
                <w:szCs w:val="21"/>
              </w:rPr>
              <w:tab/>
            </w:r>
            <w:r>
              <w:rPr>
                <w:rFonts w:ascii="宋体" w:hAnsi="宋体"/>
                <w:szCs w:val="21"/>
              </w:rPr>
              <w:t xml:space="preserve">    9200</w:t>
            </w:r>
          </w:p>
        </w:tc>
      </w:tr>
    </w:tbl>
    <w:p>
      <w:pPr>
        <w:autoSpaceDE w:val="0"/>
        <w:autoSpaceDN w:val="0"/>
        <w:adjustRightInd w:val="0"/>
        <w:snapToGrid w:val="0"/>
        <w:spacing w:before="249" w:beforeLines="80" w:line="288" w:lineRule="auto"/>
        <w:jc w:val="left"/>
        <w:rPr>
          <w:rFonts w:ascii="宋体" w:hAnsi="宋体"/>
          <w:color w:val="000000"/>
          <w:kern w:val="0"/>
          <w:szCs w:val="21"/>
          <w:lang w:val="zh-CN"/>
        </w:rPr>
      </w:pPr>
      <w:r>
        <w:rPr>
          <w:rFonts w:ascii="宋体" w:hAnsi="宋体"/>
          <w:color w:val="000000"/>
          <w:kern w:val="0"/>
          <w:szCs w:val="21"/>
          <w:lang w:val="zh-CN"/>
        </w:rPr>
        <w:t>注：（1）如果申报的低碳技术实现减排的途径为以上途径之一，可按相应的计算方法进行估算；如果实现减排包含两种以上途径，则总碳减排量为各类途径所产生的减排量之和</w:t>
      </w:r>
    </w:p>
    <w:p>
      <w:pPr>
        <w:autoSpaceDE w:val="0"/>
        <w:autoSpaceDN w:val="0"/>
        <w:adjustRightInd w:val="0"/>
        <w:snapToGrid w:val="0"/>
        <w:spacing w:line="288" w:lineRule="auto"/>
        <w:ind w:firstLine="420" w:firstLineChars="200"/>
        <w:jc w:val="left"/>
        <w:rPr>
          <w:rFonts w:ascii="宋体" w:hAnsi="宋体"/>
          <w:color w:val="000000"/>
          <w:kern w:val="0"/>
          <w:szCs w:val="21"/>
          <w:lang w:val="zh-CN"/>
        </w:rPr>
      </w:pPr>
      <w:r>
        <w:rPr>
          <w:rFonts w:ascii="宋体" w:hAnsi="宋体"/>
          <w:color w:val="000000"/>
          <w:kern w:val="0"/>
          <w:szCs w:val="21"/>
          <w:lang w:val="zh-CN"/>
        </w:rPr>
        <w:t>（2）考虑到</w:t>
      </w:r>
      <w:r>
        <w:rPr>
          <w:rFonts w:hint="eastAsia" w:ascii="宋体" w:hAnsi="宋体"/>
          <w:color w:val="000000"/>
          <w:kern w:val="0"/>
          <w:szCs w:val="21"/>
          <w:lang w:val="zh-CN"/>
        </w:rPr>
        <w:t>与</w:t>
      </w:r>
      <w:r>
        <w:rPr>
          <w:rFonts w:ascii="宋体" w:hAnsi="宋体"/>
          <w:color w:val="000000"/>
          <w:kern w:val="0"/>
          <w:szCs w:val="21"/>
          <w:lang w:val="zh-CN"/>
        </w:rPr>
        <w:t>政府间气候变化专门委员会（IPCC）评估值</w:t>
      </w:r>
      <w:r>
        <w:rPr>
          <w:rFonts w:hint="eastAsia" w:ascii="宋体" w:hAnsi="宋体"/>
          <w:color w:val="000000"/>
          <w:kern w:val="0"/>
          <w:szCs w:val="21"/>
          <w:lang w:val="zh-CN"/>
        </w:rPr>
        <w:t>相一致</w:t>
      </w:r>
      <w:r>
        <w:rPr>
          <w:rFonts w:ascii="宋体" w:hAnsi="宋体"/>
          <w:color w:val="000000"/>
          <w:kern w:val="0"/>
          <w:szCs w:val="21"/>
          <w:lang w:val="zh-CN"/>
        </w:rPr>
        <w:t>，表中非CO</w:t>
      </w:r>
      <w:r>
        <w:rPr>
          <w:rFonts w:ascii="宋体" w:hAnsi="宋体"/>
          <w:color w:val="000000"/>
          <w:kern w:val="0"/>
          <w:szCs w:val="21"/>
          <w:vertAlign w:val="subscript"/>
          <w:lang w:val="zh-CN"/>
        </w:rPr>
        <w:t>2</w:t>
      </w:r>
      <w:r>
        <w:rPr>
          <w:rFonts w:ascii="宋体" w:hAnsi="宋体"/>
          <w:color w:val="000000"/>
          <w:kern w:val="0"/>
          <w:szCs w:val="21"/>
          <w:lang w:val="zh-CN"/>
        </w:rPr>
        <w:t>温室气体采用的折算当量系数源于IPCC第二次评估报告</w:t>
      </w:r>
    </w:p>
    <w:p>
      <w:pPr>
        <w:spacing w:before="120"/>
        <w:ind w:left="412" w:leftChars="196"/>
        <w:rPr>
          <w:rFonts w:ascii="Times New Roman" w:hAnsi="Times New Roman" w:eastAsia="楷体_GB2312"/>
          <w:b/>
          <w:sz w:val="30"/>
          <w:szCs w:val="30"/>
        </w:rPr>
      </w:pPr>
      <w:r>
        <w:rPr>
          <w:rFonts w:hint="eastAsia" w:ascii="Times New Roman" w:hAnsi="Times New Roman" w:eastAsia="楷体_GB2312"/>
          <w:b/>
          <w:sz w:val="30"/>
          <w:szCs w:val="30"/>
        </w:rPr>
        <w:t>（三）</w:t>
      </w:r>
      <w:r>
        <w:rPr>
          <w:rFonts w:ascii="Times New Roman" w:hAnsi="Times New Roman" w:eastAsia="楷体_GB2312"/>
          <w:b/>
          <w:sz w:val="30"/>
          <w:szCs w:val="30"/>
        </w:rPr>
        <w:t>储碳技术</w:t>
      </w:r>
    </w:p>
    <w:p>
      <w:pPr>
        <w:adjustRightInd w:val="0"/>
        <w:snapToGrid w:val="0"/>
        <w:spacing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储碳技术的碳减排量可直接利用年二氧化碳利用和封存量进行评价。</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十一、</w:t>
      </w:r>
      <w:r>
        <w:rPr>
          <w:rFonts w:ascii="黑体" w:hAnsi="黑体" w:eastAsia="黑体"/>
          <w:sz w:val="30"/>
          <w:szCs w:val="30"/>
        </w:rPr>
        <w:t>2025年预期可形成的碳减排潜力</w:t>
      </w:r>
    </w:p>
    <w:p>
      <w:pPr>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指申报技术在2025年达到预期推广比例后可形成的年碳减排潜力。需说明该技术碳减排量估算时对比的是哪一种技术，并提供具体测算过程。</w:t>
      </w:r>
    </w:p>
    <w:p>
      <w:pPr>
        <w:adjustRightInd w:val="0"/>
        <w:snapToGrid w:val="0"/>
        <w:spacing w:line="360" w:lineRule="auto"/>
        <w:ind w:firstLine="600" w:firstLineChars="200"/>
        <w:rPr>
          <w:rFonts w:ascii="Times New Roman" w:hAnsi="Times New Roman" w:eastAsia="黑体"/>
          <w:sz w:val="30"/>
          <w:szCs w:val="30"/>
        </w:rPr>
      </w:pPr>
      <w:r>
        <w:rPr>
          <w:rFonts w:ascii="Times New Roman" w:hAnsi="Times New Roman" w:eastAsia="黑体"/>
          <w:sz w:val="30"/>
          <w:szCs w:val="30"/>
        </w:rPr>
        <w:t>十二、已实施的典型案例</w:t>
      </w:r>
    </w:p>
    <w:p>
      <w:pPr>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需列举申报技术目前已实施的典型的、有代表性的案例。对于技改类项目，“项目碳减排单位成本”是指典型案例项目的技改投资额与项目使用期内可形成的碳减排量的比值；对于新建类项目，“项目碳减排单位成本”是指采用该低碳技术与传统技术相比的增量投资额与项目使用期内可形成的碳减排量的比值。</w:t>
      </w:r>
    </w:p>
    <w:p>
      <w:pPr>
        <w:adjustRightInd w:val="0"/>
        <w:snapToGrid w:val="0"/>
        <w:spacing w:line="360" w:lineRule="auto"/>
        <w:ind w:firstLine="600" w:firstLineChars="200"/>
        <w:rPr>
          <w:rFonts w:ascii="Times New Roman" w:hAnsi="Times New Roman" w:eastAsia="黑体"/>
          <w:sz w:val="30"/>
          <w:szCs w:val="30"/>
        </w:rPr>
      </w:pPr>
      <w:r>
        <w:rPr>
          <w:rFonts w:ascii="Times New Roman" w:hAnsi="Times New Roman" w:eastAsia="黑体"/>
          <w:sz w:val="30"/>
          <w:szCs w:val="30"/>
        </w:rPr>
        <w:t>十三、推荐单位意见</w:t>
      </w:r>
    </w:p>
    <w:p>
      <w:pPr>
        <w:adjustRightInd w:val="0"/>
        <w:snapToGrid w:val="0"/>
        <w:spacing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推荐单位意见指国资委、各地方</w:t>
      </w:r>
      <w:r>
        <w:rPr>
          <w:rFonts w:hint="eastAsia" w:ascii="Times New Roman" w:hAnsi="Times New Roman" w:eastAsia="仿宋_GB2312"/>
          <w:sz w:val="30"/>
          <w:szCs w:val="30"/>
        </w:rPr>
        <w:t>生态环境主管部门、</w:t>
      </w:r>
      <w:r>
        <w:rPr>
          <w:rFonts w:ascii="Times New Roman" w:hAnsi="Times New Roman" w:eastAsia="仿宋_GB2312"/>
          <w:sz w:val="30"/>
          <w:szCs w:val="30"/>
        </w:rPr>
        <w:t>各行业协会</w:t>
      </w:r>
      <w:r>
        <w:rPr>
          <w:rFonts w:hint="eastAsia" w:ascii="Times New Roman" w:hAnsi="Times New Roman" w:eastAsia="仿宋_GB2312"/>
          <w:sz w:val="30"/>
          <w:szCs w:val="30"/>
        </w:rPr>
        <w:t>及科研院所等</w:t>
      </w:r>
      <w:r>
        <w:rPr>
          <w:rFonts w:ascii="Times New Roman" w:hAnsi="Times New Roman" w:eastAsia="仿宋_GB2312"/>
          <w:sz w:val="30"/>
          <w:szCs w:val="30"/>
        </w:rPr>
        <w:t>对所申报的技术出具的推荐意见，并加盖公章。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1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追风者</cp:lastModifiedBy>
  <dcterms:modified xsi:type="dcterms:W3CDTF">2019-12-18T00:50:26Z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